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6D682" w14:textId="77777777" w:rsidR="009D4DC9" w:rsidRDefault="00052A0C">
      <w:pPr>
        <w:pStyle w:val="Titre"/>
      </w:pPr>
      <w:r>
        <w:t>Rapport du TP5 portant sur l’analyse des cultures pratiquées, des intrants utilisés et des rendements agricoles au Nigeria</w:t>
      </w:r>
    </w:p>
    <w:p w14:paraId="0B701A30" w14:textId="77777777" w:rsidR="009D4DC9" w:rsidRDefault="00052A0C">
      <w:pPr>
        <w:pStyle w:val="Author"/>
      </w:pPr>
      <w:r>
        <w:t>Rédaction de Herman YAMAHA et Bourama DIALLO, sous la supervision de M. Aboubacar HEMA</w:t>
      </w:r>
    </w:p>
    <w:p w14:paraId="66A9588F" w14:textId="77777777" w:rsidR="009D4DC9" w:rsidRDefault="00052A0C">
      <w:pPr>
        <w:pStyle w:val="Date"/>
      </w:pPr>
      <w:r>
        <w:t>Année académique 2025 - 2026</w:t>
      </w:r>
    </w:p>
    <w:sdt>
      <w:sdtPr>
        <w:rPr>
          <w:rFonts w:ascii="Arial" w:eastAsia="Arial" w:hAnsi="Arial" w:cs="Arial"/>
          <w:b w:val="0"/>
          <w:color w:val="auto"/>
          <w:sz w:val="24"/>
          <w:szCs w:val="20"/>
        </w:rPr>
        <w:id w:val="-532184776"/>
        <w:docPartObj>
          <w:docPartGallery w:val="Table of Contents"/>
          <w:docPartUnique/>
        </w:docPartObj>
      </w:sdtPr>
      <w:sdtEndPr/>
      <w:sdtContent>
        <w:p w14:paraId="09B75DD7" w14:textId="77777777" w:rsidR="009D4DC9" w:rsidRDefault="00052A0C">
          <w:pPr>
            <w:pStyle w:val="En-ttedetabledesmatires"/>
          </w:pPr>
          <w:r>
            <w:t>Table of Contents</w:t>
          </w:r>
        </w:p>
        <w:p w14:paraId="5A97A632" w14:textId="77777777" w:rsidR="00F327D6" w:rsidRDefault="00052A0C">
          <w:pPr>
            <w:pStyle w:val="TM1"/>
            <w:tabs>
              <w:tab w:val="left" w:pos="400"/>
              <w:tab w:val="right" w:leader="dot" w:pos="92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27465775" w:history="1">
            <w:r w:rsidR="00F327D6" w:rsidRPr="001A7FB9">
              <w:rPr>
                <w:rStyle w:val="Lienhypertexte"/>
                <w:noProof/>
              </w:rPr>
              <w:t>1</w:t>
            </w:r>
            <w:r w:rsidR="00F327D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327D6" w:rsidRPr="001A7FB9">
              <w:rPr>
                <w:rStyle w:val="Lienhypertexte"/>
                <w:noProof/>
              </w:rPr>
              <w:t>Contexte et objectifs</w:t>
            </w:r>
            <w:r w:rsidR="00F327D6">
              <w:rPr>
                <w:noProof/>
                <w:webHidden/>
              </w:rPr>
              <w:tab/>
            </w:r>
            <w:r w:rsidR="00F327D6">
              <w:rPr>
                <w:noProof/>
                <w:webHidden/>
              </w:rPr>
              <w:fldChar w:fldCharType="begin"/>
            </w:r>
            <w:r w:rsidR="00F327D6">
              <w:rPr>
                <w:noProof/>
                <w:webHidden/>
              </w:rPr>
              <w:instrText xml:space="preserve"> PAGEREF _Toc227465775 \h </w:instrText>
            </w:r>
            <w:r w:rsidR="00F327D6">
              <w:rPr>
                <w:noProof/>
                <w:webHidden/>
              </w:rPr>
            </w:r>
            <w:r w:rsidR="00F327D6">
              <w:rPr>
                <w:noProof/>
                <w:webHidden/>
              </w:rPr>
              <w:fldChar w:fldCharType="separate"/>
            </w:r>
            <w:r w:rsidR="00F327D6">
              <w:rPr>
                <w:noProof/>
                <w:webHidden/>
              </w:rPr>
              <w:t>1</w:t>
            </w:r>
            <w:r w:rsidR="00F327D6">
              <w:rPr>
                <w:noProof/>
                <w:webHidden/>
              </w:rPr>
              <w:fldChar w:fldCharType="end"/>
            </w:r>
          </w:hyperlink>
        </w:p>
        <w:p w14:paraId="06CFA2A3" w14:textId="77777777" w:rsidR="00F327D6" w:rsidRDefault="00F327D6">
          <w:pPr>
            <w:pStyle w:val="TM1"/>
            <w:tabs>
              <w:tab w:val="left" w:pos="400"/>
              <w:tab w:val="right" w:leader="dot" w:pos="92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465776" w:history="1">
            <w:r w:rsidRPr="001A7FB9">
              <w:rPr>
                <w:rStyle w:val="Lienhypertexte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1A7FB9">
              <w:rPr>
                <w:rStyle w:val="Lienhypertexte"/>
                <w:noProof/>
              </w:rPr>
              <w:t>Approche méthodologique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_Toc227465776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EEBDA" w14:textId="77777777" w:rsidR="00F327D6" w:rsidRDefault="00F327D6">
          <w:pPr>
            <w:pStyle w:val="TM2"/>
            <w:tabs>
              <w:tab w:val="left" w:pos="880"/>
              <w:tab w:val="right" w:leader="dot" w:pos="92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465777" w:history="1">
            <w:r w:rsidRPr="001A7FB9">
              <w:rPr>
                <w:rStyle w:val="Lienhypertexte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1A7FB9">
              <w:rPr>
                <w:rStyle w:val="Lienhypertexte"/>
                <w:noProof/>
              </w:rPr>
              <w:t>Sources de données mobilisées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_Toc227465777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B0393" w14:textId="77777777" w:rsidR="00F327D6" w:rsidRDefault="00F327D6">
          <w:pPr>
            <w:pStyle w:val="TM2"/>
            <w:tabs>
              <w:tab w:val="left" w:pos="880"/>
              <w:tab w:val="right" w:leader="dot" w:pos="92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465778" w:history="1">
            <w:r w:rsidRPr="001A7FB9">
              <w:rPr>
                <w:rStyle w:val="Lienhypertexte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1A7FB9">
              <w:rPr>
                <w:rStyle w:val="Lienhypertexte"/>
                <w:noProof/>
              </w:rPr>
              <w:t>Méthodes par tâche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_Toc227465778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5287E" w14:textId="77777777" w:rsidR="00F327D6" w:rsidRDefault="00F327D6">
          <w:pPr>
            <w:pStyle w:val="TM1"/>
            <w:tabs>
              <w:tab w:val="left" w:pos="400"/>
              <w:tab w:val="right" w:leader="dot" w:pos="92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465779" w:history="1">
            <w:r w:rsidRPr="001A7FB9">
              <w:rPr>
                <w:rStyle w:val="Lienhypertexte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1A7FB9">
              <w:rPr>
                <w:rStyle w:val="Lienhypertexte"/>
                <w:noProof/>
              </w:rPr>
              <w:t>Présentation des résultats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_Toc227465779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F60FB" w14:textId="77777777" w:rsidR="00F327D6" w:rsidRDefault="00F327D6">
          <w:pPr>
            <w:pStyle w:val="TM2"/>
            <w:tabs>
              <w:tab w:val="left" w:pos="880"/>
              <w:tab w:val="right" w:leader="dot" w:pos="92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465780" w:history="1">
            <w:r w:rsidRPr="001A7FB9">
              <w:rPr>
                <w:rStyle w:val="Lienhypertexte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1A7FB9">
              <w:rPr>
                <w:rStyle w:val="Lienhypertexte"/>
                <w:noProof/>
              </w:rPr>
              <w:t>Cultures pratiquées (Q25)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_Toc227465780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87D17" w14:textId="77777777" w:rsidR="00F327D6" w:rsidRDefault="00F327D6">
          <w:pPr>
            <w:pStyle w:val="TM2"/>
            <w:tabs>
              <w:tab w:val="left" w:pos="880"/>
              <w:tab w:val="right" w:leader="dot" w:pos="92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465781" w:history="1">
            <w:r w:rsidRPr="001A7FB9">
              <w:rPr>
                <w:rStyle w:val="Lienhypertexte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1A7FB9">
              <w:rPr>
                <w:rStyle w:val="Lienhypertexte"/>
                <w:noProof/>
              </w:rPr>
              <w:t>Diversification culturale (Q26)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_Toc227465781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39127" w14:textId="77777777" w:rsidR="00F327D6" w:rsidRDefault="00F327D6">
          <w:pPr>
            <w:pStyle w:val="TM2"/>
            <w:tabs>
              <w:tab w:val="left" w:pos="880"/>
              <w:tab w:val="right" w:leader="dot" w:pos="92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465782" w:history="1">
            <w:r w:rsidRPr="001A7FB9">
              <w:rPr>
                <w:rStyle w:val="Lienhypertexte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1A7FB9">
              <w:rPr>
                <w:rStyle w:val="Lienhypertexte"/>
                <w:noProof/>
              </w:rPr>
              <w:t>Adoption des intrants agricoles (Q27)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_Toc227465782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46F0A" w14:textId="77777777" w:rsidR="00F327D6" w:rsidRDefault="00F327D6">
          <w:pPr>
            <w:pStyle w:val="TM2"/>
            <w:tabs>
              <w:tab w:val="left" w:pos="880"/>
              <w:tab w:val="right" w:leader="dot" w:pos="92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465783" w:history="1">
            <w:r w:rsidRPr="001A7FB9">
              <w:rPr>
                <w:rStyle w:val="Lienhypertexte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1A7FB9">
              <w:rPr>
                <w:rStyle w:val="Lienhypertexte"/>
                <w:noProof/>
              </w:rPr>
              <w:t>Rendements du maïs et du millet par État (Q28)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_Toc227465783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4C5BA" w14:textId="77777777" w:rsidR="00F327D6" w:rsidRDefault="00F327D6">
          <w:pPr>
            <w:pStyle w:val="TM2"/>
            <w:tabs>
              <w:tab w:val="left" w:pos="880"/>
              <w:tab w:val="right" w:leader="dot" w:pos="92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465784" w:history="1">
            <w:r w:rsidRPr="001A7FB9">
              <w:rPr>
                <w:rStyle w:val="Lienhypertexte"/>
                <w:noProof/>
              </w:rPr>
              <w:t>3.5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1A7FB9">
              <w:rPr>
                <w:rStyle w:val="Lienhypertexte"/>
                <w:noProof/>
              </w:rPr>
              <w:t>Rendements selon l’utilisation d’engrais inorganique (Q29)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_Toc227465784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2240C" w14:textId="77777777" w:rsidR="00F327D6" w:rsidRDefault="00F327D6">
          <w:pPr>
            <w:pStyle w:val="TM1"/>
            <w:tabs>
              <w:tab w:val="left" w:pos="400"/>
              <w:tab w:val="right" w:leader="dot" w:pos="92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465785" w:history="1">
            <w:r w:rsidRPr="001A7FB9">
              <w:rPr>
                <w:rStyle w:val="Lienhypertexte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1A7FB9">
              <w:rPr>
                <w:rStyle w:val="Lienhypertexte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_Toc227465785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DB208" w14:textId="77777777" w:rsidR="00F327D6" w:rsidRDefault="00F327D6">
          <w:pPr>
            <w:pStyle w:val="TM1"/>
            <w:tabs>
              <w:tab w:val="right" w:leader="dot" w:pos="92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465786" w:history="1">
            <w:r w:rsidRPr="001A7FB9">
              <w:rPr>
                <w:rStyle w:val="Lienhypertexte"/>
                <w:noProof/>
              </w:rPr>
              <w:t>Références bibliographiques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_Toc227465786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3C1CC" w14:textId="77777777" w:rsidR="009D4DC9" w:rsidRDefault="00052A0C">
          <w:r>
            <w:fldChar w:fldCharType="end"/>
          </w:r>
        </w:p>
      </w:sdtContent>
    </w:sdt>
    <w:p w14:paraId="183E8C06" w14:textId="77777777" w:rsidR="009D4DC9" w:rsidRDefault="00052A0C">
      <w:r>
        <w:br w:type="page"/>
      </w:r>
    </w:p>
    <w:p w14:paraId="328E7EA6" w14:textId="77777777" w:rsidR="009D4DC9" w:rsidRDefault="00052A0C">
      <w:r>
        <w:lastRenderedPageBreak/>
        <w:pict w14:anchorId="17FC26C6">
          <v:rect id="_x0000_i1025" style="width:0;height:1.5pt" o:hralign="center" o:hrstd="t" o:hr="t"/>
        </w:pict>
      </w:r>
    </w:p>
    <w:p w14:paraId="1F9D7030" w14:textId="77777777" w:rsidR="009D4DC9" w:rsidRDefault="00052A0C">
      <w:pPr>
        <w:pStyle w:val="Titre1"/>
      </w:pPr>
      <w:bookmarkStart w:id="0" w:name="contexte-et-objectifs"/>
      <w:bookmarkStart w:id="1" w:name="_Toc227465775"/>
      <w:r>
        <w:t>1</w:t>
      </w:r>
      <w:r>
        <w:tab/>
        <w:t>Contexte et objectifs</w:t>
      </w:r>
      <w:bookmarkEnd w:id="1"/>
    </w:p>
    <w:p w14:paraId="75E598A8" w14:textId="77777777" w:rsidR="009D4DC9" w:rsidRDefault="00052A0C">
      <w:r>
        <w:pict w14:anchorId="3F684143">
          <v:rect id="_x0000_i1026" style="width:0;height:1.5pt" o:hralign="center" o:hrstd="t" o:hr="t"/>
        </w:pict>
      </w:r>
    </w:p>
    <w:p w14:paraId="041E6038" w14:textId="77777777" w:rsidR="009D4DC9" w:rsidRDefault="00052A0C">
      <w:r>
        <w:t>Ce rapport analyse la production agricole des ménages nigérians à</w:t>
      </w:r>
      <w:r>
        <w:t xml:space="preserve"> partir de la </w:t>
      </w:r>
      <w:r>
        <w:rPr>
          <w:b/>
          <w:bCs/>
        </w:rPr>
        <w:t>Wave 4 (2018/2019)</w:t>
      </w:r>
      <w:r>
        <w:t xml:space="preserve"> du Nigeria General Household Survey Panel (GHS-Panel), un dispositif longitudinal en quatre vagues (2010–2018) conduit par la National Bureau of Statistics (NBS) du Nigeria dans le cadre du programme LSMS-ISA de la Banque M</w:t>
      </w:r>
      <w:r>
        <w:t>ondiale. Conformément aux orientations qui nous ont été données, l’ensemble des analyses porte exclusivement sur la vague 4.</w:t>
      </w:r>
    </w:p>
    <w:p w14:paraId="1C5DE923" w14:textId="77777777" w:rsidR="009D4DC9" w:rsidRDefault="00052A0C">
      <w:pPr>
        <w:pStyle w:val="Corpsdetexte"/>
      </w:pPr>
      <w:r>
        <w:t>Cinq axes d’analyse sont développés dans le présent rapport, correspondant aux tâches Q25 à Q29 de l’énoncé :</w:t>
      </w:r>
    </w:p>
    <w:p w14:paraId="59C59E4F" w14:textId="77777777" w:rsidR="009D4DC9" w:rsidRDefault="00052A0C">
      <w:pPr>
        <w:numPr>
          <w:ilvl w:val="0"/>
          <w:numId w:val="4"/>
        </w:numPr>
      </w:pPr>
      <w:r>
        <w:rPr>
          <w:b/>
          <w:bCs/>
        </w:rPr>
        <w:t>Q25</w:t>
      </w:r>
      <w:r>
        <w:t xml:space="preserve"> — Identification </w:t>
      </w:r>
      <w:r>
        <w:t>des 15 cultures les plus fréquemment pratiquées ;</w:t>
      </w:r>
    </w:p>
    <w:p w14:paraId="0D571831" w14:textId="77777777" w:rsidR="009D4DC9" w:rsidRDefault="00052A0C">
      <w:pPr>
        <w:numPr>
          <w:ilvl w:val="0"/>
          <w:numId w:val="4"/>
        </w:numPr>
      </w:pPr>
      <w:r>
        <w:rPr>
          <w:b/>
          <w:bCs/>
        </w:rPr>
        <w:t>Q26</w:t>
      </w:r>
      <w:r>
        <w:t xml:space="preserve"> — Calcul et comparaison de l’indice de diversification culturale ;</w:t>
      </w:r>
    </w:p>
    <w:p w14:paraId="6147BAF5" w14:textId="77777777" w:rsidR="009D4DC9" w:rsidRDefault="00052A0C">
      <w:pPr>
        <w:numPr>
          <w:ilvl w:val="0"/>
          <w:numId w:val="4"/>
        </w:numPr>
      </w:pPr>
      <w:r>
        <w:rPr>
          <w:b/>
          <w:bCs/>
        </w:rPr>
        <w:t>Q27</w:t>
      </w:r>
      <w:r>
        <w:t xml:space="preserve"> — Mesure du taux d’adoption des intrants agricoles (engrais, pesticides, herbicides) ;</w:t>
      </w:r>
    </w:p>
    <w:p w14:paraId="17DC3AD3" w14:textId="77777777" w:rsidR="009D4DC9" w:rsidRDefault="00052A0C">
      <w:pPr>
        <w:numPr>
          <w:ilvl w:val="0"/>
          <w:numId w:val="4"/>
        </w:numPr>
      </w:pPr>
      <w:r>
        <w:rPr>
          <w:b/>
          <w:bCs/>
        </w:rPr>
        <w:t>Q28</w:t>
      </w:r>
      <w:r>
        <w:t xml:space="preserve"> — Distribution des rendements du maïs et</w:t>
      </w:r>
      <w:r>
        <w:t xml:space="preserve"> du millet par État ;</w:t>
      </w:r>
    </w:p>
    <w:p w14:paraId="76C960C1" w14:textId="77777777" w:rsidR="009D4DC9" w:rsidRDefault="00052A0C">
      <w:pPr>
        <w:numPr>
          <w:ilvl w:val="0"/>
          <w:numId w:val="4"/>
        </w:numPr>
      </w:pPr>
      <w:r>
        <w:rPr>
          <w:b/>
          <w:bCs/>
        </w:rPr>
        <w:t>Q29</w:t>
      </w:r>
      <w:r>
        <w:t xml:space="preserve"> — Comparaison des rendements selon l’utilisation d’engrais inorganique.</w:t>
      </w:r>
    </w:p>
    <w:p w14:paraId="2691BD7B" w14:textId="77777777" w:rsidR="009D4DC9" w:rsidRDefault="00052A0C">
      <w:r>
        <w:t xml:space="preserve">Toutes les estimations intègrent les </w:t>
      </w:r>
      <w:r>
        <w:rPr>
          <w:b/>
          <w:bCs/>
        </w:rPr>
        <w:t>pondérations transversales wt_wave4</w:t>
      </w:r>
      <w:r>
        <w:t xml:space="preserve"> pour être représentatives de la population agricole nigériane de 2018.</w:t>
      </w:r>
    </w:p>
    <w:p w14:paraId="401EEAC8" w14:textId="77777777" w:rsidR="009D4DC9" w:rsidRDefault="00052A0C">
      <w:r>
        <w:br w:type="page"/>
      </w:r>
    </w:p>
    <w:p w14:paraId="7D21BEFD" w14:textId="77777777" w:rsidR="009D4DC9" w:rsidRDefault="00052A0C">
      <w:r>
        <w:lastRenderedPageBreak/>
        <w:pict w14:anchorId="1D9C7E2F">
          <v:rect id="_x0000_i1027" style="width:0;height:1.5pt" o:hralign="center" o:hrstd="t" o:hr="t"/>
        </w:pict>
      </w:r>
    </w:p>
    <w:p w14:paraId="12A8E2EE" w14:textId="77777777" w:rsidR="009D4DC9" w:rsidRDefault="00052A0C">
      <w:pPr>
        <w:pStyle w:val="Titre1"/>
      </w:pPr>
      <w:bookmarkStart w:id="2" w:name="approche-méthodologique"/>
      <w:bookmarkStart w:id="3" w:name="_Toc227465776"/>
      <w:bookmarkEnd w:id="0"/>
      <w:r>
        <w:t>2</w:t>
      </w:r>
      <w:r>
        <w:tab/>
        <w:t>Approche</w:t>
      </w:r>
      <w:r>
        <w:t xml:space="preserve"> méthodologique</w:t>
      </w:r>
      <w:bookmarkEnd w:id="3"/>
    </w:p>
    <w:p w14:paraId="7416710A" w14:textId="77777777" w:rsidR="009D4DC9" w:rsidRDefault="00052A0C">
      <w:r>
        <w:pict w14:anchorId="17A1988F">
          <v:rect id="_x0000_i1028" style="width:0;height:1.5pt" o:hralign="center" o:hrstd="t" o:hr="t"/>
        </w:pict>
      </w:r>
    </w:p>
    <w:p w14:paraId="1BFB8FC3" w14:textId="77777777" w:rsidR="009D4DC9" w:rsidRDefault="00052A0C">
      <w:pPr>
        <w:pStyle w:val="Titre2"/>
      </w:pPr>
      <w:bookmarkStart w:id="4" w:name="sources-de-données-mobilisées"/>
      <w:bookmarkStart w:id="5" w:name="_Toc227465777"/>
      <w:r>
        <w:t>2.1</w:t>
      </w:r>
      <w:r>
        <w:tab/>
        <w:t>Sources de données mobilisées</w:t>
      </w:r>
      <w:bookmarkEnd w:id="5"/>
    </w:p>
    <w:p w14:paraId="1CC6DA86" w14:textId="77777777" w:rsidR="009D4DC9" w:rsidRDefault="00052A0C">
      <w:r>
        <w:t>Quatre fichiers .dta sont utilisés, tous issus du module Agriculture-Post-Harvest Wave 4 du GHS-Panel.</w:t>
      </w:r>
    </w:p>
    <w:p w14:paraId="13BA0061" w14:textId="77777777" w:rsidR="009D4DC9" w:rsidRDefault="00052A0C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 w:line="240" w:lineRule="auto"/>
        <w:ind w:left="60" w:right="60"/>
        <w:jc w:val="center"/>
      </w:pPr>
      <w:r>
        <w:t>Tableau 1 : Sources de données mobilisées — GHS Panel Wave 4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016"/>
        <w:gridCol w:w="6480"/>
        <w:gridCol w:w="1152"/>
      </w:tblGrid>
      <w:tr w:rsidR="009D4DC9" w14:paraId="4DF574FB" w14:textId="77777777">
        <w:trPr>
          <w:tblHeader/>
          <w:jc w:val="center"/>
        </w:trPr>
        <w:tc>
          <w:tcPr>
            <w:tcW w:w="201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D3778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left"/>
              <w:rPr>
                <w:b/>
                <w:color w:val="FFFFFF"/>
                <w:sz w:val="19"/>
                <w:szCs w:val="19"/>
              </w:rPr>
            </w:pPr>
            <w:r>
              <w:rPr>
                <w:b/>
                <w:color w:val="FFFFFF"/>
                <w:sz w:val="19"/>
                <w:szCs w:val="19"/>
              </w:rPr>
              <w:t>Fichier .dta</w:t>
            </w:r>
          </w:p>
        </w:tc>
        <w:tc>
          <w:tcPr>
            <w:tcW w:w="64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5D334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left"/>
              <w:rPr>
                <w:b/>
                <w:color w:val="FFFFFF"/>
                <w:sz w:val="19"/>
                <w:szCs w:val="19"/>
              </w:rPr>
            </w:pPr>
            <w:r>
              <w:rPr>
                <w:b/>
                <w:color w:val="FFFFFF"/>
                <w:sz w:val="19"/>
                <w:szCs w:val="19"/>
              </w:rPr>
              <w:t>Contenu principal</w:t>
            </w:r>
          </w:p>
        </w:tc>
        <w:tc>
          <w:tcPr>
            <w:tcW w:w="115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45F37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left"/>
              <w:rPr>
                <w:b/>
                <w:color w:val="FFFFFF"/>
                <w:sz w:val="19"/>
                <w:szCs w:val="19"/>
              </w:rPr>
            </w:pPr>
            <w:r>
              <w:rPr>
                <w:b/>
                <w:color w:val="FFFFFF"/>
                <w:sz w:val="19"/>
                <w:szCs w:val="19"/>
              </w:rPr>
              <w:t>Tâches</w:t>
            </w:r>
          </w:p>
        </w:tc>
      </w:tr>
      <w:tr w:rsidR="009D4DC9" w14:paraId="771958DF" w14:textId="77777777">
        <w:trPr>
          <w:jc w:val="center"/>
        </w:trPr>
        <w:tc>
          <w:tcPr>
            <w:tcW w:w="2016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59D45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secta3i_harvestw4</w:t>
            </w:r>
          </w:p>
        </w:tc>
        <w:tc>
          <w:tcPr>
            <w:tcW w:w="648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F42F8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Cultures par parcelle — cropcode, quantité récoltée, facteur de conversion en kg</w:t>
            </w:r>
          </w:p>
        </w:tc>
        <w:tc>
          <w:tcPr>
            <w:tcW w:w="1152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791B4E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Q25, Q26, Q28, Q29</w:t>
            </w:r>
          </w:p>
        </w:tc>
      </w:tr>
      <w:tr w:rsidR="009D4DC9" w14:paraId="4510ADBE" w14:textId="77777777">
        <w:trPr>
          <w:jc w:val="center"/>
        </w:trPr>
        <w:tc>
          <w:tcPr>
            <w:tcW w:w="201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AF2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3658A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secta11c2_harvestw4</w:t>
            </w:r>
          </w:p>
        </w:tc>
        <w:tc>
          <w:tcPr>
            <w:tcW w:w="64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AF2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B22CB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Intrants par parcelle — engrais inorg. (NPK, Urée), engrais org., pesticide, herbicide</w:t>
            </w:r>
          </w:p>
        </w:tc>
        <w:tc>
          <w:tcPr>
            <w:tcW w:w="115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AF2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2A06A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Q27, Q29</w:t>
            </w:r>
          </w:p>
        </w:tc>
      </w:tr>
      <w:tr w:rsidR="009D4DC9" w14:paraId="4094BAD8" w14:textId="77777777">
        <w:trPr>
          <w:jc w:val="center"/>
        </w:trPr>
        <w:tc>
          <w:tcPr>
            <w:tcW w:w="201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62472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secta1_harvestw4</w:t>
            </w:r>
          </w:p>
        </w:tc>
        <w:tc>
          <w:tcPr>
            <w:tcW w:w="64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0FBC3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Plot roster W4 — superficies GPS des parcelles (m², converti en ha)</w:t>
            </w:r>
          </w:p>
        </w:tc>
        <w:tc>
          <w:tcPr>
            <w:tcW w:w="115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73338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Q28, Q29</w:t>
            </w:r>
          </w:p>
        </w:tc>
      </w:tr>
      <w:tr w:rsidR="009D4DC9" w14:paraId="47CB1A4C" w14:textId="77777777">
        <w:trPr>
          <w:jc w:val="center"/>
        </w:trPr>
        <w:tc>
          <w:tcPr>
            <w:tcW w:w="2016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EAF2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0BF98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secta_harvestw4</w:t>
            </w:r>
          </w:p>
        </w:tc>
        <w:tc>
          <w:tcPr>
            <w:tcW w:w="648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EAF2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52FCDD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Pondérations wt_wave4, zone géopolitique (1-6), État (1-37), milieu de résidence</w:t>
            </w:r>
          </w:p>
        </w:tc>
        <w:tc>
          <w:tcPr>
            <w:tcW w:w="1152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EAF2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BB9189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Toutes</w:t>
            </w:r>
          </w:p>
        </w:tc>
      </w:tr>
      <w:tr w:rsidR="009D4DC9" w14:paraId="4358B84D" w14:textId="77777777">
        <w:trPr>
          <w:jc w:val="center"/>
        </w:trPr>
        <w:tc>
          <w:tcPr>
            <w:tcW w:w="9648" w:type="dxa"/>
            <w:gridSpan w:val="3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BCB42B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left"/>
              <w:rPr>
                <w:color w:val="000000"/>
                <w:sz w:val="12"/>
                <w:szCs w:val="12"/>
              </w:rPr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</w:tr>
    </w:tbl>
    <w:p w14:paraId="3DA34447" w14:textId="77777777" w:rsidR="009D4DC9" w:rsidRDefault="00052A0C">
      <w:pPr>
        <w:pStyle w:val="Corpsdetexte"/>
      </w:pPr>
      <w:r>
        <w:t>Les trois premiers fichiers sont téléchargés automatiquement depuis le dépôt GitHub du projet (Herman-YAMAHA/NYHP, branche main, dossier TP4_raw). Le fichier secta11c2_harvestw4 est inclus directement dans data/raw/.</w:t>
      </w:r>
    </w:p>
    <w:p w14:paraId="3B7F3D9F" w14:textId="77777777" w:rsidR="009D4DC9" w:rsidRDefault="00052A0C">
      <w:pPr>
        <w:pStyle w:val="Titre2"/>
      </w:pPr>
      <w:bookmarkStart w:id="6" w:name="méthodes-par-tâche"/>
      <w:bookmarkStart w:id="7" w:name="_Toc227465778"/>
      <w:bookmarkEnd w:id="4"/>
      <w:r>
        <w:t>2.2</w:t>
      </w:r>
      <w:r>
        <w:tab/>
        <w:t>Méthodes par tâche</w:t>
      </w:r>
      <w:bookmarkEnd w:id="7"/>
    </w:p>
    <w:p w14:paraId="1B6BD0D5" w14:textId="77777777" w:rsidR="009D4DC9" w:rsidRDefault="00052A0C">
      <w:pPr>
        <w:pStyle w:val="Titre3"/>
      </w:pPr>
      <w:bookmarkStart w:id="8" w:name="X07f050b5091ea036ede36884d54cbe90dbe5b3e"/>
      <w:r>
        <w:t>2.2.1</w:t>
      </w:r>
      <w:r>
        <w:tab/>
        <w:t>Constructi</w:t>
      </w:r>
      <w:r>
        <w:t>on des superficies et des rendements (Q28, Q29)</w:t>
      </w:r>
    </w:p>
    <w:p w14:paraId="12374D94" w14:textId="77777777" w:rsidR="009D4DC9" w:rsidRDefault="00052A0C">
      <w:r>
        <w:t>Le fichier secta1_harvestw4 (plot roster Wave 4) fournit les superficies des parcelles en mètres carrés, issues de mesures GPS. Deux sources sont exploitées par ordre de priorité :</w:t>
      </w:r>
    </w:p>
    <w:p w14:paraId="6EA7E434" w14:textId="77777777" w:rsidR="009D4DC9" w:rsidRDefault="00052A0C">
      <w:pPr>
        <w:numPr>
          <w:ilvl w:val="0"/>
          <w:numId w:val="5"/>
        </w:numPr>
      </w:pPr>
      <w:r>
        <w:rPr>
          <w:b/>
          <w:bCs/>
        </w:rPr>
        <w:t>GPS actuel</w:t>
      </w:r>
      <w:r>
        <w:t xml:space="preserve"> (si sa1q9 == 1) </w:t>
      </w:r>
      <w:r>
        <w:t>: superficie mesurée lors de la visite après les récoltes (sa1q11, en m²) — source privilégiée car la plus précise.</w:t>
      </w:r>
    </w:p>
    <w:p w14:paraId="39EA9CFF" w14:textId="77777777" w:rsidR="009D4DC9" w:rsidRDefault="00052A0C">
      <w:pPr>
        <w:numPr>
          <w:ilvl w:val="0"/>
          <w:numId w:val="5"/>
        </w:numPr>
      </w:pPr>
      <w:r>
        <w:rPr>
          <w:b/>
          <w:bCs/>
        </w:rPr>
        <w:t>GPS précédent</w:t>
      </w:r>
      <w:r>
        <w:t xml:space="preserve"> (prefilled_gps_area) : superficie issue de la visite après les semis, utilisée comme valeur de remplacement lorsque le GPS act</w:t>
      </w:r>
      <w:r>
        <w:t>uel est absent.</w:t>
      </w:r>
    </w:p>
    <w:p w14:paraId="7895B115" w14:textId="77777777" w:rsidR="009D4DC9" w:rsidRDefault="00052A0C">
      <w:r>
        <w:t xml:space="preserve">La conversion vers l’hectare est : </w:t>
      </w:r>
      <m:oMath>
        <m:r>
          <m:rPr>
            <m:nor/>
          </m:rPr>
          <m:t>area_ha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area_m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10 000</m:t>
        </m:r>
      </m:oMath>
      <w:r>
        <w:t xml:space="preserve">. La couverture obtenue est de </w:t>
      </w:r>
      <w:r>
        <w:rPr>
          <w:b/>
          <w:bCs/>
        </w:rPr>
        <w:t>90.4%</w:t>
      </w:r>
      <w:r>
        <w:t xml:space="preserve"> </w:t>
      </w:r>
      <w:r>
        <w:t>des parcelles maïs/millet (3190 parcelles avec rendement calculable, 338 exclues faute de superficie valide, due aux valeurs manquantes aussi bien dans le GPS actuel que dans le GPS précédent).</w:t>
      </w:r>
    </w:p>
    <w:p w14:paraId="21B779A7" w14:textId="77777777" w:rsidR="009D4DC9" w:rsidRDefault="00052A0C">
      <w:pPr>
        <w:pStyle w:val="Corpsdetexte"/>
      </w:pPr>
      <w:r>
        <w:t xml:space="preserve">Le </w:t>
      </w:r>
      <w:r>
        <w:rPr>
          <w:b/>
          <w:bCs/>
        </w:rPr>
        <w:t>rendement en kg/ha</w:t>
      </w:r>
      <w:r>
        <w:t xml:space="preserve"> est calculé comme :</w:t>
      </w:r>
    </w:p>
    <w:p w14:paraId="16C2BB6F" w14:textId="77777777" w:rsidR="009D4DC9" w:rsidRDefault="00052A0C">
      <w:pPr>
        <w:pStyle w:val="Corpsdetexte"/>
      </w:pPr>
      <m:oMathPara>
        <m:oMathParaPr>
          <m:jc m:val="center"/>
        </m:oMathParaPr>
        <m:oMath>
          <m:r>
            <m:rPr>
              <m:nor/>
            </m:rPr>
            <w:lastRenderedPageBreak/>
            <m:t>Rendement</m:t>
          </m:r>
          <m:r>
            <w:rPr>
              <w:rFonts w:ascii="Cambria Math" w:hAnsi="Cambria Math"/>
            </w:rPr>
            <m:t> 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kg/ha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Prod</m:t>
              </m:r>
              <m:r>
                <m:rPr>
                  <m:nor/>
                </m:rPr>
                <m:t>uction</m:t>
              </m:r>
              <m:r>
                <w:rPr>
                  <w:rFonts w:ascii="Cambria Math" w:hAnsi="Cambria Math"/>
                </w:rPr>
                <m:t> 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m:t>kg</m:t>
                  </m:r>
                </m:e>
              </m:d>
            </m:num>
            <m:den>
              <m:r>
                <m:rPr>
                  <m:nor/>
                </m:rPr>
                <m:t>Superficie</m:t>
              </m:r>
              <m:r>
                <w:rPr>
                  <w:rFonts w:ascii="Cambria Math" w:hAnsi="Cambria Math"/>
                </w:rPr>
                <m:t> 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m:t>ha</m:t>
                  </m:r>
                </m:e>
              </m:d>
            </m:den>
          </m:f>
        </m:oMath>
      </m:oMathPara>
    </w:p>
    <w:p w14:paraId="479D5AE7" w14:textId="77777777" w:rsidR="009D4DC9" w:rsidRDefault="00052A0C">
      <w:r>
        <w:t>où la production en kg est obtenue par le produit sa3iq6i × sa3iq6_conv (quantité récoltée × facteur de conversion).</w:t>
      </w:r>
    </w:p>
    <w:p w14:paraId="7AB537FD" w14:textId="77777777" w:rsidR="009D4DC9" w:rsidRDefault="00052A0C">
      <w:pPr>
        <w:pStyle w:val="Corpsdetexte"/>
      </w:pPr>
      <w:r>
        <w:t xml:space="preserve">Les </w:t>
      </w:r>
      <w:r>
        <w:rPr>
          <w:b/>
          <w:bCs/>
        </w:rPr>
        <w:t>facteurs de conversion zone-spécifiques</w:t>
      </w:r>
      <w:r>
        <w:t xml:space="preserve"> pour les unités locales (heaps, ridges, stands) fournis dans la document</w:t>
      </w:r>
      <w:r>
        <w:t>ation sont intégrés pour référence ; ils ne sont pas appliqués aux superficies de secta1 qui sont déjà en m².</w:t>
      </w:r>
    </w:p>
    <w:p w14:paraId="1531F094" w14:textId="77777777" w:rsidR="009D4DC9" w:rsidRDefault="00052A0C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 w:line="240" w:lineRule="auto"/>
        <w:ind w:left="60" w:right="60"/>
        <w:jc w:val="center"/>
      </w:pPr>
      <w:r>
        <w:t>Tableau 2 : Facteurs de conversion zone-spécifiques (unités locales vers hectares)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880"/>
        <w:gridCol w:w="1296"/>
        <w:gridCol w:w="1296"/>
        <w:gridCol w:w="1296"/>
      </w:tblGrid>
      <w:tr w:rsidR="009D4DC9" w14:paraId="7CA25989" w14:textId="77777777">
        <w:trPr>
          <w:tblHeader/>
          <w:jc w:val="center"/>
        </w:trPr>
        <w:tc>
          <w:tcPr>
            <w:tcW w:w="28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7276C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left"/>
              <w:rPr>
                <w:b/>
                <w:color w:val="FFFFFF"/>
                <w:sz w:val="19"/>
                <w:szCs w:val="19"/>
              </w:rPr>
            </w:pPr>
            <w:r>
              <w:rPr>
                <w:b/>
                <w:color w:val="FFFFFF"/>
                <w:sz w:val="19"/>
                <w:szCs w:val="19"/>
              </w:rPr>
              <w:t>Zone géopolitique</w:t>
            </w:r>
          </w:p>
        </w:tc>
        <w:tc>
          <w:tcPr>
            <w:tcW w:w="129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022EA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right"/>
              <w:rPr>
                <w:b/>
                <w:color w:val="FFFFFF"/>
                <w:sz w:val="19"/>
                <w:szCs w:val="19"/>
              </w:rPr>
            </w:pPr>
            <w:r>
              <w:rPr>
                <w:b/>
                <w:color w:val="FFFFFF"/>
                <w:sz w:val="19"/>
                <w:szCs w:val="19"/>
              </w:rPr>
              <w:t>Heaps (ha)</w:t>
            </w:r>
          </w:p>
        </w:tc>
        <w:tc>
          <w:tcPr>
            <w:tcW w:w="129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A84C30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right"/>
              <w:rPr>
                <w:b/>
                <w:color w:val="FFFFFF"/>
                <w:sz w:val="19"/>
                <w:szCs w:val="19"/>
              </w:rPr>
            </w:pPr>
            <w:r>
              <w:rPr>
                <w:b/>
                <w:color w:val="FFFFFF"/>
                <w:sz w:val="19"/>
                <w:szCs w:val="19"/>
              </w:rPr>
              <w:t>Ridges (ha)</w:t>
            </w:r>
          </w:p>
        </w:tc>
        <w:tc>
          <w:tcPr>
            <w:tcW w:w="129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FBDD4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right"/>
              <w:rPr>
                <w:b/>
                <w:color w:val="FFFFFF"/>
                <w:sz w:val="19"/>
                <w:szCs w:val="19"/>
              </w:rPr>
            </w:pPr>
            <w:r>
              <w:rPr>
                <w:b/>
                <w:color w:val="FFFFFF"/>
                <w:sz w:val="19"/>
                <w:szCs w:val="19"/>
              </w:rPr>
              <w:t>Stands (ha)</w:t>
            </w:r>
          </w:p>
        </w:tc>
      </w:tr>
      <w:tr w:rsidR="009D4DC9" w14:paraId="115C06F8" w14:textId="77777777">
        <w:trPr>
          <w:jc w:val="center"/>
        </w:trPr>
        <w:tc>
          <w:tcPr>
            <w:tcW w:w="288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1CFB5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North Central (1)</w:t>
            </w:r>
          </w:p>
        </w:tc>
        <w:tc>
          <w:tcPr>
            <w:tcW w:w="1296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A452C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0.00012</w:t>
            </w:r>
          </w:p>
        </w:tc>
        <w:tc>
          <w:tcPr>
            <w:tcW w:w="1296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C6A8D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0.00270</w:t>
            </w:r>
          </w:p>
        </w:tc>
        <w:tc>
          <w:tcPr>
            <w:tcW w:w="1296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0543B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0.00006</w:t>
            </w:r>
          </w:p>
        </w:tc>
      </w:tr>
      <w:tr w:rsidR="009D4DC9" w14:paraId="5B94EA72" w14:textId="77777777">
        <w:trPr>
          <w:jc w:val="center"/>
        </w:trPr>
        <w:tc>
          <w:tcPr>
            <w:tcW w:w="28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AF2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842007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North East (2)</w:t>
            </w:r>
          </w:p>
        </w:tc>
        <w:tc>
          <w:tcPr>
            <w:tcW w:w="129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AF2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D6E67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0.00016</w:t>
            </w:r>
          </w:p>
        </w:tc>
        <w:tc>
          <w:tcPr>
            <w:tcW w:w="129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AF2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158A8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0.00400</w:t>
            </w:r>
          </w:p>
        </w:tc>
        <w:tc>
          <w:tcPr>
            <w:tcW w:w="129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AF2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30CF5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0.00016</w:t>
            </w:r>
          </w:p>
        </w:tc>
      </w:tr>
      <w:tr w:rsidR="009D4DC9" w14:paraId="3877E5DC" w14:textId="77777777">
        <w:trPr>
          <w:jc w:val="center"/>
        </w:trPr>
        <w:tc>
          <w:tcPr>
            <w:tcW w:w="28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2F047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North West (3)</w:t>
            </w:r>
          </w:p>
        </w:tc>
        <w:tc>
          <w:tcPr>
            <w:tcW w:w="129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8BDF7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0.00011</w:t>
            </w:r>
          </w:p>
        </w:tc>
        <w:tc>
          <w:tcPr>
            <w:tcW w:w="129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C9567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0.00494</w:t>
            </w:r>
          </w:p>
        </w:tc>
        <w:tc>
          <w:tcPr>
            <w:tcW w:w="129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C871B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0.00004</w:t>
            </w:r>
          </w:p>
        </w:tc>
      </w:tr>
      <w:tr w:rsidR="009D4DC9" w14:paraId="366E0428" w14:textId="77777777">
        <w:trPr>
          <w:jc w:val="center"/>
        </w:trPr>
        <w:tc>
          <w:tcPr>
            <w:tcW w:w="28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AF2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9F499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South East (4)</w:t>
            </w:r>
          </w:p>
        </w:tc>
        <w:tc>
          <w:tcPr>
            <w:tcW w:w="129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AF2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97CF3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0.00019</w:t>
            </w:r>
          </w:p>
        </w:tc>
        <w:tc>
          <w:tcPr>
            <w:tcW w:w="129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AF2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B81A4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0.00230</w:t>
            </w:r>
          </w:p>
        </w:tc>
        <w:tc>
          <w:tcPr>
            <w:tcW w:w="129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AF2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96B16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0.00004</w:t>
            </w:r>
          </w:p>
        </w:tc>
      </w:tr>
      <w:tr w:rsidR="009D4DC9" w14:paraId="5EF08009" w14:textId="77777777">
        <w:trPr>
          <w:jc w:val="center"/>
        </w:trPr>
        <w:tc>
          <w:tcPr>
            <w:tcW w:w="28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25237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South South (5)</w:t>
            </w:r>
          </w:p>
        </w:tc>
        <w:tc>
          <w:tcPr>
            <w:tcW w:w="129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8E019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0.00021</w:t>
            </w:r>
          </w:p>
        </w:tc>
        <w:tc>
          <w:tcPr>
            <w:tcW w:w="129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F9E9F0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0.00230</w:t>
            </w:r>
          </w:p>
        </w:tc>
        <w:tc>
          <w:tcPr>
            <w:tcW w:w="129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06146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0.00013</w:t>
            </w:r>
          </w:p>
        </w:tc>
      </w:tr>
      <w:tr w:rsidR="009D4DC9" w14:paraId="5F035425" w14:textId="77777777">
        <w:trPr>
          <w:jc w:val="center"/>
        </w:trPr>
        <w:tc>
          <w:tcPr>
            <w:tcW w:w="288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EAF2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CCFA8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South West (6)</w:t>
            </w:r>
          </w:p>
        </w:tc>
        <w:tc>
          <w:tcPr>
            <w:tcW w:w="1296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EAF2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73993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0.00012</w:t>
            </w:r>
          </w:p>
        </w:tc>
        <w:tc>
          <w:tcPr>
            <w:tcW w:w="1296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EAF2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87234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0.00001</w:t>
            </w:r>
          </w:p>
        </w:tc>
        <w:tc>
          <w:tcPr>
            <w:tcW w:w="1296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EAF2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1F867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0.00041</w:t>
            </w:r>
          </w:p>
        </w:tc>
      </w:tr>
      <w:tr w:rsidR="009D4DC9" w14:paraId="666540D3" w14:textId="77777777">
        <w:trPr>
          <w:jc w:val="center"/>
        </w:trPr>
        <w:tc>
          <w:tcPr>
            <w:tcW w:w="6768" w:type="dxa"/>
            <w:gridSpan w:val="4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FE948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left"/>
              <w:rPr>
                <w:color w:val="000000"/>
                <w:sz w:val="12"/>
                <w:szCs w:val="12"/>
              </w:rPr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</w:tr>
    </w:tbl>
    <w:p w14:paraId="5574DE67" w14:textId="77777777" w:rsidR="009D4DC9" w:rsidRDefault="00052A0C">
      <w:pPr>
        <w:pStyle w:val="Titre3"/>
      </w:pPr>
      <w:bookmarkStart w:id="9" w:name="cultures-et-diversification-q25-q26"/>
      <w:bookmarkEnd w:id="8"/>
      <w:r>
        <w:t>2.2.2</w:t>
      </w:r>
      <w:r>
        <w:tab/>
        <w:t>Cultures et diversification (Q25, Q26)</w:t>
      </w:r>
    </w:p>
    <w:p w14:paraId="7F850A01" w14:textId="77777777" w:rsidR="009D4DC9" w:rsidRDefault="00052A0C">
      <w:r>
        <w:t xml:space="preserve">Pour </w:t>
      </w:r>
      <w:r>
        <w:rPr>
          <w:b/>
          <w:bCs/>
        </w:rPr>
        <w:t>Q25</w:t>
      </w:r>
      <w:r>
        <w:t xml:space="preserve">, la fréquence de chaque culture est calculée au </w:t>
      </w:r>
      <w:r>
        <w:rPr>
          <w:b/>
          <w:bCs/>
        </w:rPr>
        <w:t>niveau ménage</w:t>
      </w:r>
      <w:r>
        <w:t xml:space="preserve"> (un ménage comptant pour 1 même s’il cultive la même espèce sur plusieurs parcelles, via distinct(hhid, cropcode)). La proportion pondérée e</w:t>
      </w:r>
      <w:r>
        <w:t xml:space="preserve">st obtenue par : </w:t>
      </w:r>
      <m:oMath>
        <m:r>
          <m:rPr>
            <m:nor/>
          </m:rPr>
          <m:t>pct</m:t>
        </m:r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</w:rPr>
          <m:t>⋅</m:t>
        </m:r>
        <m:r>
          <m:rPr>
            <m:scr m:val="double-struck"/>
            <m:sty m:val="p"/>
          </m:rPr>
          <w:rPr>
            <w:rFonts w:ascii="Cambria Math" w:hAnsi="Cambria Math"/>
          </w:rPr>
          <m:t>1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hhid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nor/>
              </m:rPr>
              <m:t xml:space="preserve"> cultive </m:t>
            </m:r>
            <m:r>
              <w:rPr>
                <w:rFonts w:ascii="Cambria Math" w:hAnsi="Cambria Math"/>
              </w:rPr>
              <m:t>c</m:t>
            </m:r>
          </m:e>
        </m:d>
        <m:r>
          <m:rPr>
            <m:sty m:val="p"/>
          </m:rPr>
          <w:rPr>
            <w:rFonts w:ascii="Cambria Math" w:hAnsi="Cambria Math"/>
          </w:rPr>
          <m:t>/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</m:oMath>
      <w:r>
        <w:t>. Les cultures sont classées en six types agronomiques selon le codebook GHS, avec traduction en français.</w:t>
      </w:r>
    </w:p>
    <w:p w14:paraId="2DDDBA7B" w14:textId="77777777" w:rsidR="009D4DC9" w:rsidRDefault="00052A0C">
      <w:pPr>
        <w:pStyle w:val="Corpsdetexte"/>
      </w:pPr>
      <w:r>
        <w:t xml:space="preserve">Pour </w:t>
      </w:r>
      <w:r>
        <w:rPr>
          <w:b/>
          <w:bCs/>
        </w:rPr>
        <w:t>Q26</w:t>
      </w:r>
      <w:r>
        <w:t xml:space="preserve">, l’indice de diversification est le nombre de codes cultures distincts par ménage. La comparaison Urbain/Rural est réalisée par le </w:t>
      </w:r>
      <w:r>
        <w:rPr>
          <w:b/>
          <w:bCs/>
        </w:rPr>
        <w:t>test de Wilcoxon-Mann-Whitney</w:t>
      </w:r>
      <w:r>
        <w:t xml:space="preserve"> (non paramétrique, adapté à la distribution discrète bornée de cet indice), complété par la </w:t>
      </w:r>
      <w:r>
        <w:rPr>
          <w:b/>
          <w:bCs/>
        </w:rPr>
        <w:t>ta</w:t>
      </w:r>
      <w:r>
        <w:rPr>
          <w:b/>
          <w:bCs/>
        </w:rPr>
        <w:t>ille d’effet r de Rosenthal</w:t>
      </w:r>
      <w:r>
        <w:t xml:space="preserve"> :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m:rPr>
            <m:sty m:val="p"/>
          </m:rPr>
          <w:rPr>
            <w:rFonts w:ascii="Cambria Math" w:hAnsi="Cambria Math"/>
          </w:rPr>
          <m:t>/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</m:oMath>
      <w:r>
        <w:t>, interprétée comme négligeable (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</m:t>
        </m:r>
      </m:oMath>
      <w:r>
        <w:t>), petite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</m:t>
        </m:r>
      </m:oMath>
      <w:r>
        <w:t>–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30</m:t>
        </m:r>
      </m:oMath>
      <w:r>
        <w:t>), moyenne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30</m:t>
        </m:r>
      </m:oMath>
      <w:r>
        <w:t>–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50</m:t>
        </m:r>
      </m:oMath>
      <w:r>
        <w:t>) ou grande (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50</m:t>
        </m:r>
      </m:oMath>
      <w:r>
        <w:t>).</w:t>
      </w:r>
    </w:p>
    <w:p w14:paraId="2E47CCBD" w14:textId="77777777" w:rsidR="009D4DC9" w:rsidRDefault="00052A0C">
      <w:pPr>
        <w:pStyle w:val="Titre3"/>
      </w:pPr>
      <w:bookmarkStart w:id="10" w:name="adoption-des-intrants-q27"/>
      <w:bookmarkEnd w:id="9"/>
      <w:r>
        <w:t>2.2.3</w:t>
      </w:r>
      <w:r>
        <w:tab/>
        <w:t>Adoption des intrants (Q27)</w:t>
      </w:r>
    </w:p>
    <w:p w14:paraId="13863027" w14:textId="77777777" w:rsidR="009D4DC9" w:rsidRDefault="00052A0C">
      <w:r>
        <w:t xml:space="preserve">Le fichier secta11c2_harvestw4 </w:t>
      </w:r>
      <w:r>
        <w:t xml:space="preserve">collecte l’utilisation réelle (oui/non) de six intrants au niveau </w:t>
      </w:r>
      <w:r>
        <w:rPr>
          <w:b/>
          <w:bCs/>
        </w:rPr>
        <w:t>parcelle</w:t>
      </w:r>
      <w:r>
        <w:t xml:space="preserve"> : engrais inorganique (NPK, Urée), engrais organique, pesticide, herbicide. L’agrégation au </w:t>
      </w:r>
      <w:r>
        <w:rPr>
          <w:b/>
          <w:bCs/>
        </w:rPr>
        <w:t>niveau ménage</w:t>
      </w:r>
      <w:r>
        <w:t xml:space="preserve"> repose sur la règle any() : un ménage est classé “utilisateur” si au moins </w:t>
      </w:r>
      <w:r>
        <w:t xml:space="preserve">une de ses parcelles a reçu l’intrant. Les taux pondérés sont estimés via survey_mean() du package srvyr, avec intervalles de confiance à 95%. L’association entre milieu (Urbain/Rural) et adoption de l’engrais inorganique est testée par le </w:t>
      </w:r>
      <w:r>
        <w:rPr>
          <w:b/>
          <w:bCs/>
        </w:rPr>
        <w:t>test du chi-deux</w:t>
      </w:r>
      <w:r>
        <w:t xml:space="preserve"> de Pearson.</w:t>
      </w:r>
    </w:p>
    <w:p w14:paraId="1DF1F235" w14:textId="77777777" w:rsidR="009D4DC9" w:rsidRDefault="00052A0C">
      <w:pPr>
        <w:pStyle w:val="Titre3"/>
      </w:pPr>
      <w:bookmarkStart w:id="11" w:name="tests-et-valeurs-aberrantes-q28-q29"/>
      <w:bookmarkEnd w:id="10"/>
      <w:r>
        <w:t>2.2.4</w:t>
      </w:r>
      <w:r>
        <w:tab/>
        <w:t>Tests et valeurs aberrantes (Q28, Q29)</w:t>
      </w:r>
    </w:p>
    <w:p w14:paraId="65E58AE8" w14:textId="77777777" w:rsidR="009D4DC9" w:rsidRDefault="00052A0C">
      <w:r>
        <w:lastRenderedPageBreak/>
        <w:t xml:space="preserve">Les valeurs aberrantes de rendement sont supprimées par la règle </w:t>
      </w:r>
      <w:r>
        <w:rPr>
          <w:b/>
          <w:bCs/>
        </w:rPr>
        <w:t>IQR × 3</w:t>
      </w:r>
      <w:r>
        <w:t>, appliquée séparément par culture (maïs, millet). Cette règle, plus conservative que IQR × 1,5, préserve la variabilité natur</w:t>
      </w:r>
      <w:r>
        <w:t xml:space="preserve">elle des rendements agricoles smallholder. La significativité des différences inter-États est testée par le </w:t>
      </w:r>
      <w:r>
        <w:rPr>
          <w:b/>
          <w:bCs/>
        </w:rPr>
        <w:t>test de Kruskal-Wallis</w:t>
      </w:r>
      <w:r>
        <w:t xml:space="preserve"> (non paramétrique, H0 : distributions identiques entre États). Pour Q29, le </w:t>
      </w:r>
      <w:r>
        <w:rPr>
          <w:b/>
          <w:bCs/>
        </w:rPr>
        <w:t>test de Wilcoxon-Mann-Whitney</w:t>
      </w:r>
      <w:r>
        <w:t xml:space="preserve"> compare les rendeme</w:t>
      </w:r>
      <w:r>
        <w:t>nts avec et sans engrais, complété par r de Rosenthal.</w:t>
      </w:r>
    </w:p>
    <w:p w14:paraId="320ED434" w14:textId="77777777" w:rsidR="009D4DC9" w:rsidRDefault="00052A0C">
      <w:r>
        <w:br w:type="page"/>
      </w:r>
    </w:p>
    <w:p w14:paraId="7DEF9445" w14:textId="77777777" w:rsidR="009D4DC9" w:rsidRDefault="00052A0C">
      <w:r>
        <w:lastRenderedPageBreak/>
        <w:pict w14:anchorId="2D66645E">
          <v:rect id="_x0000_i1029" style="width:0;height:1.5pt" o:hralign="center" o:hrstd="t" o:hr="t"/>
        </w:pict>
      </w:r>
    </w:p>
    <w:p w14:paraId="6B1822E9" w14:textId="77777777" w:rsidR="009D4DC9" w:rsidRDefault="00052A0C">
      <w:pPr>
        <w:pStyle w:val="Titre1"/>
      </w:pPr>
      <w:bookmarkStart w:id="12" w:name="présentation-des-résultats"/>
      <w:bookmarkStart w:id="13" w:name="_Toc227465779"/>
      <w:bookmarkEnd w:id="2"/>
      <w:bookmarkEnd w:id="6"/>
      <w:bookmarkEnd w:id="11"/>
      <w:r>
        <w:t>3</w:t>
      </w:r>
      <w:r>
        <w:tab/>
        <w:t>Présentation des résultats</w:t>
      </w:r>
      <w:bookmarkEnd w:id="13"/>
    </w:p>
    <w:p w14:paraId="18002AA0" w14:textId="77777777" w:rsidR="009D4DC9" w:rsidRDefault="00052A0C">
      <w:r>
        <w:pict w14:anchorId="4C252963">
          <v:rect id="_x0000_i1030" style="width:0;height:1.5pt" o:hralign="center" o:hrstd="t" o:hr="t"/>
        </w:pict>
      </w:r>
    </w:p>
    <w:p w14:paraId="596FF7D7" w14:textId="77777777" w:rsidR="009D4DC9" w:rsidRDefault="00052A0C">
      <w:pPr>
        <w:pStyle w:val="Titre2"/>
      </w:pPr>
      <w:bookmarkStart w:id="14" w:name="cultures-pratiquées-q25"/>
      <w:bookmarkStart w:id="15" w:name="_Toc227465780"/>
      <w:r>
        <w:t>3.1</w:t>
      </w:r>
      <w:r>
        <w:tab/>
        <w:t>Cultures pratiquées (Q25)</w:t>
      </w:r>
      <w:bookmarkEnd w:id="15"/>
    </w:p>
    <w:p w14:paraId="3783EA64" w14:textId="77777777" w:rsidR="009D4DC9" w:rsidRDefault="00052A0C">
      <w:r>
        <w:rPr>
          <w:noProof/>
        </w:rPr>
        <w:drawing>
          <wp:inline distT="0" distB="0" distL="0" distR="0" wp14:anchorId="48B1A07E" wp14:editId="6166E055">
            <wp:extent cx="5880100" cy="4736747"/>
            <wp:effectExtent l="0" t="0" r="0" b="0"/>
            <wp:docPr id="29" name="Picture" descr="Top 15 des cultures pratiquées par les ménages agricoles — GHS Wave 4, 2018. Pondération wt_wave4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Rapport_TP5_cultures_rendements_files/figure-docx/fig_top15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100" cy="4736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C3DEC2" w14:textId="77777777" w:rsidR="009D4DC9" w:rsidRDefault="00052A0C">
      <w:r>
        <w:t>Top 15 des cultures pratiquées par les ménages agricoles — GHS Wave 4, 2018. Pondération wt_wave4.</w:t>
      </w:r>
    </w:p>
    <w:p w14:paraId="2745AFEA" w14:textId="77777777" w:rsidR="009D4DC9" w:rsidRDefault="00052A0C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 w:line="240" w:lineRule="auto"/>
        <w:ind w:left="60" w:right="60"/>
        <w:jc w:val="center"/>
      </w:pPr>
      <w:r>
        <w:t>Tableau 3 : Top 15 des cultures pra</w:t>
      </w:r>
      <w:r>
        <w:t>tiquées — GHS Wave 4, 2018 (% pondérés).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880"/>
        <w:gridCol w:w="2592"/>
        <w:gridCol w:w="1872"/>
      </w:tblGrid>
      <w:tr w:rsidR="009D4DC9" w14:paraId="72CBA8A7" w14:textId="77777777">
        <w:trPr>
          <w:tblHeader/>
          <w:jc w:val="center"/>
        </w:trPr>
        <w:tc>
          <w:tcPr>
            <w:tcW w:w="28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7A6C04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left"/>
              <w:rPr>
                <w:b/>
                <w:color w:val="FFFFFF"/>
                <w:sz w:val="19"/>
                <w:szCs w:val="19"/>
              </w:rPr>
            </w:pPr>
            <w:r>
              <w:rPr>
                <w:b/>
                <w:color w:val="FFFFFF"/>
                <w:sz w:val="19"/>
                <w:szCs w:val="19"/>
              </w:rPr>
              <w:t>Culture</w:t>
            </w:r>
          </w:p>
        </w:tc>
        <w:tc>
          <w:tcPr>
            <w:tcW w:w="259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E9E48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left"/>
              <w:rPr>
                <w:b/>
                <w:color w:val="FFFFFF"/>
                <w:sz w:val="19"/>
                <w:szCs w:val="19"/>
              </w:rPr>
            </w:pPr>
            <w:r>
              <w:rPr>
                <w:b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87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B1F46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right"/>
              <w:rPr>
                <w:b/>
                <w:color w:val="FFFFFF"/>
                <w:sz w:val="19"/>
                <w:szCs w:val="19"/>
              </w:rPr>
            </w:pPr>
            <w:r>
              <w:rPr>
                <w:b/>
                <w:color w:val="FFFFFF"/>
                <w:sz w:val="19"/>
                <w:szCs w:val="19"/>
              </w:rPr>
              <w:t>% ménages</w:t>
            </w:r>
          </w:p>
        </w:tc>
      </w:tr>
      <w:tr w:rsidR="009D4DC9" w14:paraId="10F34520" w14:textId="77777777">
        <w:trPr>
          <w:jc w:val="center"/>
        </w:trPr>
        <w:tc>
          <w:tcPr>
            <w:tcW w:w="288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D6EA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201FC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Maïs</w:t>
            </w:r>
          </w:p>
        </w:tc>
        <w:tc>
          <w:tcPr>
            <w:tcW w:w="2592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D6EA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E2E900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Céréale</w:t>
            </w:r>
          </w:p>
        </w:tc>
        <w:tc>
          <w:tcPr>
            <w:tcW w:w="1872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D6EA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1197A3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50.6</w:t>
            </w:r>
          </w:p>
        </w:tc>
      </w:tr>
      <w:tr w:rsidR="009D4DC9" w14:paraId="039CC719" w14:textId="77777777">
        <w:trPr>
          <w:jc w:val="center"/>
        </w:trPr>
        <w:tc>
          <w:tcPr>
            <w:tcW w:w="28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DEBD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F884E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Manioc</w:t>
            </w:r>
          </w:p>
        </w:tc>
        <w:tc>
          <w:tcPr>
            <w:tcW w:w="259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DEBD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D1491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Tubercule</w:t>
            </w:r>
          </w:p>
        </w:tc>
        <w:tc>
          <w:tcPr>
            <w:tcW w:w="18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DEBD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ADEA9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47.1</w:t>
            </w:r>
          </w:p>
        </w:tc>
      </w:tr>
      <w:tr w:rsidR="009D4DC9" w14:paraId="20119D0F" w14:textId="77777777">
        <w:trPr>
          <w:jc w:val="center"/>
        </w:trPr>
        <w:tc>
          <w:tcPr>
            <w:tcW w:w="28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D6EA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ECB6C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Sorgho</w:t>
            </w:r>
          </w:p>
        </w:tc>
        <w:tc>
          <w:tcPr>
            <w:tcW w:w="259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D6EA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EB0B1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Céréale</w:t>
            </w:r>
          </w:p>
        </w:tc>
        <w:tc>
          <w:tcPr>
            <w:tcW w:w="18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D6EA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D7AED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30.1</w:t>
            </w:r>
          </w:p>
        </w:tc>
      </w:tr>
      <w:tr w:rsidR="009D4DC9" w14:paraId="5C3A80A6" w14:textId="77777777">
        <w:trPr>
          <w:jc w:val="center"/>
        </w:trPr>
        <w:tc>
          <w:tcPr>
            <w:tcW w:w="28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DEBD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2FC73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Igname blanche</w:t>
            </w:r>
          </w:p>
        </w:tc>
        <w:tc>
          <w:tcPr>
            <w:tcW w:w="259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DEBD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BA3DC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Tubercule</w:t>
            </w:r>
          </w:p>
        </w:tc>
        <w:tc>
          <w:tcPr>
            <w:tcW w:w="18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DEBD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A3831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21.8</w:t>
            </w:r>
          </w:p>
        </w:tc>
      </w:tr>
      <w:tr w:rsidR="009D4DC9" w14:paraId="449AB54F" w14:textId="77777777">
        <w:trPr>
          <w:jc w:val="center"/>
        </w:trPr>
        <w:tc>
          <w:tcPr>
            <w:tcW w:w="28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D5F5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639C5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Niébé / Haricot</w:t>
            </w:r>
          </w:p>
        </w:tc>
        <w:tc>
          <w:tcPr>
            <w:tcW w:w="259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D5F5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30FC3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Légumineuse</w:t>
            </w:r>
          </w:p>
        </w:tc>
        <w:tc>
          <w:tcPr>
            <w:tcW w:w="18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D5F5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07378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21.5</w:t>
            </w:r>
          </w:p>
        </w:tc>
      </w:tr>
      <w:tr w:rsidR="009D4DC9" w14:paraId="20C80CC6" w14:textId="77777777">
        <w:trPr>
          <w:jc w:val="center"/>
        </w:trPr>
        <w:tc>
          <w:tcPr>
            <w:tcW w:w="28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D6EA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A7522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Mil</w:t>
            </w:r>
          </w:p>
        </w:tc>
        <w:tc>
          <w:tcPr>
            <w:tcW w:w="259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D6EA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C8699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Céréale</w:t>
            </w:r>
          </w:p>
        </w:tc>
        <w:tc>
          <w:tcPr>
            <w:tcW w:w="18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D6EA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46F20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20.3</w:t>
            </w:r>
          </w:p>
        </w:tc>
      </w:tr>
      <w:tr w:rsidR="009D4DC9" w14:paraId="4F3205D9" w14:textId="77777777">
        <w:trPr>
          <w:jc w:val="center"/>
        </w:trPr>
        <w:tc>
          <w:tcPr>
            <w:tcW w:w="28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D5F5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EBBDB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Arachide</w:t>
            </w:r>
          </w:p>
        </w:tc>
        <w:tc>
          <w:tcPr>
            <w:tcW w:w="259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D5F5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995AE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Légumineuse</w:t>
            </w:r>
          </w:p>
        </w:tc>
        <w:tc>
          <w:tcPr>
            <w:tcW w:w="18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D5F5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0FF4E1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18.0</w:t>
            </w:r>
          </w:p>
        </w:tc>
      </w:tr>
      <w:tr w:rsidR="009D4DC9" w14:paraId="5A28B279" w14:textId="77777777">
        <w:trPr>
          <w:jc w:val="center"/>
        </w:trPr>
        <w:tc>
          <w:tcPr>
            <w:tcW w:w="28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D6EA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732D1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Riz</w:t>
            </w:r>
          </w:p>
        </w:tc>
        <w:tc>
          <w:tcPr>
            <w:tcW w:w="259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D6EA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565BA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Céréale</w:t>
            </w:r>
          </w:p>
        </w:tc>
        <w:tc>
          <w:tcPr>
            <w:tcW w:w="18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D6EA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C5655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14.4</w:t>
            </w:r>
          </w:p>
        </w:tc>
      </w:tr>
      <w:tr w:rsidR="009D4DC9" w14:paraId="3BEEF44B" w14:textId="77777777">
        <w:trPr>
          <w:jc w:val="center"/>
        </w:trPr>
        <w:tc>
          <w:tcPr>
            <w:tcW w:w="28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D5F5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3C39E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Soja</w:t>
            </w:r>
          </w:p>
        </w:tc>
        <w:tc>
          <w:tcPr>
            <w:tcW w:w="259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D5F5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846FB2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Légumineuse</w:t>
            </w:r>
          </w:p>
        </w:tc>
        <w:tc>
          <w:tcPr>
            <w:tcW w:w="18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D5F5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BDDDB4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8.3</w:t>
            </w:r>
          </w:p>
        </w:tc>
      </w:tr>
      <w:tr w:rsidR="009D4DC9" w14:paraId="22E5B031" w14:textId="77777777">
        <w:trPr>
          <w:jc w:val="center"/>
        </w:trPr>
        <w:tc>
          <w:tcPr>
            <w:tcW w:w="28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DEBD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1EBA09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>Macabo</w:t>
            </w:r>
          </w:p>
        </w:tc>
        <w:tc>
          <w:tcPr>
            <w:tcW w:w="259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DEBD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D3CE7A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Tubercule</w:t>
            </w:r>
          </w:p>
        </w:tc>
        <w:tc>
          <w:tcPr>
            <w:tcW w:w="18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DEBD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A4E4AD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7.8</w:t>
            </w:r>
          </w:p>
        </w:tc>
      </w:tr>
      <w:tr w:rsidR="009D4DC9" w14:paraId="21EE7BB2" w14:textId="77777777">
        <w:trPr>
          <w:jc w:val="center"/>
        </w:trPr>
        <w:tc>
          <w:tcPr>
            <w:tcW w:w="28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DEBD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51EA4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Igname d'eau</w:t>
            </w:r>
          </w:p>
        </w:tc>
        <w:tc>
          <w:tcPr>
            <w:tcW w:w="259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DEBD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95676C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Tubercule</w:t>
            </w:r>
          </w:p>
        </w:tc>
        <w:tc>
          <w:tcPr>
            <w:tcW w:w="18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DEBD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D7F04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6.4</w:t>
            </w:r>
          </w:p>
        </w:tc>
      </w:tr>
      <w:tr w:rsidR="009D4DC9" w14:paraId="186A86F0" w14:textId="77777777">
        <w:trPr>
          <w:jc w:val="center"/>
        </w:trPr>
        <w:tc>
          <w:tcPr>
            <w:tcW w:w="28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AF2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C1AD4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Gombo</w:t>
            </w:r>
          </w:p>
        </w:tc>
        <w:tc>
          <w:tcPr>
            <w:tcW w:w="259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AF2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E1593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Légume</w:t>
            </w:r>
          </w:p>
        </w:tc>
        <w:tc>
          <w:tcPr>
            <w:tcW w:w="18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AF2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3E8B15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6.1</w:t>
            </w:r>
          </w:p>
        </w:tc>
      </w:tr>
      <w:tr w:rsidR="009D4DC9" w14:paraId="2026E75E" w14:textId="77777777">
        <w:trPr>
          <w:jc w:val="center"/>
        </w:trPr>
        <w:tc>
          <w:tcPr>
            <w:tcW w:w="28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764A7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Citrouille</w:t>
            </w:r>
          </w:p>
        </w:tc>
        <w:tc>
          <w:tcPr>
            <w:tcW w:w="259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D2EBE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Légume</w:t>
            </w:r>
          </w:p>
        </w:tc>
        <w:tc>
          <w:tcPr>
            <w:tcW w:w="18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6DADB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4.8</w:t>
            </w:r>
          </w:p>
        </w:tc>
      </w:tr>
      <w:tr w:rsidR="009D4DC9" w14:paraId="5D0EEC12" w14:textId="77777777">
        <w:trPr>
          <w:jc w:val="center"/>
        </w:trPr>
        <w:tc>
          <w:tcPr>
            <w:tcW w:w="28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8DA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6BDFE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Sésame</w:t>
            </w:r>
          </w:p>
        </w:tc>
        <w:tc>
          <w:tcPr>
            <w:tcW w:w="259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8DA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37FA2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Culture de rente</w:t>
            </w:r>
          </w:p>
        </w:tc>
        <w:tc>
          <w:tcPr>
            <w:tcW w:w="18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8DA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432D5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3.8</w:t>
            </w:r>
          </w:p>
        </w:tc>
      </w:tr>
      <w:tr w:rsidR="009D4DC9" w14:paraId="4861CDEB" w14:textId="77777777">
        <w:trPr>
          <w:jc w:val="center"/>
        </w:trPr>
        <w:tc>
          <w:tcPr>
            <w:tcW w:w="288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34E73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Piment fort</w:t>
            </w:r>
          </w:p>
        </w:tc>
        <w:tc>
          <w:tcPr>
            <w:tcW w:w="2592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65586F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Légume</w:t>
            </w:r>
          </w:p>
        </w:tc>
        <w:tc>
          <w:tcPr>
            <w:tcW w:w="1872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FE7F2E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2.9</w:t>
            </w:r>
          </w:p>
        </w:tc>
      </w:tr>
      <w:tr w:rsidR="009D4DC9" w14:paraId="1B565E3B" w14:textId="77777777">
        <w:trPr>
          <w:jc w:val="center"/>
        </w:trPr>
        <w:tc>
          <w:tcPr>
            <w:tcW w:w="7344" w:type="dxa"/>
            <w:gridSpan w:val="3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591C7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left"/>
              <w:rPr>
                <w:color w:val="000000"/>
                <w:sz w:val="12"/>
                <w:szCs w:val="12"/>
              </w:rPr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</w:tr>
    </w:tbl>
    <w:p w14:paraId="5B69B64E" w14:textId="77777777" w:rsidR="009D4DC9" w:rsidRDefault="00052A0C">
      <w:pPr>
        <w:pStyle w:val="Corpsdetexte"/>
      </w:pPr>
      <w:r>
        <w:t xml:space="preserve">La culture la plus répandue est le </w:t>
      </w:r>
      <w:r>
        <w:rPr>
          <w:b/>
          <w:bCs/>
        </w:rPr>
        <w:t>Maïs</w:t>
      </w:r>
      <w:r>
        <w:t xml:space="preserve">, pratiqué par </w:t>
      </w:r>
      <w:r>
        <w:rPr>
          <w:b/>
          <w:bCs/>
        </w:rPr>
        <w:t>50.6%</w:t>
      </w:r>
      <w:r>
        <w:t xml:space="preserve"> </w:t>
      </w:r>
      <w:r>
        <w:t xml:space="preserve">des ménages agricoles nigérians. Les </w:t>
      </w:r>
      <w:r>
        <w:rPr>
          <w:b/>
          <w:bCs/>
        </w:rPr>
        <w:t>céréales</w:t>
      </w:r>
      <w:r>
        <w:t xml:space="preserve"> (4 dans le top 15 : maïs, sorgho, millet, riz, acha) dominent le paysage cultural, soulignant leur rôle central dans la sécurité alimentaire nationale. Les tubercules (manioc, ignames) constituent la seconde fa</w:t>
      </w:r>
      <w:r>
        <w:t>mille dominante, reflétant les spécificités agro-écologiques du Sud du Nigeria. Les légumineuses (niébé, arachide, melon/egusi) et les cultures de rente (palmier à huile, plantain) complètent ce tableau diversifié.</w:t>
      </w:r>
    </w:p>
    <w:p w14:paraId="0183A302" w14:textId="77777777" w:rsidR="009D4DC9" w:rsidRDefault="00052A0C">
      <w:pPr>
        <w:pStyle w:val="Titre2"/>
      </w:pPr>
      <w:bookmarkStart w:id="16" w:name="diversification-culturale-q26"/>
      <w:bookmarkStart w:id="17" w:name="_Toc227465781"/>
      <w:bookmarkEnd w:id="14"/>
      <w:r>
        <w:t>3.2</w:t>
      </w:r>
      <w:r>
        <w:tab/>
        <w:t>Diversification culturale (Q26)</w:t>
      </w:r>
      <w:bookmarkEnd w:id="17"/>
    </w:p>
    <w:p w14:paraId="321140F2" w14:textId="77777777" w:rsidR="009D4DC9" w:rsidRDefault="00052A0C">
      <w:r>
        <w:rPr>
          <w:noProof/>
        </w:rPr>
        <w:drawing>
          <wp:inline distT="0" distB="0" distL="0" distR="0" wp14:anchorId="42B8FF8F" wp14:editId="4E30F341">
            <wp:extent cx="5880100" cy="3229071"/>
            <wp:effectExtent l="0" t="0" r="0" b="0"/>
            <wp:docPr id="33" name="Picture" descr="Distribution et comparaison de la diversification culturale par milieu — GHS Wave 4, 2018. Losange orange = moyenne pondérée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Rapport_TP5_cultures_rendements_files/figure-docx/fig_diversif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100" cy="3229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F546C0" w14:textId="77777777" w:rsidR="009D4DC9" w:rsidRDefault="00052A0C">
      <w:r>
        <w:t>Distribution et comparaison de la diversification culturale par milieu — GHS Wave 4, 2018. Losange orange = moyenne pondérée.</w:t>
      </w:r>
    </w:p>
    <w:p w14:paraId="0EA819FE" w14:textId="77777777" w:rsidR="009D4DC9" w:rsidRDefault="00052A0C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 w:line="240" w:lineRule="auto"/>
        <w:ind w:left="60" w:right="60"/>
        <w:jc w:val="center"/>
      </w:pPr>
      <w:r>
        <w:t>Tableau 4 : Diversification culturale pondérée par milieu — GHS Wave 4, 2018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160"/>
        <w:gridCol w:w="1728"/>
        <w:gridCol w:w="1728"/>
        <w:gridCol w:w="1728"/>
        <w:gridCol w:w="1728"/>
      </w:tblGrid>
      <w:tr w:rsidR="009D4DC9" w14:paraId="3ED76702" w14:textId="77777777">
        <w:trPr>
          <w:tblHeader/>
          <w:jc w:val="center"/>
        </w:trPr>
        <w:tc>
          <w:tcPr>
            <w:tcW w:w="21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9E629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left"/>
              <w:rPr>
                <w:b/>
                <w:color w:val="FFFFFF"/>
                <w:sz w:val="19"/>
                <w:szCs w:val="19"/>
              </w:rPr>
            </w:pPr>
            <w:r>
              <w:rPr>
                <w:b/>
                <w:color w:val="FFFFFF"/>
                <w:sz w:val="19"/>
                <w:szCs w:val="19"/>
              </w:rPr>
              <w:t>Milieu</w:t>
            </w:r>
          </w:p>
        </w:tc>
        <w:tc>
          <w:tcPr>
            <w:tcW w:w="172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F9846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right"/>
              <w:rPr>
                <w:b/>
                <w:color w:val="FFFFFF"/>
                <w:sz w:val="19"/>
                <w:szCs w:val="19"/>
              </w:rPr>
            </w:pPr>
            <w:r>
              <w:rPr>
                <w:b/>
                <w:color w:val="FFFFFF"/>
                <w:sz w:val="19"/>
                <w:szCs w:val="19"/>
              </w:rPr>
              <w:t>Moyenne pond.</w:t>
            </w:r>
          </w:p>
        </w:tc>
        <w:tc>
          <w:tcPr>
            <w:tcW w:w="172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1860D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right"/>
              <w:rPr>
                <w:b/>
                <w:color w:val="FFFFFF"/>
                <w:sz w:val="19"/>
                <w:szCs w:val="19"/>
              </w:rPr>
            </w:pPr>
            <w:r>
              <w:rPr>
                <w:b/>
                <w:color w:val="FFFFFF"/>
                <w:sz w:val="19"/>
                <w:szCs w:val="19"/>
              </w:rPr>
              <w:t>IC inf. 95%</w:t>
            </w:r>
          </w:p>
        </w:tc>
        <w:tc>
          <w:tcPr>
            <w:tcW w:w="172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08BA5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right"/>
              <w:rPr>
                <w:b/>
                <w:color w:val="FFFFFF"/>
                <w:sz w:val="19"/>
                <w:szCs w:val="19"/>
              </w:rPr>
            </w:pPr>
            <w:r>
              <w:rPr>
                <w:b/>
                <w:color w:val="FFFFFF"/>
                <w:sz w:val="19"/>
                <w:szCs w:val="19"/>
              </w:rPr>
              <w:t>IC sup. 95%</w:t>
            </w:r>
          </w:p>
        </w:tc>
        <w:tc>
          <w:tcPr>
            <w:tcW w:w="172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A1A80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right"/>
              <w:rPr>
                <w:b/>
                <w:color w:val="FFFFFF"/>
                <w:sz w:val="19"/>
                <w:szCs w:val="19"/>
              </w:rPr>
            </w:pPr>
            <w:r>
              <w:rPr>
                <w:b/>
                <w:color w:val="FFFFFF"/>
                <w:sz w:val="19"/>
                <w:szCs w:val="19"/>
              </w:rPr>
              <w:t xml:space="preserve">Médiane </w:t>
            </w:r>
            <w:r>
              <w:rPr>
                <w:b/>
                <w:color w:val="FFFFFF"/>
                <w:sz w:val="19"/>
                <w:szCs w:val="19"/>
              </w:rPr>
              <w:t>pond.</w:t>
            </w:r>
          </w:p>
        </w:tc>
      </w:tr>
      <w:tr w:rsidR="009D4DC9" w14:paraId="3A90E2C3" w14:textId="77777777">
        <w:trPr>
          <w:jc w:val="center"/>
        </w:trPr>
        <w:tc>
          <w:tcPr>
            <w:tcW w:w="216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78EA4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Urbain</w:t>
            </w:r>
          </w:p>
        </w:tc>
        <w:tc>
          <w:tcPr>
            <w:tcW w:w="1728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81E65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2.67</w:t>
            </w:r>
          </w:p>
        </w:tc>
        <w:tc>
          <w:tcPr>
            <w:tcW w:w="1728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2C2FB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2.50</w:t>
            </w:r>
          </w:p>
        </w:tc>
        <w:tc>
          <w:tcPr>
            <w:tcW w:w="1728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F2387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2.84</w:t>
            </w:r>
          </w:p>
        </w:tc>
        <w:tc>
          <w:tcPr>
            <w:tcW w:w="1728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2ADC4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</w:tr>
      <w:tr w:rsidR="009D4DC9" w14:paraId="063819DC" w14:textId="77777777">
        <w:trPr>
          <w:jc w:val="center"/>
        </w:trPr>
        <w:tc>
          <w:tcPr>
            <w:tcW w:w="216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EAF2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83345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Rural</w:t>
            </w:r>
          </w:p>
        </w:tc>
        <w:tc>
          <w:tcPr>
            <w:tcW w:w="1728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EAF2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B3D580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2.88</w:t>
            </w:r>
          </w:p>
        </w:tc>
        <w:tc>
          <w:tcPr>
            <w:tcW w:w="1728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EAF2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27DDF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2.81</w:t>
            </w:r>
          </w:p>
        </w:tc>
        <w:tc>
          <w:tcPr>
            <w:tcW w:w="1728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EAF2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39CD8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2.95</w:t>
            </w:r>
          </w:p>
        </w:tc>
        <w:tc>
          <w:tcPr>
            <w:tcW w:w="1728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EAF2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4D33A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</w:tr>
      <w:tr w:rsidR="009D4DC9" w14:paraId="3858FAEA" w14:textId="77777777">
        <w:trPr>
          <w:jc w:val="center"/>
        </w:trPr>
        <w:tc>
          <w:tcPr>
            <w:tcW w:w="9072" w:type="dxa"/>
            <w:gridSpan w:val="5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4D2D5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left"/>
              <w:rPr>
                <w:color w:val="000000"/>
                <w:sz w:val="12"/>
                <w:szCs w:val="12"/>
              </w:rPr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</w:tr>
    </w:tbl>
    <w:p w14:paraId="489EAC10" w14:textId="77777777" w:rsidR="009D4DC9" w:rsidRDefault="00052A0C">
      <w:pPr>
        <w:pStyle w:val="Corpsdetexte"/>
      </w:pPr>
      <w:r>
        <w:t xml:space="preserve">Les ménages ruraux cultivent en moyenne </w:t>
      </w:r>
      <w:r>
        <w:rPr>
          <w:b/>
          <w:bCs/>
        </w:rPr>
        <w:t>2.88 cultures</w:t>
      </w:r>
      <w:r>
        <w:t xml:space="preserve"> contre </w:t>
      </w:r>
      <w:r>
        <w:rPr>
          <w:b/>
          <w:bCs/>
        </w:rPr>
        <w:t>2.67</w:t>
      </w:r>
      <w:r>
        <w:t xml:space="preserve"> </w:t>
      </w:r>
      <w:r>
        <w:t xml:space="preserve">en milieu urbain. Le test de Wilcoxon-Mann-Whitney confirme une différence </w:t>
      </w:r>
      <w:r>
        <w:rPr>
          <w:b/>
          <w:bCs/>
        </w:rPr>
        <w:t>hautement significative</w:t>
      </w:r>
      <w:r>
        <w:t xml:space="preserve"> (p = 2e-12, r = 0.12), avec une taille d’effet qualifiée de petite. Cette pluriculture rurale </w:t>
      </w:r>
      <w:r>
        <w:lastRenderedPageBreak/>
        <w:t>reflète les stratégies de diversification et de résilience alim</w:t>
      </w:r>
      <w:r>
        <w:t>entaire des exploitations familiales nigérianes, qui répartissent les risques climatiques et économiques sur plusieurs productions.</w:t>
      </w:r>
    </w:p>
    <w:p w14:paraId="0A3BBF7A" w14:textId="77777777" w:rsidR="009D4DC9" w:rsidRDefault="00052A0C">
      <w:pPr>
        <w:pStyle w:val="Titre2"/>
      </w:pPr>
      <w:bookmarkStart w:id="18" w:name="adoption-des-intrants-agricoles-q27"/>
      <w:bookmarkStart w:id="19" w:name="_Toc227465782"/>
      <w:bookmarkEnd w:id="16"/>
      <w:r>
        <w:t>3.3</w:t>
      </w:r>
      <w:r>
        <w:tab/>
        <w:t>Adoption des intrants agricoles (Q27)</w:t>
      </w:r>
      <w:bookmarkEnd w:id="19"/>
    </w:p>
    <w:p w14:paraId="312D60BF" w14:textId="77777777" w:rsidR="009D4DC9" w:rsidRDefault="00052A0C">
      <w:r>
        <w:rPr>
          <w:noProof/>
        </w:rPr>
        <w:drawing>
          <wp:inline distT="0" distB="0" distL="0" distR="0" wp14:anchorId="46F0EA71" wp14:editId="235EC51F">
            <wp:extent cx="5880100" cy="3430058"/>
            <wp:effectExtent l="0" t="0" r="0" b="0"/>
            <wp:docPr id="37" name="Picture" descr="Taux d’adoption pondérés des intrants agricoles par type — GHS Wave 4, 2018. Barres d’erreur : IC 95%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Rapport_TP5_cultures_rendements_files/figure-docx/fig_intrants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100" cy="3430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E5466B" w14:textId="77777777" w:rsidR="009D4DC9" w:rsidRDefault="00052A0C">
      <w:r>
        <w:t>Taux d’adoption pondérés des intrants agricoles par type — GHS Wave 4, 2018. Bar</w:t>
      </w:r>
      <w:r>
        <w:t>res d’erreur : IC 95%.</w:t>
      </w:r>
    </w:p>
    <w:p w14:paraId="5ACB5834" w14:textId="77777777" w:rsidR="009D4DC9" w:rsidRDefault="00052A0C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 w:line="240" w:lineRule="auto"/>
        <w:ind w:left="60" w:right="60"/>
        <w:jc w:val="center"/>
      </w:pPr>
      <w:r>
        <w:t>Tableau 5 : Taux d'adoption pondérés des intrants agricoles — GHS Wave 4, 2018.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592"/>
        <w:gridCol w:w="1872"/>
        <w:gridCol w:w="1872"/>
        <w:gridCol w:w="1872"/>
      </w:tblGrid>
      <w:tr w:rsidR="009D4DC9" w14:paraId="14817825" w14:textId="77777777">
        <w:trPr>
          <w:tblHeader/>
          <w:jc w:val="center"/>
        </w:trPr>
        <w:tc>
          <w:tcPr>
            <w:tcW w:w="259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039ADB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left"/>
              <w:rPr>
                <w:b/>
                <w:color w:val="FFFFFF"/>
                <w:sz w:val="19"/>
                <w:szCs w:val="19"/>
              </w:rPr>
            </w:pPr>
            <w:r>
              <w:rPr>
                <w:b/>
                <w:color w:val="FFFFFF"/>
                <w:sz w:val="19"/>
                <w:szCs w:val="19"/>
              </w:rPr>
              <w:t>Intrant</w:t>
            </w:r>
          </w:p>
        </w:tc>
        <w:tc>
          <w:tcPr>
            <w:tcW w:w="187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8A6D7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right"/>
              <w:rPr>
                <w:b/>
                <w:color w:val="FFFFFF"/>
                <w:sz w:val="19"/>
                <w:szCs w:val="19"/>
              </w:rPr>
            </w:pPr>
            <w:r>
              <w:rPr>
                <w:b/>
                <w:color w:val="FFFFFF"/>
                <w:sz w:val="19"/>
                <w:szCs w:val="19"/>
              </w:rPr>
              <w:t>Taux pond. (%)</w:t>
            </w:r>
          </w:p>
        </w:tc>
        <w:tc>
          <w:tcPr>
            <w:tcW w:w="187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5536E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right"/>
              <w:rPr>
                <w:b/>
                <w:color w:val="FFFFFF"/>
                <w:sz w:val="19"/>
                <w:szCs w:val="19"/>
              </w:rPr>
            </w:pPr>
            <w:r>
              <w:rPr>
                <w:b/>
                <w:color w:val="FFFFFF"/>
                <w:sz w:val="19"/>
                <w:szCs w:val="19"/>
              </w:rPr>
              <w:t>IC inf. 95%</w:t>
            </w:r>
          </w:p>
        </w:tc>
        <w:tc>
          <w:tcPr>
            <w:tcW w:w="187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5E8E2F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right"/>
              <w:rPr>
                <w:b/>
                <w:color w:val="FFFFFF"/>
                <w:sz w:val="19"/>
                <w:szCs w:val="19"/>
              </w:rPr>
            </w:pPr>
            <w:r>
              <w:rPr>
                <w:b/>
                <w:color w:val="FFFFFF"/>
                <w:sz w:val="19"/>
                <w:szCs w:val="19"/>
              </w:rPr>
              <w:t>IC sup. 95%</w:t>
            </w:r>
          </w:p>
        </w:tc>
      </w:tr>
      <w:tr w:rsidR="009D4DC9" w14:paraId="6DC2EC19" w14:textId="77777777">
        <w:trPr>
          <w:jc w:val="center"/>
        </w:trPr>
        <w:tc>
          <w:tcPr>
            <w:tcW w:w="2592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EAD977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Engrais inorganique</w:t>
            </w:r>
          </w:p>
        </w:tc>
        <w:tc>
          <w:tcPr>
            <w:tcW w:w="1872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A582A5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43.0</w:t>
            </w:r>
          </w:p>
        </w:tc>
        <w:tc>
          <w:tcPr>
            <w:tcW w:w="1872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91DAAB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40.7</w:t>
            </w:r>
          </w:p>
        </w:tc>
        <w:tc>
          <w:tcPr>
            <w:tcW w:w="1872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EAD16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45.3</w:t>
            </w:r>
          </w:p>
        </w:tc>
      </w:tr>
      <w:tr w:rsidR="009D4DC9" w14:paraId="43EEF596" w14:textId="77777777">
        <w:trPr>
          <w:jc w:val="center"/>
        </w:trPr>
        <w:tc>
          <w:tcPr>
            <w:tcW w:w="259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AF2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86361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Herbicide</w:t>
            </w:r>
          </w:p>
        </w:tc>
        <w:tc>
          <w:tcPr>
            <w:tcW w:w="18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AF2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97A73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40.1</w:t>
            </w:r>
          </w:p>
        </w:tc>
        <w:tc>
          <w:tcPr>
            <w:tcW w:w="18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AF2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B4B12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37.8</w:t>
            </w:r>
          </w:p>
        </w:tc>
        <w:tc>
          <w:tcPr>
            <w:tcW w:w="18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AF2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BBB57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42.4</w:t>
            </w:r>
          </w:p>
        </w:tc>
      </w:tr>
      <w:tr w:rsidR="009D4DC9" w14:paraId="42D513AA" w14:textId="77777777">
        <w:trPr>
          <w:jc w:val="center"/>
        </w:trPr>
        <w:tc>
          <w:tcPr>
            <w:tcW w:w="259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546F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dont NPK</w:t>
            </w:r>
          </w:p>
        </w:tc>
        <w:tc>
          <w:tcPr>
            <w:tcW w:w="18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3F11A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34.9</w:t>
            </w:r>
          </w:p>
        </w:tc>
        <w:tc>
          <w:tcPr>
            <w:tcW w:w="18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556ED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32.7</w:t>
            </w:r>
          </w:p>
        </w:tc>
        <w:tc>
          <w:tcPr>
            <w:tcW w:w="18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E48BD5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37.2</w:t>
            </w:r>
          </w:p>
        </w:tc>
      </w:tr>
      <w:tr w:rsidR="009D4DC9" w14:paraId="2E1BE17A" w14:textId="77777777">
        <w:trPr>
          <w:jc w:val="center"/>
        </w:trPr>
        <w:tc>
          <w:tcPr>
            <w:tcW w:w="259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AF2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03DD3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Engrais organique</w:t>
            </w:r>
          </w:p>
        </w:tc>
        <w:tc>
          <w:tcPr>
            <w:tcW w:w="18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AF2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06BB2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27.9</w:t>
            </w:r>
          </w:p>
        </w:tc>
        <w:tc>
          <w:tcPr>
            <w:tcW w:w="18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AF2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A04D4D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25.7</w:t>
            </w:r>
          </w:p>
        </w:tc>
        <w:tc>
          <w:tcPr>
            <w:tcW w:w="18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AF2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2614F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30.1</w:t>
            </w:r>
          </w:p>
        </w:tc>
      </w:tr>
      <w:tr w:rsidR="009D4DC9" w14:paraId="052421D4" w14:textId="77777777">
        <w:trPr>
          <w:jc w:val="center"/>
        </w:trPr>
        <w:tc>
          <w:tcPr>
            <w:tcW w:w="259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A5CD9F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dont Urée</w:t>
            </w:r>
          </w:p>
        </w:tc>
        <w:tc>
          <w:tcPr>
            <w:tcW w:w="18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E57D4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23.9</w:t>
            </w:r>
          </w:p>
        </w:tc>
        <w:tc>
          <w:tcPr>
            <w:tcW w:w="18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0C3EA7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22.0</w:t>
            </w:r>
          </w:p>
        </w:tc>
        <w:tc>
          <w:tcPr>
            <w:tcW w:w="187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CC4FF4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25.8</w:t>
            </w:r>
          </w:p>
        </w:tc>
      </w:tr>
      <w:tr w:rsidR="009D4DC9" w14:paraId="5136BC86" w14:textId="77777777">
        <w:trPr>
          <w:jc w:val="center"/>
        </w:trPr>
        <w:tc>
          <w:tcPr>
            <w:tcW w:w="2592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EAF2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281DA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Pesticide</w:t>
            </w:r>
          </w:p>
        </w:tc>
        <w:tc>
          <w:tcPr>
            <w:tcW w:w="1872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EAF2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AC7F1B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19.1</w:t>
            </w:r>
          </w:p>
        </w:tc>
        <w:tc>
          <w:tcPr>
            <w:tcW w:w="1872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EAF2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512C3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17.2</w:t>
            </w:r>
          </w:p>
        </w:tc>
        <w:tc>
          <w:tcPr>
            <w:tcW w:w="1872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EAF2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DA884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21.0</w:t>
            </w:r>
          </w:p>
        </w:tc>
      </w:tr>
      <w:tr w:rsidR="009D4DC9" w14:paraId="4B5324ED" w14:textId="77777777">
        <w:trPr>
          <w:jc w:val="center"/>
        </w:trPr>
        <w:tc>
          <w:tcPr>
            <w:tcW w:w="8208" w:type="dxa"/>
            <w:gridSpan w:val="4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B4216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left"/>
              <w:rPr>
                <w:color w:val="000000"/>
                <w:sz w:val="12"/>
                <w:szCs w:val="12"/>
              </w:rPr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</w:tr>
    </w:tbl>
    <w:p w14:paraId="4FBC7742" w14:textId="77777777" w:rsidR="009D4DC9" w:rsidRDefault="00052A0C">
      <w:r>
        <w:rPr>
          <w:noProof/>
        </w:rPr>
        <w:lastRenderedPageBreak/>
        <w:drawing>
          <wp:inline distT="0" distB="0" distL="0" distR="0" wp14:anchorId="05BD0876" wp14:editId="3FFA544F">
            <wp:extent cx="5880100" cy="3675062"/>
            <wp:effectExtent l="0" t="0" r="0" b="0"/>
            <wp:docPr id="40" name="Picture" descr="Taux d’adoption de l’engrais inorganique par zone géopolitique et milieu — GHS Wave 4, 2018. Barres d’erreur : IC 95%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Rapport_TP5_cultures_rendements_files/figure-docx/fig_engrais_zone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100" cy="3675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37ECAE" w14:textId="77777777" w:rsidR="009D4DC9" w:rsidRDefault="00052A0C">
      <w:r>
        <w:t>Taux d’adoption de l’engrais inorganique par zone géopolitique et milieu — GHS Wave 4, 2018. Barres d’erreur : IC 95%.</w:t>
      </w:r>
    </w:p>
    <w:p w14:paraId="587F908C" w14:textId="77777777" w:rsidR="009D4DC9" w:rsidRDefault="00052A0C">
      <w:pPr>
        <w:pStyle w:val="Corpsdetexte"/>
      </w:pPr>
      <w:r>
        <w:rPr>
          <w:b/>
          <w:bCs/>
        </w:rPr>
        <w:t>43%</w:t>
      </w:r>
      <w:r>
        <w:t xml:space="preserve"> </w:t>
      </w:r>
      <w:r>
        <w:t>des ménages agricoles nigérians ont utilisé de l’engrais inorganique en 2018, tandis que l’herbicide est l’intrant le plus fréquemment employé (</w:t>
      </w:r>
      <w:r>
        <w:rPr>
          <w:b/>
          <w:bCs/>
        </w:rPr>
        <w:t>40.1%</w:t>
      </w:r>
      <w:r>
        <w:t>), reflétant l’intensification de la gestion des adventices dans les systèmes céréaliers. Des disparités gé</w:t>
      </w:r>
      <w:r>
        <w:t>ographiques marquées apparaissent : le Nord-Ouest et le Nord-Est affichent les taux d’adoption d’engrais les plus élevés, portés par les politiques de subvention des intrants et la prépondérance des systèmes céréaliers extensifs. Le test du chi-deux confir</w:t>
      </w:r>
      <w:r>
        <w:t xml:space="preserve">me une </w:t>
      </w:r>
      <w:r>
        <w:rPr>
          <w:b/>
          <w:bCs/>
        </w:rPr>
        <w:t>association significative</w:t>
      </w:r>
      <w:r>
        <w:t xml:space="preserve"> entre le milieu de résidence et l’adoption d’engrais inorganique (X² = 31.33, p &lt; 0,001).</w:t>
      </w:r>
    </w:p>
    <w:p w14:paraId="30D933AF" w14:textId="77777777" w:rsidR="009D4DC9" w:rsidRDefault="00052A0C">
      <w:pPr>
        <w:pStyle w:val="Titre2"/>
      </w:pPr>
      <w:bookmarkStart w:id="20" w:name="X52a1155f8de45177baf6cd18b88dc3255c9176e"/>
      <w:bookmarkStart w:id="21" w:name="_Toc227465783"/>
      <w:bookmarkEnd w:id="18"/>
      <w:r>
        <w:t>3.4</w:t>
      </w:r>
      <w:r>
        <w:tab/>
        <w:t>Rendements du maïs et du millet par État (Q28)</w:t>
      </w:r>
      <w:bookmarkEnd w:id="21"/>
    </w:p>
    <w:p w14:paraId="17A09ED6" w14:textId="77777777" w:rsidR="009D4DC9" w:rsidRDefault="00052A0C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 w:line="240" w:lineRule="auto"/>
        <w:ind w:left="60" w:right="60"/>
        <w:jc w:val="center"/>
      </w:pPr>
      <w:r>
        <w:t>Tableau 6 : Statistiques de rendement (kg/ha) maïs et millet — GHS Wave 4. Outliers IQR×3 supprimés.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40"/>
        <w:gridCol w:w="1152"/>
        <w:gridCol w:w="1152"/>
        <w:gridCol w:w="1152"/>
        <w:gridCol w:w="1152"/>
        <w:gridCol w:w="1152"/>
        <w:gridCol w:w="1152"/>
      </w:tblGrid>
      <w:tr w:rsidR="009D4DC9" w14:paraId="720ABF74" w14:textId="77777777">
        <w:trPr>
          <w:tblHeader/>
          <w:jc w:val="center"/>
        </w:trPr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A3E8E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left"/>
              <w:rPr>
                <w:b/>
                <w:color w:val="FFFFFF"/>
                <w:sz w:val="19"/>
                <w:szCs w:val="19"/>
              </w:rPr>
            </w:pPr>
            <w:r>
              <w:rPr>
                <w:b/>
                <w:color w:val="FFFFFF"/>
                <w:sz w:val="19"/>
                <w:szCs w:val="19"/>
              </w:rPr>
              <w:t>Culture</w:t>
            </w:r>
          </w:p>
        </w:tc>
        <w:tc>
          <w:tcPr>
            <w:tcW w:w="115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E73A7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right"/>
              <w:rPr>
                <w:b/>
                <w:color w:val="FFFFFF"/>
                <w:sz w:val="19"/>
                <w:szCs w:val="19"/>
              </w:rPr>
            </w:pPr>
            <w:r>
              <w:rPr>
                <w:b/>
                <w:color w:val="FFFFFF"/>
                <w:sz w:val="19"/>
                <w:szCs w:val="19"/>
              </w:rPr>
              <w:t>N</w:t>
            </w:r>
          </w:p>
        </w:tc>
        <w:tc>
          <w:tcPr>
            <w:tcW w:w="115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78BA2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right"/>
              <w:rPr>
                <w:b/>
                <w:color w:val="FFFFFF"/>
                <w:sz w:val="19"/>
                <w:szCs w:val="19"/>
              </w:rPr>
            </w:pPr>
            <w:r>
              <w:rPr>
                <w:b/>
                <w:color w:val="FFFFFF"/>
                <w:sz w:val="19"/>
                <w:szCs w:val="19"/>
              </w:rPr>
              <w:t>Moy. (kg/ha)</w:t>
            </w:r>
          </w:p>
        </w:tc>
        <w:tc>
          <w:tcPr>
            <w:tcW w:w="115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4A803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right"/>
              <w:rPr>
                <w:b/>
                <w:color w:val="FFFFFF"/>
                <w:sz w:val="19"/>
                <w:szCs w:val="19"/>
              </w:rPr>
            </w:pPr>
            <w:r>
              <w:rPr>
                <w:b/>
                <w:color w:val="FFFFFF"/>
                <w:sz w:val="19"/>
                <w:szCs w:val="19"/>
              </w:rPr>
              <w:t>Méd. (kg/ha)</w:t>
            </w:r>
          </w:p>
        </w:tc>
        <w:tc>
          <w:tcPr>
            <w:tcW w:w="115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0E2C9E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right"/>
              <w:rPr>
                <w:b/>
                <w:color w:val="FFFFFF"/>
                <w:sz w:val="19"/>
                <w:szCs w:val="19"/>
              </w:rPr>
            </w:pPr>
            <w:r>
              <w:rPr>
                <w:b/>
                <w:color w:val="FFFFFF"/>
                <w:sz w:val="19"/>
                <w:szCs w:val="19"/>
              </w:rPr>
              <w:t>Éc. type</w:t>
            </w:r>
          </w:p>
        </w:tc>
        <w:tc>
          <w:tcPr>
            <w:tcW w:w="115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D285B7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right"/>
              <w:rPr>
                <w:b/>
                <w:color w:val="FFFFFF"/>
                <w:sz w:val="19"/>
                <w:szCs w:val="19"/>
              </w:rPr>
            </w:pPr>
            <w:r>
              <w:rPr>
                <w:b/>
                <w:color w:val="FFFFFF"/>
                <w:sz w:val="19"/>
                <w:szCs w:val="19"/>
              </w:rPr>
              <w:t>Q1</w:t>
            </w:r>
          </w:p>
        </w:tc>
        <w:tc>
          <w:tcPr>
            <w:tcW w:w="115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07F91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right"/>
              <w:rPr>
                <w:b/>
                <w:color w:val="FFFFFF"/>
                <w:sz w:val="19"/>
                <w:szCs w:val="19"/>
              </w:rPr>
            </w:pPr>
            <w:r>
              <w:rPr>
                <w:b/>
                <w:color w:val="FFFFFF"/>
                <w:sz w:val="19"/>
                <w:szCs w:val="19"/>
              </w:rPr>
              <w:t>Q3</w:t>
            </w:r>
          </w:p>
        </w:tc>
      </w:tr>
      <w:tr w:rsidR="009D4DC9" w14:paraId="1E3C63C0" w14:textId="77777777">
        <w:trPr>
          <w:jc w:val="center"/>
        </w:trPr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D6EA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FC6EB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Maïs</w:t>
            </w:r>
          </w:p>
        </w:tc>
        <w:tc>
          <w:tcPr>
            <w:tcW w:w="1152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D6EA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EEFEC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2,207</w:t>
            </w:r>
          </w:p>
        </w:tc>
        <w:tc>
          <w:tcPr>
            <w:tcW w:w="1152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D6EA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726AC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1,229</w:t>
            </w:r>
          </w:p>
        </w:tc>
        <w:tc>
          <w:tcPr>
            <w:tcW w:w="1152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D6EA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36ABA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813</w:t>
            </w:r>
          </w:p>
        </w:tc>
        <w:tc>
          <w:tcPr>
            <w:tcW w:w="1152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D6EA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23E09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1,219</w:t>
            </w:r>
          </w:p>
        </w:tc>
        <w:tc>
          <w:tcPr>
            <w:tcW w:w="1152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D6EA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2984A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358</w:t>
            </w:r>
          </w:p>
        </w:tc>
        <w:tc>
          <w:tcPr>
            <w:tcW w:w="1152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D6EA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9317E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1,682</w:t>
            </w:r>
          </w:p>
        </w:tc>
      </w:tr>
      <w:tr w:rsidR="009D4DC9" w14:paraId="346C82A2" w14:textId="77777777">
        <w:trPr>
          <w:jc w:val="center"/>
        </w:trPr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DEBD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B8057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Mil</w:t>
            </w:r>
          </w:p>
        </w:tc>
        <w:tc>
          <w:tcPr>
            <w:tcW w:w="1152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DEBD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736F0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883</w:t>
            </w:r>
          </w:p>
        </w:tc>
        <w:tc>
          <w:tcPr>
            <w:tcW w:w="1152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DEBD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36AE8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741</w:t>
            </w:r>
          </w:p>
        </w:tc>
        <w:tc>
          <w:tcPr>
            <w:tcW w:w="1152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DEBD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B91855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499</w:t>
            </w:r>
          </w:p>
        </w:tc>
        <w:tc>
          <w:tcPr>
            <w:tcW w:w="1152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DEBD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72462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670</w:t>
            </w:r>
          </w:p>
        </w:tc>
        <w:tc>
          <w:tcPr>
            <w:tcW w:w="1152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DEBD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6BA395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270</w:t>
            </w:r>
          </w:p>
        </w:tc>
        <w:tc>
          <w:tcPr>
            <w:tcW w:w="1152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DEBD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F7F1E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991</w:t>
            </w:r>
          </w:p>
        </w:tc>
      </w:tr>
      <w:tr w:rsidR="009D4DC9" w14:paraId="3AAD4B36" w14:textId="77777777">
        <w:trPr>
          <w:jc w:val="center"/>
        </w:trPr>
        <w:tc>
          <w:tcPr>
            <w:tcW w:w="8352" w:type="dxa"/>
            <w:gridSpan w:val="7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C476F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left"/>
              <w:rPr>
                <w:color w:val="000000"/>
                <w:sz w:val="12"/>
                <w:szCs w:val="12"/>
              </w:rPr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</w:tr>
    </w:tbl>
    <w:p w14:paraId="252B20F3" w14:textId="77777777" w:rsidR="009D4DC9" w:rsidRDefault="00052A0C">
      <w:r>
        <w:rPr>
          <w:noProof/>
        </w:rPr>
        <w:lastRenderedPageBreak/>
        <w:drawing>
          <wp:inline distT="0" distB="0" distL="0" distR="0" wp14:anchorId="01813272" wp14:editId="5478E76D">
            <wp:extent cx="5880100" cy="8983486"/>
            <wp:effectExtent l="0" t="0" r="0" b="0"/>
            <wp:docPr id="44" name="Picture" descr="Rendements du maïs et du millet par État (kg/ha) — GHS Wave 4, 2018. Losange orange = moyenne. Outliers IQR×3 supprimé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Rapport_TP5_cultures_rendements_files/figure-docx/fig_rend_etat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100" cy="8983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9BC4F3" w14:textId="77777777" w:rsidR="009D4DC9" w:rsidRDefault="00052A0C">
      <w:r>
        <w:lastRenderedPageBreak/>
        <w:t>Rendements du maïs et du millet par État (kg/ha) — GHS Wave 4, 2018. Losange orange = moyenne. Outliers IQR×3 supprimés.</w:t>
      </w:r>
    </w:p>
    <w:p w14:paraId="2CDF5A5F" w14:textId="77777777" w:rsidR="009D4DC9" w:rsidRDefault="00052A0C">
      <w:pPr>
        <w:pStyle w:val="Corpsdetexte"/>
      </w:pPr>
      <w:r>
        <w:t xml:space="preserve">Les différences de rendements entre États sont </w:t>
      </w:r>
      <w:r>
        <w:rPr>
          <w:b/>
          <w:bCs/>
        </w:rPr>
        <w:t>hautement significatives</w:t>
      </w:r>
      <w:r>
        <w:t xml:space="preserve"> (Kruskal-Wallis : H = 454.6, p &lt; 0,001). Certains États du Cent</w:t>
      </w:r>
      <w:r>
        <w:t>re-Nord et du Nord-Ouest affichent des rendements médians supérieurs, bénéficiant d’un meilleur accès aux intrants et de pluviométries favorables. Les États sahéliens du Nord-Est présentent des rendements plus faibles, contraints par la variabilité climati</w:t>
      </w:r>
      <w:r>
        <w:t>que et les aléas de la saison des pluies.</w:t>
      </w:r>
    </w:p>
    <w:p w14:paraId="0F9ABBEB" w14:textId="77777777" w:rsidR="009D4DC9" w:rsidRDefault="00052A0C">
      <w:pPr>
        <w:pStyle w:val="Titre2"/>
      </w:pPr>
      <w:bookmarkStart w:id="22" w:name="Xd42e40580d76765c2b4b10cd6a1901e4a9fba95"/>
      <w:bookmarkStart w:id="23" w:name="_Toc227465784"/>
      <w:bookmarkEnd w:id="20"/>
      <w:r>
        <w:t>3.5</w:t>
      </w:r>
      <w:r>
        <w:tab/>
        <w:t>Rendements selon l’utilisation d’engrais inorganique (Q29)</w:t>
      </w:r>
      <w:bookmarkEnd w:id="23"/>
    </w:p>
    <w:p w14:paraId="3E27E2D7" w14:textId="77777777" w:rsidR="009D4DC9" w:rsidRDefault="00052A0C">
      <w:r>
        <w:rPr>
          <w:noProof/>
        </w:rPr>
        <w:drawing>
          <wp:inline distT="0" distB="0" distL="0" distR="0" wp14:anchorId="3D531A4A" wp14:editId="38245815">
            <wp:extent cx="5880100" cy="3920066"/>
            <wp:effectExtent l="0" t="0" r="0" b="0"/>
            <wp:docPr id="48" name="Picture" descr="Rendements (kg/ha) selon l’utilisation d’engrais inorganique — GHS Wave 4, 2018. Losange rouge = médiane, orange = moyenne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Rapport_TP5_cultures_rendements_files/figure-docx/fig_rend_engrais-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100" cy="3920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361BFD" w14:textId="77777777" w:rsidR="009D4DC9" w:rsidRDefault="00052A0C">
      <w:r>
        <w:t>Rendements (kg/ha) selon l’utilisation d’engrais inorganique — GHS Wave 4, 2018. Losange rouge = médiane, orange = moyenne.</w:t>
      </w:r>
    </w:p>
    <w:p w14:paraId="05DC7023" w14:textId="77777777" w:rsidR="009D4DC9" w:rsidRDefault="00052A0C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 w:line="240" w:lineRule="auto"/>
        <w:ind w:left="60" w:right="60"/>
        <w:jc w:val="center"/>
      </w:pPr>
      <w:r>
        <w:t>Tableau 7 : Rendements (k</w:t>
      </w:r>
      <w:r>
        <w:t>g/ha) par groupe d'engrais — GHS Wave 4.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152"/>
        <w:gridCol w:w="2160"/>
        <w:gridCol w:w="864"/>
        <w:gridCol w:w="864"/>
        <w:gridCol w:w="864"/>
        <w:gridCol w:w="864"/>
        <w:gridCol w:w="864"/>
      </w:tblGrid>
      <w:tr w:rsidR="009D4DC9" w14:paraId="4398C9BC" w14:textId="77777777">
        <w:trPr>
          <w:tblHeader/>
          <w:jc w:val="center"/>
        </w:trPr>
        <w:tc>
          <w:tcPr>
            <w:tcW w:w="115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69D2B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left"/>
              <w:rPr>
                <w:b/>
                <w:color w:val="FFFFFF"/>
                <w:sz w:val="19"/>
                <w:szCs w:val="19"/>
              </w:rPr>
            </w:pPr>
            <w:r>
              <w:rPr>
                <w:b/>
                <w:color w:val="FFFFFF"/>
                <w:sz w:val="19"/>
                <w:szCs w:val="19"/>
              </w:rPr>
              <w:t>Culture</w:t>
            </w:r>
          </w:p>
        </w:tc>
        <w:tc>
          <w:tcPr>
            <w:tcW w:w="21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86C24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left"/>
              <w:rPr>
                <w:b/>
                <w:color w:val="FFFFFF"/>
                <w:sz w:val="19"/>
                <w:szCs w:val="19"/>
              </w:rPr>
            </w:pPr>
            <w:r>
              <w:rPr>
                <w:b/>
                <w:color w:val="FFFFFF"/>
                <w:sz w:val="19"/>
                <w:szCs w:val="19"/>
              </w:rPr>
              <w:t>Groupe</w:t>
            </w:r>
          </w:p>
        </w:tc>
        <w:tc>
          <w:tcPr>
            <w:tcW w:w="86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A95BBF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right"/>
              <w:rPr>
                <w:b/>
                <w:color w:val="FFFFFF"/>
                <w:sz w:val="19"/>
                <w:szCs w:val="19"/>
              </w:rPr>
            </w:pPr>
            <w:r>
              <w:rPr>
                <w:b/>
                <w:color w:val="FFFFFF"/>
                <w:sz w:val="19"/>
                <w:szCs w:val="19"/>
              </w:rPr>
              <w:t>N</w:t>
            </w:r>
          </w:p>
        </w:tc>
        <w:tc>
          <w:tcPr>
            <w:tcW w:w="86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190D8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right"/>
              <w:rPr>
                <w:b/>
                <w:color w:val="FFFFFF"/>
                <w:sz w:val="19"/>
                <w:szCs w:val="19"/>
              </w:rPr>
            </w:pPr>
            <w:r>
              <w:rPr>
                <w:b/>
                <w:color w:val="FFFFFF"/>
                <w:sz w:val="19"/>
                <w:szCs w:val="19"/>
              </w:rPr>
              <w:t>Méd. (kg/ha)</w:t>
            </w:r>
          </w:p>
        </w:tc>
        <w:tc>
          <w:tcPr>
            <w:tcW w:w="86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8E92E0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right"/>
              <w:rPr>
                <w:b/>
                <w:color w:val="FFFFFF"/>
                <w:sz w:val="19"/>
                <w:szCs w:val="19"/>
              </w:rPr>
            </w:pPr>
            <w:r>
              <w:rPr>
                <w:b/>
                <w:color w:val="FFFFFF"/>
                <w:sz w:val="19"/>
                <w:szCs w:val="19"/>
              </w:rPr>
              <w:t>Moy. (kg/ha)</w:t>
            </w:r>
          </w:p>
        </w:tc>
        <w:tc>
          <w:tcPr>
            <w:tcW w:w="86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55E24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right"/>
              <w:rPr>
                <w:b/>
                <w:color w:val="FFFFFF"/>
                <w:sz w:val="19"/>
                <w:szCs w:val="19"/>
              </w:rPr>
            </w:pPr>
            <w:r>
              <w:rPr>
                <w:b/>
                <w:color w:val="FFFFFF"/>
                <w:sz w:val="19"/>
                <w:szCs w:val="19"/>
              </w:rPr>
              <w:t>Q1</w:t>
            </w:r>
          </w:p>
        </w:tc>
        <w:tc>
          <w:tcPr>
            <w:tcW w:w="86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9387C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right"/>
              <w:rPr>
                <w:b/>
                <w:color w:val="FFFFFF"/>
                <w:sz w:val="19"/>
                <w:szCs w:val="19"/>
              </w:rPr>
            </w:pPr>
            <w:r>
              <w:rPr>
                <w:b/>
                <w:color w:val="FFFFFF"/>
                <w:sz w:val="19"/>
                <w:szCs w:val="19"/>
              </w:rPr>
              <w:t>Q3</w:t>
            </w:r>
          </w:p>
        </w:tc>
      </w:tr>
      <w:tr w:rsidR="009D4DC9" w14:paraId="18A47D82" w14:textId="77777777">
        <w:trPr>
          <w:jc w:val="center"/>
        </w:trPr>
        <w:tc>
          <w:tcPr>
            <w:tcW w:w="1152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D6EA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FFF39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Maïs</w:t>
            </w:r>
          </w:p>
        </w:tc>
        <w:tc>
          <w:tcPr>
            <w:tcW w:w="216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D6EA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F03F3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Avec engrais inorg.</w:t>
            </w:r>
          </w:p>
        </w:tc>
        <w:tc>
          <w:tcPr>
            <w:tcW w:w="864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D6EA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75DBE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996</w:t>
            </w:r>
          </w:p>
        </w:tc>
        <w:tc>
          <w:tcPr>
            <w:tcW w:w="864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D6EA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D3FB0B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1,164</w:t>
            </w:r>
          </w:p>
        </w:tc>
        <w:tc>
          <w:tcPr>
            <w:tcW w:w="864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D6EA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2B79A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1,575</w:t>
            </w:r>
          </w:p>
        </w:tc>
        <w:tc>
          <w:tcPr>
            <w:tcW w:w="864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D6EA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5A6A48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584</w:t>
            </w:r>
          </w:p>
        </w:tc>
        <w:tc>
          <w:tcPr>
            <w:tcW w:w="864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D6EA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AC361A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2,204</w:t>
            </w:r>
          </w:p>
        </w:tc>
      </w:tr>
      <w:tr w:rsidR="009D4DC9" w14:paraId="570D8DA1" w14:textId="77777777">
        <w:trPr>
          <w:jc w:val="center"/>
        </w:trPr>
        <w:tc>
          <w:tcPr>
            <w:tcW w:w="115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AF2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F93A7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Maïs</w:t>
            </w:r>
          </w:p>
        </w:tc>
        <w:tc>
          <w:tcPr>
            <w:tcW w:w="216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AF2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06D0C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Sans engrais inorg.</w:t>
            </w:r>
          </w:p>
        </w:tc>
        <w:tc>
          <w:tcPr>
            <w:tcW w:w="8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AF2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4371C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1,211</w:t>
            </w:r>
          </w:p>
        </w:tc>
        <w:tc>
          <w:tcPr>
            <w:tcW w:w="8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AF2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2E72B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590</w:t>
            </w:r>
          </w:p>
        </w:tc>
        <w:tc>
          <w:tcPr>
            <w:tcW w:w="8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AF2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0B26B9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944</w:t>
            </w:r>
          </w:p>
        </w:tc>
        <w:tc>
          <w:tcPr>
            <w:tcW w:w="8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AF2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990B3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262</w:t>
            </w:r>
          </w:p>
        </w:tc>
        <w:tc>
          <w:tcPr>
            <w:tcW w:w="8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EAF2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108DC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1,222</w:t>
            </w:r>
          </w:p>
        </w:tc>
      </w:tr>
      <w:tr w:rsidR="009D4DC9" w14:paraId="7512D033" w14:textId="77777777">
        <w:trPr>
          <w:jc w:val="center"/>
        </w:trPr>
        <w:tc>
          <w:tcPr>
            <w:tcW w:w="115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D6EA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F2BB0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Mil</w:t>
            </w:r>
          </w:p>
        </w:tc>
        <w:tc>
          <w:tcPr>
            <w:tcW w:w="216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D6EA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BC7D9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Avec engrais inorg.</w:t>
            </w:r>
          </w:p>
        </w:tc>
        <w:tc>
          <w:tcPr>
            <w:tcW w:w="8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D6EA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E7931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448</w:t>
            </w:r>
          </w:p>
        </w:tc>
        <w:tc>
          <w:tcPr>
            <w:tcW w:w="8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D6EA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2C30D5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522</w:t>
            </w:r>
          </w:p>
        </w:tc>
        <w:tc>
          <w:tcPr>
            <w:tcW w:w="8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D6EA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A2D47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749</w:t>
            </w:r>
          </w:p>
        </w:tc>
        <w:tc>
          <w:tcPr>
            <w:tcW w:w="8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D6EA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7C4BA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282</w:t>
            </w:r>
          </w:p>
        </w:tc>
        <w:tc>
          <w:tcPr>
            <w:tcW w:w="8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D6EA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2D56F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987</w:t>
            </w:r>
          </w:p>
        </w:tc>
      </w:tr>
      <w:tr w:rsidR="009D4DC9" w14:paraId="28345913" w14:textId="77777777">
        <w:trPr>
          <w:jc w:val="center"/>
        </w:trPr>
        <w:tc>
          <w:tcPr>
            <w:tcW w:w="1152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EAF2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CA334E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Mil</w:t>
            </w:r>
          </w:p>
        </w:tc>
        <w:tc>
          <w:tcPr>
            <w:tcW w:w="216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EAF2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F1E11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Sans engrais inorg.</w:t>
            </w:r>
          </w:p>
        </w:tc>
        <w:tc>
          <w:tcPr>
            <w:tcW w:w="86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EAF2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126DA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435</w:t>
            </w:r>
          </w:p>
        </w:tc>
        <w:tc>
          <w:tcPr>
            <w:tcW w:w="86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EAF2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CC4745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475</w:t>
            </w:r>
          </w:p>
        </w:tc>
        <w:tc>
          <w:tcPr>
            <w:tcW w:w="86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EAF2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D711C0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732</w:t>
            </w:r>
          </w:p>
        </w:tc>
        <w:tc>
          <w:tcPr>
            <w:tcW w:w="86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EAF2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0AF5D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263</w:t>
            </w:r>
          </w:p>
        </w:tc>
        <w:tc>
          <w:tcPr>
            <w:tcW w:w="86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EAF2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480F8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991</w:t>
            </w:r>
          </w:p>
        </w:tc>
      </w:tr>
      <w:tr w:rsidR="009D4DC9" w14:paraId="6173FD11" w14:textId="77777777">
        <w:trPr>
          <w:jc w:val="center"/>
        </w:trPr>
        <w:tc>
          <w:tcPr>
            <w:tcW w:w="7632" w:type="dxa"/>
            <w:gridSpan w:val="7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A0378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left"/>
              <w:rPr>
                <w:color w:val="000000"/>
                <w:sz w:val="12"/>
                <w:szCs w:val="12"/>
              </w:rPr>
            </w:pPr>
            <w:r>
              <w:rPr>
                <w:color w:val="000000"/>
                <w:sz w:val="12"/>
                <w:szCs w:val="12"/>
              </w:rPr>
              <w:t xml:space="preserve"> </w:t>
            </w:r>
          </w:p>
        </w:tc>
      </w:tr>
    </w:tbl>
    <w:p w14:paraId="39C0535D" w14:textId="77777777" w:rsidR="009D4DC9" w:rsidRDefault="00052A0C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 w:line="240" w:lineRule="auto"/>
        <w:ind w:left="60" w:right="60"/>
        <w:jc w:val="center"/>
      </w:pPr>
      <w:r>
        <w:t>Tableau 8 : Tests de Wilcoxon-Mann-Whitney — rendements avec vs sans engrais inorganique.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152"/>
        <w:gridCol w:w="864"/>
        <w:gridCol w:w="1440"/>
        <w:gridCol w:w="2160"/>
        <w:gridCol w:w="2160"/>
      </w:tblGrid>
      <w:tr w:rsidR="009D4DC9" w14:paraId="2F958899" w14:textId="77777777">
        <w:trPr>
          <w:tblHeader/>
          <w:jc w:val="center"/>
        </w:trPr>
        <w:tc>
          <w:tcPr>
            <w:tcW w:w="115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AD6A0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left"/>
              <w:rPr>
                <w:b/>
                <w:color w:val="FFFFFF"/>
                <w:sz w:val="19"/>
                <w:szCs w:val="19"/>
              </w:rPr>
            </w:pPr>
            <w:r>
              <w:rPr>
                <w:b/>
                <w:color w:val="FFFFFF"/>
                <w:sz w:val="19"/>
                <w:szCs w:val="19"/>
              </w:rPr>
              <w:t>Culture</w:t>
            </w:r>
          </w:p>
        </w:tc>
        <w:tc>
          <w:tcPr>
            <w:tcW w:w="86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888AD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right"/>
              <w:rPr>
                <w:b/>
                <w:color w:val="FFFFFF"/>
                <w:sz w:val="19"/>
                <w:szCs w:val="19"/>
              </w:rPr>
            </w:pPr>
            <w:r>
              <w:rPr>
                <w:b/>
                <w:color w:val="FFFFFF"/>
                <w:sz w:val="19"/>
                <w:szCs w:val="19"/>
              </w:rPr>
              <w:t>Stat. W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01270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left"/>
              <w:rPr>
                <w:b/>
                <w:color w:val="FFFFFF"/>
                <w:sz w:val="19"/>
                <w:szCs w:val="19"/>
              </w:rPr>
            </w:pPr>
            <w:r>
              <w:rPr>
                <w:b/>
                <w:color w:val="FFFFFF"/>
                <w:sz w:val="19"/>
                <w:szCs w:val="19"/>
              </w:rPr>
              <w:t>p-valeur</w:t>
            </w:r>
          </w:p>
        </w:tc>
        <w:tc>
          <w:tcPr>
            <w:tcW w:w="21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0385D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right"/>
              <w:rPr>
                <w:b/>
                <w:color w:val="FFFFFF"/>
                <w:sz w:val="19"/>
                <w:szCs w:val="19"/>
              </w:rPr>
            </w:pPr>
            <w:r>
              <w:rPr>
                <w:b/>
                <w:color w:val="FFFFFF"/>
                <w:sz w:val="19"/>
                <w:szCs w:val="19"/>
              </w:rPr>
              <w:t>r de Rosenthal</w:t>
            </w:r>
          </w:p>
        </w:tc>
        <w:tc>
          <w:tcPr>
            <w:tcW w:w="21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F3448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left"/>
              <w:rPr>
                <w:b/>
                <w:color w:val="FFFFFF"/>
                <w:sz w:val="19"/>
                <w:szCs w:val="19"/>
              </w:rPr>
            </w:pPr>
            <w:r>
              <w:rPr>
                <w:b/>
                <w:color w:val="FFFFFF"/>
                <w:sz w:val="19"/>
                <w:szCs w:val="19"/>
              </w:rPr>
              <w:t>Taille d'effet</w:t>
            </w:r>
          </w:p>
        </w:tc>
      </w:tr>
      <w:tr w:rsidR="009D4DC9" w14:paraId="040D8163" w14:textId="77777777">
        <w:trPr>
          <w:jc w:val="center"/>
        </w:trPr>
        <w:tc>
          <w:tcPr>
            <w:tcW w:w="1152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A61247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Maïs</w:t>
            </w:r>
          </w:p>
        </w:tc>
        <w:tc>
          <w:tcPr>
            <w:tcW w:w="864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7E636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398,405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79D34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5.9e-43</w:t>
            </w:r>
          </w:p>
        </w:tc>
        <w:tc>
          <w:tcPr>
            <w:tcW w:w="216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6A9D5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0.292</w:t>
            </w:r>
          </w:p>
        </w:tc>
        <w:tc>
          <w:tcPr>
            <w:tcW w:w="216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E3755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Petite</w:t>
            </w:r>
          </w:p>
        </w:tc>
      </w:tr>
      <w:tr w:rsidR="009D4DC9" w14:paraId="7907D531" w14:textId="77777777">
        <w:trPr>
          <w:jc w:val="center"/>
        </w:trPr>
        <w:tc>
          <w:tcPr>
            <w:tcW w:w="1152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EAF2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96DB6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Mil</w:t>
            </w:r>
          </w:p>
        </w:tc>
        <w:tc>
          <w:tcPr>
            <w:tcW w:w="86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EAF2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2A22D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94,538</w:t>
            </w:r>
          </w:p>
        </w:tc>
        <w:tc>
          <w:tcPr>
            <w:tcW w:w="144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EAF2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F487FD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4.4e-01</w:t>
            </w:r>
          </w:p>
        </w:tc>
        <w:tc>
          <w:tcPr>
            <w:tcW w:w="216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EAF2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1E7A1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0.026</w:t>
            </w:r>
          </w:p>
        </w:tc>
        <w:tc>
          <w:tcPr>
            <w:tcW w:w="216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EAF2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FC290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76" w:lineRule="auto"/>
              <w:ind w:left="80" w:right="8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Négligeable</w:t>
            </w:r>
          </w:p>
        </w:tc>
      </w:tr>
      <w:tr w:rsidR="009D4DC9" w14:paraId="2FF0F83C" w14:textId="77777777">
        <w:trPr>
          <w:jc w:val="center"/>
        </w:trPr>
        <w:tc>
          <w:tcPr>
            <w:tcW w:w="7776" w:type="dxa"/>
            <w:gridSpan w:val="5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8AB28F" w14:textId="77777777" w:rsidR="009D4DC9" w:rsidRDefault="00052A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40" w:lineRule="auto"/>
              <w:ind w:left="100" w:right="100"/>
              <w:jc w:val="left"/>
              <w:rPr>
                <w:color w:val="000000"/>
                <w:sz w:val="12"/>
                <w:szCs w:val="12"/>
              </w:rPr>
            </w:pPr>
            <w:r>
              <w:rPr>
                <w:color w:val="000000"/>
                <w:sz w:val="12"/>
                <w:szCs w:val="12"/>
              </w:rPr>
              <w:lastRenderedPageBreak/>
              <w:t xml:space="preserve"> </w:t>
            </w:r>
          </w:p>
        </w:tc>
      </w:tr>
    </w:tbl>
    <w:p w14:paraId="4A6FD8EF" w14:textId="77777777" w:rsidR="009D4DC9" w:rsidRDefault="00052A0C">
      <w:pPr>
        <w:pStyle w:val="Corpsdetexte"/>
      </w:pPr>
      <w:r>
        <w:t xml:space="preserve">Les parcelles de maïs utilisant l’engrais inorganique affichent un rendement médian de </w:t>
      </w:r>
      <w:r>
        <w:rPr>
          <w:b/>
          <w:bCs/>
        </w:rPr>
        <w:t>1164 kg/ha</w:t>
      </w:r>
      <w:r>
        <w:t xml:space="preserve"> contre </w:t>
      </w:r>
      <w:r>
        <w:rPr>
          <w:b/>
          <w:bCs/>
        </w:rPr>
        <w:t>590 kg/ha</w:t>
      </w:r>
      <w:r>
        <w:t xml:space="preserve"> sans engrais, soit un ratio de </w:t>
      </w:r>
      <w:r>
        <w:rPr>
          <w:b/>
          <w:bCs/>
        </w:rPr>
        <w:t>2×</w:t>
      </w:r>
      <w:r>
        <w:t>. La différence est statistiquement significative (p = 5.9e-43) avec une taille d’effet r = 0.292 qualifiée de petite. Un résultat similaire est observé pour le millet (p = 4.4e-01, r = 0.026). Ces résultats soulignent le rôle positif des intrants chimique</w:t>
      </w:r>
      <w:r>
        <w:t>s dans l’amélioration de la productivité agricole, tout en suggérant que des facteurs complémentaires — qualité des sols, variétés utilisées, gestion de l’eau — conditionnent également les performances.</w:t>
      </w:r>
    </w:p>
    <w:p w14:paraId="3FE21913" w14:textId="77777777" w:rsidR="009D4DC9" w:rsidRDefault="00052A0C">
      <w:r>
        <w:br w:type="page"/>
      </w:r>
    </w:p>
    <w:p w14:paraId="5FE8B5FB" w14:textId="77777777" w:rsidR="009D4DC9" w:rsidRDefault="00052A0C">
      <w:r>
        <w:lastRenderedPageBreak/>
        <w:pict w14:anchorId="6553F73E">
          <v:rect id="_x0000_i1031" style="width:0;height:1.5pt" o:hralign="center" o:hrstd="t" o:hr="t"/>
        </w:pict>
      </w:r>
    </w:p>
    <w:p w14:paraId="7D9A5458" w14:textId="77777777" w:rsidR="009D4DC9" w:rsidRDefault="00052A0C">
      <w:pPr>
        <w:pStyle w:val="Titre1"/>
      </w:pPr>
      <w:bookmarkStart w:id="24" w:name="conclusion"/>
      <w:bookmarkStart w:id="25" w:name="_Toc227465785"/>
      <w:bookmarkEnd w:id="12"/>
      <w:bookmarkEnd w:id="22"/>
      <w:r>
        <w:t>4</w:t>
      </w:r>
      <w:r>
        <w:tab/>
        <w:t>Conclusion</w:t>
      </w:r>
      <w:bookmarkEnd w:id="25"/>
    </w:p>
    <w:p w14:paraId="24A29EF8" w14:textId="77777777" w:rsidR="009D4DC9" w:rsidRDefault="00052A0C">
      <w:r>
        <w:pict w14:anchorId="6140E8A7">
          <v:rect id="_x0000_i1032" style="width:0;height:1.5pt" o:hralign="center" o:hrstd="t" o:hr="t"/>
        </w:pict>
      </w:r>
    </w:p>
    <w:p w14:paraId="0DB95242" w14:textId="77777777" w:rsidR="009D4DC9" w:rsidRDefault="00052A0C">
      <w:r>
        <w:t>Quatre enseignements principaux ressortent de cette analyse de la production agricole nigériane en Wave 4.</w:t>
      </w:r>
    </w:p>
    <w:p w14:paraId="1995705E" w14:textId="77777777" w:rsidR="009D4DC9" w:rsidRDefault="00052A0C">
      <w:pPr>
        <w:pStyle w:val="Corpsdetexte"/>
      </w:pPr>
      <w:r>
        <w:rPr>
          <w:b/>
          <w:bCs/>
        </w:rPr>
        <w:t>Une agriculture dominée par les céréales et les tubercules.</w:t>
      </w:r>
      <w:r>
        <w:t xml:space="preserve"> Le maïs (50.6% des ménages), le sorgho et le manioc concentrent l’essentiel des exploitat</w:t>
      </w:r>
      <w:r>
        <w:t>ions, reflétant la double vocation vivrière et commerciale de l’agriculture nigériane selon les zones agro-écologiques.</w:t>
      </w:r>
    </w:p>
    <w:p w14:paraId="15047714" w14:textId="77777777" w:rsidR="009D4DC9" w:rsidRDefault="00052A0C">
      <w:pPr>
        <w:pStyle w:val="Corpsdetexte"/>
      </w:pPr>
      <w:r>
        <w:rPr>
          <w:b/>
          <w:bCs/>
        </w:rPr>
        <w:t>Une diversification plus marquée en milieu rural.</w:t>
      </w:r>
      <w:r>
        <w:t xml:space="preserve"> Les ménages ruraux cultivent en moyenne 2.88 cultures contre 2.67 en milieu urbain (p </w:t>
      </w:r>
      <w:r>
        <w:t>= 2e-12), confirmant les stratégies de résilience des exploitations familiales par la pluriculture.</w:t>
      </w:r>
    </w:p>
    <w:p w14:paraId="67590531" w14:textId="77777777" w:rsidR="009D4DC9" w:rsidRDefault="00052A0C">
      <w:pPr>
        <w:pStyle w:val="Corpsdetexte"/>
      </w:pPr>
      <w:r>
        <w:rPr>
          <w:b/>
          <w:bCs/>
        </w:rPr>
        <w:t>Des intrants encore peu adoptés, avec de fortes disparités géographiques.</w:t>
      </w:r>
      <w:r>
        <w:t xml:space="preserve"> Seuls 43% des ménages ont utilisé de l’engrais inorganique. Le Nord du Nigeria aff</w:t>
      </w:r>
      <w:r>
        <w:t>iche les taux les plus élevés, portés par les politiques de subvention et les systèmes céréaliers extensifs. Ces faibles taux d’adoption nationaux constituent un levier d’amélioration des rendements à fort potentiel.</w:t>
      </w:r>
    </w:p>
    <w:p w14:paraId="5D291B37" w14:textId="77777777" w:rsidR="009D4DC9" w:rsidRDefault="00052A0C">
      <w:pPr>
        <w:pStyle w:val="Corpsdetexte"/>
      </w:pPr>
      <w:r>
        <w:rPr>
          <w:b/>
          <w:bCs/>
        </w:rPr>
        <w:t>Un effet positif et significatif de l’e</w:t>
      </w:r>
      <w:r>
        <w:rPr>
          <w:b/>
          <w:bCs/>
        </w:rPr>
        <w:t>ngrais sur les rendements.</w:t>
      </w:r>
      <w:r>
        <w:t xml:space="preserve"> Les parcelles sous engrais inorganique produisent en médiane 2× plus de maïs (p = 5.9e-43, r = 0.292). La taille d’effet petite invite néanmoins à considérer l’ensemble du paquet technologique (semences améliorées, eau, conseil a</w:t>
      </w:r>
      <w:r>
        <w:t>gronomique) pour maximiser les gains de productivité.</w:t>
      </w:r>
    </w:p>
    <w:p w14:paraId="0D05F4D6" w14:textId="77777777" w:rsidR="009D4DC9" w:rsidRDefault="00052A0C">
      <w:r>
        <w:br w:type="page"/>
      </w:r>
    </w:p>
    <w:p w14:paraId="388E5FC7" w14:textId="77777777" w:rsidR="009D4DC9" w:rsidRDefault="00052A0C">
      <w:r>
        <w:lastRenderedPageBreak/>
        <w:pict w14:anchorId="122A346C">
          <v:rect id="_x0000_i1033" style="width:0;height:1.5pt" o:hralign="center" o:hrstd="t" o:hr="t"/>
        </w:pict>
      </w:r>
    </w:p>
    <w:p w14:paraId="48FD2B4F" w14:textId="77777777" w:rsidR="009D4DC9" w:rsidRDefault="00052A0C">
      <w:pPr>
        <w:pStyle w:val="Titre1"/>
      </w:pPr>
      <w:bookmarkStart w:id="26" w:name="références-bibliographiques"/>
      <w:bookmarkStart w:id="27" w:name="_Toc227465786"/>
      <w:bookmarkEnd w:id="24"/>
      <w:r>
        <w:t>Références bibliographiques</w:t>
      </w:r>
      <w:bookmarkEnd w:id="27"/>
    </w:p>
    <w:p w14:paraId="3373639F" w14:textId="77777777" w:rsidR="009D4DC9" w:rsidRDefault="00052A0C">
      <w:r>
        <w:pict w14:anchorId="7829E055">
          <v:rect id="_x0000_i1034" style="width:0;height:1.5pt" o:hralign="center" o:hrstd="t" o:hr="t"/>
        </w:pict>
      </w:r>
    </w:p>
    <w:p w14:paraId="6CC19025" w14:textId="77777777" w:rsidR="009D4DC9" w:rsidRDefault="00052A0C">
      <w:pPr>
        <w:numPr>
          <w:ilvl w:val="0"/>
          <w:numId w:val="6"/>
        </w:numPr>
      </w:pPr>
      <w:r>
        <w:t xml:space="preserve">World Bank / NBS Nigeria (2019). </w:t>
      </w:r>
      <w:r>
        <w:rPr>
          <w:i/>
          <w:iCs/>
        </w:rPr>
        <w:t>Nigeria General Household Survey Panel 2018-2019, Wave 4</w:t>
      </w:r>
      <w:r>
        <w:t>. LSMS-ISA. Washington DC : The World Bank.</w:t>
      </w:r>
    </w:p>
    <w:p w14:paraId="58C3BCEC" w14:textId="77777777" w:rsidR="009D4DC9" w:rsidRDefault="00052A0C">
      <w:pPr>
        <w:numPr>
          <w:ilvl w:val="0"/>
          <w:numId w:val="6"/>
        </w:numPr>
      </w:pPr>
      <w:r>
        <w:t>Adjognon, S. G., Liverpool-Tasie, L</w:t>
      </w:r>
      <w:r>
        <w:t xml:space="preserve">. S. O. &amp; Reardon, T. A. (2017). Agricultural input credit in Sub-Saharan Africa. </w:t>
      </w:r>
      <w:r>
        <w:rPr>
          <w:i/>
          <w:iCs/>
        </w:rPr>
        <w:t>World Development</w:t>
      </w:r>
      <w:r>
        <w:t>, 94, 386–400.</w:t>
      </w:r>
    </w:p>
    <w:p w14:paraId="68338FB6" w14:textId="77777777" w:rsidR="009D4DC9" w:rsidRDefault="00052A0C">
      <w:pPr>
        <w:numPr>
          <w:ilvl w:val="0"/>
          <w:numId w:val="6"/>
        </w:numPr>
      </w:pPr>
      <w:r>
        <w:t xml:space="preserve">Lumley, T. (2010). </w:t>
      </w:r>
      <w:r>
        <w:rPr>
          <w:i/>
          <w:iCs/>
        </w:rPr>
        <w:t>Complex Surveys: A Guide to Analysis Using R</w:t>
      </w:r>
      <w:r>
        <w:t>. Hoboken : Wiley.</w:t>
      </w:r>
    </w:p>
    <w:p w14:paraId="1D1D1B20" w14:textId="77777777" w:rsidR="009D4DC9" w:rsidRDefault="00052A0C">
      <w:pPr>
        <w:numPr>
          <w:ilvl w:val="0"/>
          <w:numId w:val="6"/>
        </w:numPr>
      </w:pPr>
      <w:r>
        <w:t>Kruskal, W. H. &amp; Wallis, W. A. (1952). Use of ranks in one-c</w:t>
      </w:r>
      <w:r>
        <w:t xml:space="preserve">riterion variance analysis. </w:t>
      </w:r>
      <w:r>
        <w:rPr>
          <w:i/>
          <w:iCs/>
        </w:rPr>
        <w:t>Journal of the American Statistical Association</w:t>
      </w:r>
      <w:r>
        <w:t>, 47(260), 583–621.</w:t>
      </w:r>
    </w:p>
    <w:p w14:paraId="00A66495" w14:textId="77777777" w:rsidR="009D4DC9" w:rsidRDefault="00052A0C">
      <w:pPr>
        <w:numPr>
          <w:ilvl w:val="0"/>
          <w:numId w:val="6"/>
        </w:numPr>
      </w:pPr>
      <w:r>
        <w:t xml:space="preserve">Wilcoxon, F. (1945). Individual comparisons by ranking methods. </w:t>
      </w:r>
      <w:r>
        <w:rPr>
          <w:i/>
          <w:iCs/>
        </w:rPr>
        <w:t>Biometrics Bulletin</w:t>
      </w:r>
      <w:r>
        <w:t>, 1(6), 80–83.</w:t>
      </w:r>
    </w:p>
    <w:p w14:paraId="0A6D6653" w14:textId="77777777" w:rsidR="009D4DC9" w:rsidRDefault="00052A0C">
      <w:pPr>
        <w:numPr>
          <w:ilvl w:val="0"/>
          <w:numId w:val="6"/>
        </w:numPr>
      </w:pPr>
      <w:r>
        <w:t xml:space="preserve">Cohen, J. (1988). </w:t>
      </w:r>
      <w:r>
        <w:rPr>
          <w:i/>
          <w:iCs/>
        </w:rPr>
        <w:t>Statistical Power Analysis for the Behavioral Sciences</w:t>
      </w:r>
      <w:r>
        <w:t xml:space="preserve"> (2e éd.). Hillsdale : Lawrence Erlbaum.</w:t>
      </w:r>
    </w:p>
    <w:p w14:paraId="21FB287D" w14:textId="77777777" w:rsidR="009D4DC9" w:rsidRDefault="00052A0C">
      <w:r>
        <w:pict w14:anchorId="7990198E">
          <v:rect id="_x0000_i1035" style="width:0;height:1.5pt" o:hralign="center" o:hrstd="t" o:hr="t"/>
        </w:pict>
      </w:r>
    </w:p>
    <w:p w14:paraId="3B4D1A71" w14:textId="77777777" w:rsidR="009D4DC9" w:rsidRDefault="00052A0C">
      <w:r>
        <w:rPr>
          <w:i/>
          <w:iCs/>
        </w:rPr>
        <w:t>Rapport produit avec R Markdown (knitr/officer) — ENSAE Pierre Ndiaye, 2025-2026.</w:t>
      </w:r>
      <w:bookmarkEnd w:id="26"/>
    </w:p>
    <w:sectPr w:rsidR="009D4DC9" w:rsidSect="001D0EA6">
      <w:footerReference w:type="default" r:id="rId13"/>
      <w:pgSz w:w="11906" w:h="16838"/>
      <w:pgMar w:top="1200" w:right="1200" w:bottom="1200" w:left="1440" w:header="708" w:footer="708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3744F7" w14:textId="77777777" w:rsidR="00052A0C" w:rsidRDefault="00052A0C">
      <w:pPr>
        <w:spacing w:line="240" w:lineRule="auto"/>
      </w:pPr>
      <w:r>
        <w:separator/>
      </w:r>
    </w:p>
  </w:endnote>
  <w:endnote w:type="continuationSeparator" w:id="0">
    <w:p w14:paraId="0F68279F" w14:textId="77777777" w:rsidR="00052A0C" w:rsidRDefault="00052A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ndara Light">
    <w:panose1 w:val="020E0502030303020204"/>
    <w:charset w:val="00"/>
    <w:family w:val="swiss"/>
    <w:pitch w:val="variable"/>
    <w:sig w:usb0="A00002FF" w:usb1="00000002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atura MT Script Capitals">
    <w:panose1 w:val="03020802060602070202"/>
    <w:charset w:val="00"/>
    <w:family w:val="script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1D2283" w14:textId="77777777" w:rsidR="007C418D" w:rsidRDefault="00A45A46">
    <w:pPr>
      <w:jc w:val="center"/>
    </w:pPr>
    <w:r>
      <w:rPr>
        <w:color w:val="888888"/>
        <w:sz w:val="16"/>
        <w:szCs w:val="16"/>
      </w:rPr>
      <w:t xml:space="preserve">TP5 | Groupe 7 — YAMAHA Herman &amp; DIALLO Bourama | ENSAE ISE1 2025-2026   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D81959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/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D81959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ECBFAF" w14:textId="77777777" w:rsidR="00052A0C" w:rsidRDefault="00052A0C">
      <w:pPr>
        <w:spacing w:line="240" w:lineRule="auto"/>
      </w:pPr>
      <w:r>
        <w:separator/>
      </w:r>
    </w:p>
  </w:footnote>
  <w:footnote w:type="continuationSeparator" w:id="0">
    <w:p w14:paraId="07C3A0AB" w14:textId="77777777" w:rsidR="00052A0C" w:rsidRDefault="00052A0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61C11B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BE60BA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89E2817"/>
    <w:multiLevelType w:val="hybridMultilevel"/>
    <w:tmpl w:val="457E6B04"/>
    <w:lvl w:ilvl="0" w:tplc="E63E61C4">
      <w:start w:val="1"/>
      <w:numFmt w:val="bullet"/>
      <w:lvlText w:val="●"/>
      <w:lvlJc w:val="left"/>
      <w:pPr>
        <w:ind w:left="720" w:hanging="360"/>
      </w:pPr>
    </w:lvl>
    <w:lvl w:ilvl="1" w:tplc="F6943552">
      <w:start w:val="1"/>
      <w:numFmt w:val="bullet"/>
      <w:lvlText w:val="○"/>
      <w:lvlJc w:val="left"/>
      <w:pPr>
        <w:ind w:left="1440" w:hanging="360"/>
      </w:pPr>
    </w:lvl>
    <w:lvl w:ilvl="2" w:tplc="E4E6C828">
      <w:start w:val="1"/>
      <w:numFmt w:val="bullet"/>
      <w:lvlText w:val="■"/>
      <w:lvlJc w:val="left"/>
      <w:pPr>
        <w:ind w:left="2160" w:hanging="360"/>
      </w:pPr>
    </w:lvl>
    <w:lvl w:ilvl="3" w:tplc="22CAEAD8">
      <w:start w:val="1"/>
      <w:numFmt w:val="bullet"/>
      <w:lvlText w:val="●"/>
      <w:lvlJc w:val="left"/>
      <w:pPr>
        <w:ind w:left="2880" w:hanging="360"/>
      </w:pPr>
    </w:lvl>
    <w:lvl w:ilvl="4" w:tplc="F230DC0E">
      <w:start w:val="1"/>
      <w:numFmt w:val="bullet"/>
      <w:lvlText w:val="○"/>
      <w:lvlJc w:val="left"/>
      <w:pPr>
        <w:ind w:left="3600" w:hanging="360"/>
      </w:pPr>
    </w:lvl>
    <w:lvl w:ilvl="5" w:tplc="87E83E2E">
      <w:start w:val="1"/>
      <w:numFmt w:val="bullet"/>
      <w:lvlText w:val="■"/>
      <w:lvlJc w:val="left"/>
      <w:pPr>
        <w:ind w:left="4320" w:hanging="360"/>
      </w:pPr>
    </w:lvl>
    <w:lvl w:ilvl="6" w:tplc="B8B447E4">
      <w:start w:val="1"/>
      <w:numFmt w:val="bullet"/>
      <w:lvlText w:val="●"/>
      <w:lvlJc w:val="left"/>
      <w:pPr>
        <w:ind w:left="5040" w:hanging="360"/>
      </w:pPr>
    </w:lvl>
    <w:lvl w:ilvl="7" w:tplc="4E1ABB8C">
      <w:start w:val="1"/>
      <w:numFmt w:val="bullet"/>
      <w:lvlText w:val="●"/>
      <w:lvlJc w:val="left"/>
      <w:pPr>
        <w:ind w:left="5760" w:hanging="360"/>
      </w:pPr>
    </w:lvl>
    <w:lvl w:ilvl="8" w:tplc="985EF95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1A3D5D12"/>
    <w:multiLevelType w:val="hybridMultilevel"/>
    <w:tmpl w:val="9E7CAB02"/>
    <w:lvl w:ilvl="0" w:tplc="0C300838">
      <w:start w:val="1"/>
      <w:numFmt w:val="decimal"/>
      <w:lvlText w:val="%1."/>
      <w:lvlJc w:val="left"/>
      <w:pPr>
        <w:ind w:left="720" w:hanging="360"/>
      </w:pPr>
    </w:lvl>
    <w:lvl w:ilvl="1" w:tplc="BB683622">
      <w:numFmt w:val="decimal"/>
      <w:lvlText w:val=""/>
      <w:lvlJc w:val="left"/>
    </w:lvl>
    <w:lvl w:ilvl="2" w:tplc="24B8F392">
      <w:numFmt w:val="decimal"/>
      <w:lvlText w:val=""/>
      <w:lvlJc w:val="left"/>
    </w:lvl>
    <w:lvl w:ilvl="3" w:tplc="C6842814">
      <w:numFmt w:val="decimal"/>
      <w:lvlText w:val=""/>
      <w:lvlJc w:val="left"/>
    </w:lvl>
    <w:lvl w:ilvl="4" w:tplc="EAAEACDA">
      <w:numFmt w:val="decimal"/>
      <w:lvlText w:val=""/>
      <w:lvlJc w:val="left"/>
    </w:lvl>
    <w:lvl w:ilvl="5" w:tplc="986C0EFE">
      <w:numFmt w:val="decimal"/>
      <w:lvlText w:val=""/>
      <w:lvlJc w:val="left"/>
    </w:lvl>
    <w:lvl w:ilvl="6" w:tplc="80B2CD76">
      <w:numFmt w:val="decimal"/>
      <w:lvlText w:val=""/>
      <w:lvlJc w:val="left"/>
    </w:lvl>
    <w:lvl w:ilvl="7" w:tplc="D5ACB40A">
      <w:numFmt w:val="decimal"/>
      <w:lvlText w:val=""/>
      <w:lvlJc w:val="left"/>
    </w:lvl>
    <w:lvl w:ilvl="8" w:tplc="772897AE">
      <w:numFmt w:val="decimal"/>
      <w:lvlText w:val=""/>
      <w:lvlJc w:val="left"/>
    </w:lvl>
  </w:abstractNum>
  <w:abstractNum w:abstractNumId="4" w15:restartNumberingAfterBreak="0">
    <w:nsid w:val="59770052"/>
    <w:multiLevelType w:val="hybridMultilevel"/>
    <w:tmpl w:val="E31C6D02"/>
    <w:lvl w:ilvl="0" w:tplc="3D2C503E">
      <w:start w:val="1"/>
      <w:numFmt w:val="bullet"/>
      <w:lvlText w:val="•"/>
      <w:lvlJc w:val="left"/>
      <w:pPr>
        <w:ind w:left="720" w:hanging="360"/>
      </w:pPr>
    </w:lvl>
    <w:lvl w:ilvl="1" w:tplc="CEB22E5E">
      <w:numFmt w:val="decimal"/>
      <w:lvlText w:val=""/>
      <w:lvlJc w:val="left"/>
    </w:lvl>
    <w:lvl w:ilvl="2" w:tplc="2396941E">
      <w:numFmt w:val="decimal"/>
      <w:lvlText w:val=""/>
      <w:lvlJc w:val="left"/>
    </w:lvl>
    <w:lvl w:ilvl="3" w:tplc="C8B8D09E">
      <w:numFmt w:val="decimal"/>
      <w:lvlText w:val=""/>
      <w:lvlJc w:val="left"/>
    </w:lvl>
    <w:lvl w:ilvl="4" w:tplc="DF3C98C2">
      <w:numFmt w:val="decimal"/>
      <w:lvlText w:val=""/>
      <w:lvlJc w:val="left"/>
    </w:lvl>
    <w:lvl w:ilvl="5" w:tplc="B5340DB0">
      <w:numFmt w:val="decimal"/>
      <w:lvlText w:val=""/>
      <w:lvlJc w:val="left"/>
    </w:lvl>
    <w:lvl w:ilvl="6" w:tplc="572453DE">
      <w:numFmt w:val="decimal"/>
      <w:lvlText w:val=""/>
      <w:lvlJc w:val="left"/>
    </w:lvl>
    <w:lvl w:ilvl="7" w:tplc="BBAAF4FA">
      <w:numFmt w:val="decimal"/>
      <w:lvlText w:val=""/>
      <w:lvlJc w:val="left"/>
    </w:lvl>
    <w:lvl w:ilvl="8" w:tplc="C7C2DA02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0"/>
  </w:num>
  <w:num w:numId="4">
    <w:abstractNumId w:val="1"/>
  </w:num>
  <w:num w:numId="5">
    <w:abstractNumId w:val="1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18D"/>
    <w:rsid w:val="00052A0C"/>
    <w:rsid w:val="00067C33"/>
    <w:rsid w:val="00101D51"/>
    <w:rsid w:val="001A2E5C"/>
    <w:rsid w:val="001D0EA6"/>
    <w:rsid w:val="0020155E"/>
    <w:rsid w:val="002D748D"/>
    <w:rsid w:val="00422843"/>
    <w:rsid w:val="0043632D"/>
    <w:rsid w:val="00570451"/>
    <w:rsid w:val="005A3C74"/>
    <w:rsid w:val="00705D5D"/>
    <w:rsid w:val="00796045"/>
    <w:rsid w:val="007C418D"/>
    <w:rsid w:val="009D4DC9"/>
    <w:rsid w:val="00A45A46"/>
    <w:rsid w:val="00BE6295"/>
    <w:rsid w:val="00D81959"/>
    <w:rsid w:val="00E575D5"/>
    <w:rsid w:val="00ED7C5B"/>
    <w:rsid w:val="00F327D6"/>
    <w:rsid w:val="00F95F3D"/>
    <w:rsid w:val="00FF6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AC1A9"/>
  <w15:docId w15:val="{6EA32D5C-E79B-4215-A718-1215B47C1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5D5D"/>
    <w:pPr>
      <w:spacing w:line="360" w:lineRule="auto"/>
      <w:contextualSpacing/>
      <w:jc w:val="both"/>
    </w:pPr>
    <w:rPr>
      <w:sz w:val="24"/>
    </w:rPr>
  </w:style>
  <w:style w:type="paragraph" w:styleId="Titre1">
    <w:name w:val="heading 1"/>
    <w:uiPriority w:val="9"/>
    <w:qFormat/>
    <w:rsid w:val="0020155E"/>
    <w:pPr>
      <w:spacing w:before="400" w:after="200" w:line="360" w:lineRule="auto"/>
      <w:contextualSpacing/>
      <w:outlineLvl w:val="0"/>
    </w:pPr>
    <w:rPr>
      <w:b/>
      <w:bCs/>
      <w:color w:val="1A5276"/>
      <w:sz w:val="36"/>
      <w:szCs w:val="36"/>
    </w:rPr>
  </w:style>
  <w:style w:type="paragraph" w:styleId="Titre2">
    <w:name w:val="heading 2"/>
    <w:uiPriority w:val="9"/>
    <w:unhideWhenUsed/>
    <w:qFormat/>
    <w:rsid w:val="0020155E"/>
    <w:pPr>
      <w:spacing w:before="300" w:after="160" w:line="360" w:lineRule="auto"/>
      <w:contextualSpacing/>
      <w:outlineLvl w:val="1"/>
    </w:pPr>
    <w:rPr>
      <w:b/>
      <w:bCs/>
      <w:color w:val="2C3E50"/>
      <w:sz w:val="28"/>
      <w:szCs w:val="28"/>
    </w:rPr>
  </w:style>
  <w:style w:type="paragraph" w:styleId="Titre3">
    <w:name w:val="heading 3"/>
    <w:uiPriority w:val="9"/>
    <w:unhideWhenUsed/>
    <w:qFormat/>
    <w:rsid w:val="0020155E"/>
    <w:pPr>
      <w:spacing w:before="200" w:after="120" w:line="360" w:lineRule="auto"/>
      <w:contextualSpacing/>
      <w:outlineLvl w:val="2"/>
    </w:pPr>
    <w:rPr>
      <w:b/>
      <w:bCs/>
      <w:color w:val="1E8449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sid w:val="00422843"/>
    <w:pPr>
      <w:spacing w:after="360" w:line="288" w:lineRule="auto"/>
      <w:jc w:val="both"/>
    </w:pPr>
    <w:rPr>
      <w:rFonts w:ascii="Candara" w:hAnsi="Candara"/>
      <w:color w:val="44546A" w:themeColor="text2"/>
      <w:sz w:val="4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  <w:rsid w:val="00705D5D"/>
    <w:rPr>
      <w:sz w:val="24"/>
    </w:rPr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796045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96045"/>
  </w:style>
  <w:style w:type="paragraph" w:styleId="Pieddepage">
    <w:name w:val="footer"/>
    <w:basedOn w:val="Normal"/>
    <w:link w:val="PieddepageCar"/>
    <w:uiPriority w:val="99"/>
    <w:unhideWhenUsed/>
    <w:rsid w:val="00796045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96045"/>
  </w:style>
  <w:style w:type="paragraph" w:styleId="Sansinterligne">
    <w:name w:val="No Spacing"/>
    <w:link w:val="SansinterligneCar"/>
    <w:uiPriority w:val="1"/>
    <w:qFormat/>
    <w:rsid w:val="001D0EA6"/>
    <w:rPr>
      <w:rFonts w:asciiTheme="minorHAnsi" w:eastAsiaTheme="minorEastAsia" w:hAnsiTheme="minorHAnsi" w:cstheme="minorBidi"/>
      <w:sz w:val="22"/>
      <w:szCs w:val="22"/>
    </w:rPr>
  </w:style>
  <w:style w:type="character" w:customStyle="1" w:styleId="SansinterligneCar">
    <w:name w:val="Sans interligne Car"/>
    <w:basedOn w:val="Policepardfaut"/>
    <w:link w:val="Sansinterligne"/>
    <w:uiPriority w:val="1"/>
    <w:rsid w:val="001D0EA6"/>
    <w:rPr>
      <w:rFonts w:asciiTheme="minorHAnsi" w:eastAsiaTheme="minorEastAsia" w:hAnsiTheme="minorHAnsi" w:cstheme="minorBidi"/>
      <w:sz w:val="22"/>
      <w:szCs w:val="2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422843"/>
    <w:pPr>
      <w:keepNext/>
      <w:keepLines/>
      <w:spacing w:before="240" w:after="480"/>
      <w:contextualSpacing w:val="0"/>
      <w:jc w:val="center"/>
      <w:outlineLvl w:val="9"/>
    </w:pPr>
    <w:rPr>
      <w:rFonts w:ascii="Candara Light" w:eastAsiaTheme="majorEastAsia" w:hAnsi="Candara Light" w:cstheme="majorBidi"/>
      <w:bCs w:val="0"/>
      <w:color w:val="2F5496" w:themeColor="accent1" w:themeShade="BF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5A3C74"/>
    <w:rPr>
      <w:sz w:val="28"/>
    </w:rPr>
  </w:style>
  <w:style w:type="paragraph" w:styleId="TM2">
    <w:name w:val="toc 2"/>
    <w:basedOn w:val="Normal"/>
    <w:next w:val="Normal"/>
    <w:autoRedefine/>
    <w:uiPriority w:val="39"/>
    <w:unhideWhenUsed/>
    <w:rsid w:val="005A3C74"/>
    <w:pPr>
      <w:spacing w:after="100"/>
      <w:ind w:left="200"/>
    </w:pPr>
  </w:style>
  <w:style w:type="paragraph" w:styleId="TM3">
    <w:name w:val="toc 3"/>
    <w:basedOn w:val="Normal"/>
    <w:next w:val="Normal"/>
    <w:autoRedefine/>
    <w:uiPriority w:val="39"/>
    <w:unhideWhenUsed/>
    <w:rsid w:val="00BE6295"/>
    <w:pPr>
      <w:spacing w:after="100"/>
      <w:ind w:left="400"/>
    </w:pPr>
  </w:style>
  <w:style w:type="paragraph" w:styleId="Sous-titre">
    <w:name w:val="Subtitle"/>
    <w:basedOn w:val="Titre"/>
    <w:next w:val="Corpsdetexte"/>
    <w:link w:val="Sous-titreCar"/>
    <w:qFormat/>
    <w:rsid w:val="00E575D5"/>
    <w:pPr>
      <w:keepNext/>
      <w:keepLines/>
      <w:spacing w:before="240" w:after="240" w:line="360" w:lineRule="auto"/>
      <w:jc w:val="center"/>
    </w:pPr>
    <w:rPr>
      <w:rFonts w:ascii="Garamond" w:eastAsiaTheme="majorEastAsia" w:hAnsi="Garamond" w:cstheme="majorBidi"/>
      <w:b/>
      <w:bCs/>
      <w:i/>
      <w:sz w:val="36"/>
      <w:szCs w:val="30"/>
      <w:lang w:val="fr" w:eastAsia="en-US"/>
    </w:rPr>
  </w:style>
  <w:style w:type="character" w:customStyle="1" w:styleId="Sous-titreCar">
    <w:name w:val="Sous-titre Car"/>
    <w:basedOn w:val="Policepardfaut"/>
    <w:link w:val="Sous-titre"/>
    <w:rsid w:val="00E575D5"/>
    <w:rPr>
      <w:rFonts w:ascii="Garamond" w:eastAsiaTheme="majorEastAsia" w:hAnsi="Garamond" w:cstheme="majorBidi"/>
      <w:b/>
      <w:bCs/>
      <w:i/>
      <w:sz w:val="36"/>
      <w:szCs w:val="30"/>
      <w:lang w:val="fr" w:eastAsia="en-US"/>
    </w:rPr>
  </w:style>
  <w:style w:type="paragraph" w:customStyle="1" w:styleId="Author">
    <w:name w:val="Author"/>
    <w:next w:val="Corpsdetexte"/>
    <w:qFormat/>
    <w:rsid w:val="00E575D5"/>
    <w:pPr>
      <w:keepNext/>
      <w:keepLines/>
      <w:spacing w:after="200"/>
      <w:jc w:val="center"/>
    </w:pPr>
    <w:rPr>
      <w:rFonts w:ascii="Candara Light" w:eastAsiaTheme="minorHAnsi" w:hAnsi="Candara Light" w:cstheme="minorBidi"/>
      <w:b/>
      <w:i/>
      <w:sz w:val="36"/>
      <w:szCs w:val="24"/>
      <w:lang w:val="fr" w:eastAsia="en-US"/>
    </w:rPr>
  </w:style>
  <w:style w:type="paragraph" w:styleId="Date">
    <w:name w:val="Date"/>
    <w:next w:val="Corpsdetexte"/>
    <w:link w:val="DateCar"/>
    <w:qFormat/>
    <w:rsid w:val="00705D5D"/>
    <w:pPr>
      <w:keepNext/>
      <w:keepLines/>
      <w:spacing w:after="720"/>
      <w:jc w:val="center"/>
    </w:pPr>
    <w:rPr>
      <w:rFonts w:ascii="Matura MT Script Capitals" w:eastAsiaTheme="minorHAnsi" w:hAnsi="Matura MT Script Capitals" w:cstheme="minorBidi"/>
      <w:sz w:val="32"/>
      <w:szCs w:val="24"/>
      <w:lang w:val="fr" w:eastAsia="en-US"/>
    </w:rPr>
  </w:style>
  <w:style w:type="character" w:customStyle="1" w:styleId="DateCar">
    <w:name w:val="Date Car"/>
    <w:basedOn w:val="Policepardfaut"/>
    <w:link w:val="Date"/>
    <w:rsid w:val="00705D5D"/>
    <w:rPr>
      <w:rFonts w:ascii="Matura MT Script Capitals" w:eastAsiaTheme="minorHAnsi" w:hAnsi="Matura MT Script Capitals" w:cstheme="minorBidi"/>
      <w:sz w:val="32"/>
      <w:szCs w:val="24"/>
      <w:lang w:val="fr" w:eastAsia="en-US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43632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43632D"/>
  </w:style>
  <w:style w:type="paragraph" w:customStyle="1" w:styleId="SourceCode">
    <w:name w:val="Source Code"/>
    <w:basedOn w:val="Normal"/>
    <w:pPr>
      <w:shd w:val="clear" w:color="auto" w:fill="F8F8F8"/>
      <w:wordWrap w:val="0"/>
    </w:pPr>
  </w:style>
  <w:style w:type="character" w:customStyle="1" w:styleId="KeywordTok">
    <w:name w:val="KeywordTok"/>
    <w:rPr>
      <w:b/>
      <w:color w:val="204A87"/>
      <w:shd w:val="clear" w:color="auto" w:fill="F8F8F8"/>
    </w:rPr>
  </w:style>
  <w:style w:type="character" w:customStyle="1" w:styleId="DataTypeTok">
    <w:name w:val="DataTypeTok"/>
    <w:rPr>
      <w:color w:val="204A87"/>
      <w:shd w:val="clear" w:color="auto" w:fill="F8F8F8"/>
    </w:rPr>
  </w:style>
  <w:style w:type="character" w:customStyle="1" w:styleId="DecValTok">
    <w:name w:val="DecValTok"/>
    <w:rPr>
      <w:color w:val="0000CF"/>
      <w:shd w:val="clear" w:color="auto" w:fill="F8F8F8"/>
    </w:rPr>
  </w:style>
  <w:style w:type="character" w:customStyle="1" w:styleId="BaseNTok">
    <w:name w:val="BaseNTok"/>
    <w:rPr>
      <w:color w:val="0000CF"/>
      <w:shd w:val="clear" w:color="auto" w:fill="F8F8F8"/>
    </w:rPr>
  </w:style>
  <w:style w:type="character" w:customStyle="1" w:styleId="FloatTok">
    <w:name w:val="FloatTok"/>
    <w:rPr>
      <w:color w:val="0000CF"/>
      <w:shd w:val="clear" w:color="auto" w:fill="F8F8F8"/>
    </w:rPr>
  </w:style>
  <w:style w:type="character" w:customStyle="1" w:styleId="ConstantTok">
    <w:name w:val="ConstantTok"/>
    <w:rPr>
      <w:color w:val="8F5902"/>
      <w:shd w:val="clear" w:color="auto" w:fill="F8F8F8"/>
    </w:rPr>
  </w:style>
  <w:style w:type="character" w:customStyle="1" w:styleId="CharTok">
    <w:name w:val="CharTok"/>
    <w:rPr>
      <w:color w:val="4E9A06"/>
      <w:shd w:val="clear" w:color="auto" w:fill="F8F8F8"/>
    </w:rPr>
  </w:style>
  <w:style w:type="character" w:customStyle="1" w:styleId="SpecialCharTok">
    <w:name w:val="SpecialCharTok"/>
    <w:rPr>
      <w:b/>
      <w:color w:val="CE5C00"/>
      <w:shd w:val="clear" w:color="auto" w:fill="F8F8F8"/>
    </w:rPr>
  </w:style>
  <w:style w:type="character" w:customStyle="1" w:styleId="StringTok">
    <w:name w:val="StringTok"/>
    <w:rPr>
      <w:color w:val="4E9A06"/>
      <w:shd w:val="clear" w:color="auto" w:fill="F8F8F8"/>
    </w:rPr>
  </w:style>
  <w:style w:type="character" w:customStyle="1" w:styleId="VerbatimStringTok">
    <w:name w:val="VerbatimStringTok"/>
    <w:rPr>
      <w:color w:val="4E9A06"/>
      <w:shd w:val="clear" w:color="auto" w:fill="F8F8F8"/>
    </w:rPr>
  </w:style>
  <w:style w:type="character" w:customStyle="1" w:styleId="SpecialStringTok">
    <w:name w:val="SpecialStringTok"/>
    <w:rPr>
      <w:color w:val="4E9A06"/>
      <w:shd w:val="clear" w:color="auto" w:fill="F8F8F8"/>
    </w:rPr>
  </w:style>
  <w:style w:type="character" w:customStyle="1" w:styleId="ImportTok">
    <w:name w:val="ImportTok"/>
    <w:rPr>
      <w:shd w:val="clear" w:color="auto" w:fill="F8F8F8"/>
    </w:rPr>
  </w:style>
  <w:style w:type="character" w:customStyle="1" w:styleId="CommentTok">
    <w:name w:val="CommentTok"/>
    <w:rPr>
      <w:i/>
      <w:color w:val="8F5902"/>
      <w:shd w:val="clear" w:color="auto" w:fill="F8F8F8"/>
    </w:rPr>
  </w:style>
  <w:style w:type="character" w:customStyle="1" w:styleId="DocumentationTok">
    <w:name w:val="DocumentationTok"/>
    <w:rPr>
      <w:b/>
      <w:i/>
      <w:color w:val="8F5902"/>
      <w:shd w:val="clear" w:color="auto" w:fill="F8F8F8"/>
    </w:rPr>
  </w:style>
  <w:style w:type="character" w:customStyle="1" w:styleId="AnnotationTok">
    <w:name w:val="AnnotationTok"/>
    <w:rPr>
      <w:b/>
      <w:i/>
      <w:color w:val="8F5902"/>
      <w:shd w:val="clear" w:color="auto" w:fill="F8F8F8"/>
    </w:rPr>
  </w:style>
  <w:style w:type="character" w:customStyle="1" w:styleId="CommentVarTok">
    <w:name w:val="CommentVarTok"/>
    <w:rPr>
      <w:b/>
      <w:i/>
      <w:color w:val="8F5902"/>
      <w:shd w:val="clear" w:color="auto" w:fill="F8F8F8"/>
    </w:rPr>
  </w:style>
  <w:style w:type="character" w:customStyle="1" w:styleId="OtherTok">
    <w:name w:val="OtherTok"/>
    <w:rPr>
      <w:color w:val="8F5902"/>
      <w:shd w:val="clear" w:color="auto" w:fill="F8F8F8"/>
    </w:rPr>
  </w:style>
  <w:style w:type="character" w:customStyle="1" w:styleId="FunctionTok">
    <w:name w:val="FunctionTok"/>
    <w:rPr>
      <w:b/>
      <w:color w:val="204A87"/>
      <w:shd w:val="clear" w:color="auto" w:fill="F8F8F8"/>
    </w:rPr>
  </w:style>
  <w:style w:type="character" w:customStyle="1" w:styleId="VariableTok">
    <w:name w:val="VariableTok"/>
    <w:rPr>
      <w:color w:val="000000"/>
      <w:shd w:val="clear" w:color="auto" w:fill="F8F8F8"/>
    </w:rPr>
  </w:style>
  <w:style w:type="character" w:customStyle="1" w:styleId="ControlFlowTok">
    <w:name w:val="ControlFlowTok"/>
    <w:rPr>
      <w:b/>
      <w:color w:val="204A87"/>
      <w:shd w:val="clear" w:color="auto" w:fill="F8F8F8"/>
    </w:rPr>
  </w:style>
  <w:style w:type="character" w:customStyle="1" w:styleId="OperatorTok">
    <w:name w:val="OperatorTok"/>
    <w:rPr>
      <w:b/>
      <w:color w:val="CE5C00"/>
      <w:shd w:val="clear" w:color="auto" w:fill="F8F8F8"/>
    </w:rPr>
  </w:style>
  <w:style w:type="character" w:customStyle="1" w:styleId="BuiltInTok">
    <w:name w:val="BuiltInTok"/>
    <w:rPr>
      <w:shd w:val="clear" w:color="auto" w:fill="F8F8F8"/>
    </w:rPr>
  </w:style>
  <w:style w:type="character" w:customStyle="1" w:styleId="ExtensionTok">
    <w:name w:val="ExtensionTok"/>
    <w:rPr>
      <w:shd w:val="clear" w:color="auto" w:fill="F8F8F8"/>
    </w:rPr>
  </w:style>
  <w:style w:type="character" w:customStyle="1" w:styleId="PreprocessorTok">
    <w:name w:val="PreprocessorTok"/>
    <w:rPr>
      <w:i/>
      <w:color w:val="8F5902"/>
      <w:shd w:val="clear" w:color="auto" w:fill="F8F8F8"/>
    </w:rPr>
  </w:style>
  <w:style w:type="character" w:customStyle="1" w:styleId="AttributeTok">
    <w:name w:val="AttributeTok"/>
    <w:rPr>
      <w:color w:val="204A87"/>
      <w:shd w:val="clear" w:color="auto" w:fill="F8F8F8"/>
    </w:rPr>
  </w:style>
  <w:style w:type="character" w:customStyle="1" w:styleId="RegionMarkerTok">
    <w:name w:val="RegionMarkerTok"/>
    <w:rPr>
      <w:shd w:val="clear" w:color="auto" w:fill="F8F8F8"/>
    </w:rPr>
  </w:style>
  <w:style w:type="character" w:customStyle="1" w:styleId="InformationTok">
    <w:name w:val="InformationTok"/>
    <w:rPr>
      <w:b/>
      <w:i/>
      <w:color w:val="8F5902"/>
      <w:shd w:val="clear" w:color="auto" w:fill="F8F8F8"/>
    </w:rPr>
  </w:style>
  <w:style w:type="character" w:customStyle="1" w:styleId="WarningTok">
    <w:name w:val="WarningTok"/>
    <w:rPr>
      <w:b/>
      <w:i/>
      <w:color w:val="8F5902"/>
      <w:shd w:val="clear" w:color="auto" w:fill="F8F8F8"/>
    </w:rPr>
  </w:style>
  <w:style w:type="character" w:customStyle="1" w:styleId="AlertTok">
    <w:name w:val="AlertTok"/>
    <w:rPr>
      <w:color w:val="EF2929"/>
      <w:shd w:val="clear" w:color="auto" w:fill="F8F8F8"/>
    </w:rPr>
  </w:style>
  <w:style w:type="character" w:customStyle="1" w:styleId="ErrorTok">
    <w:name w:val="ErrorTok"/>
    <w:rPr>
      <w:b/>
      <w:color w:val="A40000"/>
      <w:shd w:val="clear" w:color="auto" w:fill="F8F8F8"/>
    </w:rPr>
  </w:style>
  <w:style w:type="character" w:customStyle="1" w:styleId="NormalTok">
    <w:name w:val="NormalTok"/>
    <w:rPr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14</Pages>
  <Words>2263</Words>
  <Characters>12452</Characters>
  <Application>Microsoft Office Word</Application>
  <DocSecurity>0</DocSecurity>
  <Lines>103</Lines>
  <Paragraphs>29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du TP5 portant sur l’analyse des cultures pratiquées, des intrants utilisés et des rendements agricoles au Nigeria</dc:title>
  <dc:creator>Rédaction de Herman YAMAHA et Bourama DIALLO, sous la supervision de M. Aboubacar HEMA</dc:creator>
  <cp:keywords/>
  <cp:lastModifiedBy>Herman YAMAHA</cp:lastModifiedBy>
  <cp:revision>2</cp:revision>
  <dcterms:created xsi:type="dcterms:W3CDTF">2026-04-19T02:35:00Z</dcterms:created>
  <dcterms:modified xsi:type="dcterms:W3CDTF">2026-04-19T02:36:00Z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Année académique 2025 - 2026</vt:lpwstr>
  </property>
  <property fmtid="{D5CDD505-2E9C-101B-9397-08002B2CF9AE}" pid="3" name="output">
    <vt:lpwstr/>
  </property>
</Properties>
</file>