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7.png" ContentType="image/png"/>
  <Override PartName="/word/media/rId56.png" ContentType="image/png"/>
  <Override PartName="/word/media/rId44.png" ContentType="image/png"/>
  <Override PartName="/word/media/rId48.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TP5 Agriculture nigériane — Analyse des données LSMS-ISA, Vague 4 (2018-2019) - Cultures pratiquées, intrants utilisés et rendements agricoles</w:t>
      </w:r>
    </w:p>
    <w:p>
      <w:pPr>
        <w:pStyle w:val="Author"/>
      </w:pPr>
      <w:r>
        <w:t xml:space="preserve">Groupe 18 KEBJAM Jackson et NGOYI Parfait Jemmy Prodige - Elèves en ISE 1 — 2025/2026</w:t>
      </w:r>
    </w:p>
    <w:p>
      <w:pPr>
        <w:pStyle w:val="Date"/>
      </w:pPr>
      <w:r>
        <w:t xml:space="preserve">12 avril 2026</w:t>
      </w:r>
    </w:p>
    <w:p>
      <w:r>
        <w:pict>
          <v:rect style="width:0;height:1.5pt" o:hralign="center" o:hrstd="t" o:hr="t"/>
        </w:pict>
      </w:r>
    </w:p>
    <w:bookmarkStart w:id="20" w:name="introduction"/>
    <w:p>
      <w:pPr>
        <w:pStyle w:val="Heading1"/>
      </w:pPr>
      <w:r>
        <w:rPr>
          <w:rStyle w:val="SectionNumber"/>
        </w:rPr>
        <w:t xml:space="preserve">1</w:t>
      </w:r>
      <w:r>
        <w:tab/>
      </w:r>
      <w:r>
        <w:t xml:space="preserve">Introduction</w:t>
      </w:r>
    </w:p>
    <w:p>
      <w:pPr>
        <w:pStyle w:val="FirstParagraph"/>
      </w:pPr>
      <w:r>
        <w:t xml:space="preserve">Ce rapport analyse les pratiques agricoles des ménages au Nigeria à partir de la quatrième</w:t>
      </w:r>
      <w:r>
        <w:t xml:space="preserve"> </w:t>
      </w:r>
      <w:r>
        <w:t xml:space="preserve">vague (2018-2019) de l’enquête</w:t>
      </w:r>
      <w:r>
        <w:t xml:space="preserve"> </w:t>
      </w:r>
      <w:r>
        <w:rPr>
          <w:i/>
          <w:iCs/>
        </w:rPr>
        <w:t xml:space="preserve">Living Standards Measurement Study – Integrated Surveys on</w:t>
      </w:r>
      <w:r>
        <w:rPr>
          <w:i/>
          <w:iCs/>
        </w:rPr>
        <w:t xml:space="preserve"> </w:t>
      </w:r>
      <w:r>
        <w:rPr>
          <w:i/>
          <w:iCs/>
        </w:rPr>
        <w:t xml:space="preserve">Agriculture</w:t>
      </w:r>
      <w:r>
        <w:t xml:space="preserve"> </w:t>
      </w:r>
      <w:r>
        <w:t xml:space="preserve">(LSMS-ISA), conduite par la Banque mondiale en partenariat avec le Bureau</w:t>
      </w:r>
      <w:r>
        <w:t xml:space="preserve"> </w:t>
      </w:r>
      <w:r>
        <w:t xml:space="preserve">national de statistiques du Nigeria.</w:t>
      </w:r>
    </w:p>
    <w:p>
      <w:pPr>
        <w:pStyle w:val="BodyText"/>
      </w:pPr>
      <w:r>
        <w:t xml:space="preserve">L’ensemble des estimations est pondéré par le poids ménage de la vague 4,</w:t>
      </w:r>
      <w:r>
        <w:t xml:space="preserve"> </w:t>
      </w:r>
      <w:r>
        <w:t xml:space="preserve">ce qui permet de raisonner en termes de population représentative.</w:t>
      </w:r>
    </w:p>
    <w:p>
      <w:pPr>
        <w:pStyle w:val="BodyText"/>
      </w:pPr>
      <w:r>
        <w:t xml:space="preserve">Le rapport est organisé autour de cinq axes :</w:t>
      </w:r>
    </w:p>
    <w:p>
      <w:pPr>
        <w:pStyle w:val="Compact"/>
        <w:numPr>
          <w:ilvl w:val="0"/>
          <w:numId w:val="1001"/>
        </w:numPr>
      </w:pPr>
      <w:r>
        <w:t xml:space="preserve">la structure cultural national (top 15 cultures) ;</w:t>
      </w:r>
    </w:p>
    <w:p>
      <w:pPr>
        <w:pStyle w:val="Compact"/>
        <w:numPr>
          <w:ilvl w:val="0"/>
          <w:numId w:val="1001"/>
        </w:numPr>
      </w:pPr>
      <w:r>
        <w:t xml:space="preserve">la diversification culturale selon le milieu de résidence ;</w:t>
      </w:r>
    </w:p>
    <w:p>
      <w:pPr>
        <w:pStyle w:val="Compact"/>
        <w:numPr>
          <w:ilvl w:val="0"/>
          <w:numId w:val="1001"/>
        </w:numPr>
      </w:pPr>
      <w:r>
        <w:t xml:space="preserve">l’utilisation des engrais chimiques et organiques par zone ;</w:t>
      </w:r>
    </w:p>
    <w:p>
      <w:pPr>
        <w:pStyle w:val="Compact"/>
        <w:numPr>
          <w:ilvl w:val="0"/>
          <w:numId w:val="1001"/>
        </w:numPr>
      </w:pPr>
      <w:r>
        <w:t xml:space="preserve">la distribution des rendements par État pour le maïs et le millet ;</w:t>
      </w:r>
    </w:p>
    <w:p>
      <w:pPr>
        <w:pStyle w:val="Compact"/>
        <w:numPr>
          <w:ilvl w:val="0"/>
          <w:numId w:val="1001"/>
        </w:numPr>
      </w:pPr>
      <w:r>
        <w:t xml:space="preserve">la relation entre usage d’engrais chimique et niveau de rendement.</w:t>
      </w:r>
    </w:p>
    <w:p>
      <w:r>
        <w:pict>
          <v:rect style="width:0;height:1.5pt" o:hralign="center" o:hrstd="t" o:hr="t"/>
        </w:pict>
      </w:r>
    </w:p>
    <w:bookmarkEnd w:id="20"/>
    <w:bookmarkStart w:id="27" w:name="Xf57607a30efba6ef01e0efbc2cab30b23f76059"/>
    <w:p>
      <w:pPr>
        <w:pStyle w:val="Heading1"/>
      </w:pPr>
      <w:r>
        <w:rPr>
          <w:rStyle w:val="SectionNumber"/>
        </w:rPr>
        <w:t xml:space="preserve">2</w:t>
      </w:r>
      <w:r>
        <w:tab/>
      </w:r>
      <w:r>
        <w:t xml:space="preserve">Les cultures les plus pratiquées au Nigeria en 2018-2019</w:t>
      </w:r>
    </w:p>
    <w:bookmarkStart w:id="21" w:name="méthode"/>
    <w:p>
      <w:pPr>
        <w:pStyle w:val="Heading2"/>
      </w:pPr>
      <w:r>
        <w:rPr>
          <w:rStyle w:val="SectionNumber"/>
        </w:rPr>
        <w:t xml:space="preserve">2.1</w:t>
      </w:r>
      <w:r>
        <w:tab/>
      </w:r>
      <w:r>
        <w:t xml:space="preserve">Méthode</w:t>
      </w:r>
    </w:p>
    <w:p>
      <w:pPr>
        <w:pStyle w:val="FirstParagraph"/>
      </w:pPr>
      <w:r>
        <w:t xml:space="preserve">Le classement est fondé sur la somme des poids ménage de tous les ménages ayant déclaré</w:t>
      </w:r>
      <w:r>
        <w:t xml:space="preserve"> </w:t>
      </w:r>
      <w:r>
        <w:t xml:space="preserve">cultiver chaque espèce. Un ménage cultivant plusieurs cultures contribue une fois au décompte</w:t>
      </w:r>
      <w:r>
        <w:t xml:space="preserve"> </w:t>
      </w:r>
      <w:r>
        <w:t xml:space="preserve">de chacune d’elles. Les 15 cultures affichant les fréquences pondérées les plus élevées</w:t>
      </w:r>
      <w:r>
        <w:t xml:space="preserve"> </w:t>
      </w:r>
      <w:r>
        <w:t xml:space="preserve">sont retenues.</w:t>
      </w:r>
    </w:p>
    <w:bookmarkEnd w:id="21"/>
    <w:bookmarkStart w:id="25" w:name="résultats"/>
    <w:p>
      <w:pPr>
        <w:pStyle w:val="Heading2"/>
      </w:pPr>
      <w:r>
        <w:rPr>
          <w:rStyle w:val="SectionNumber"/>
        </w:rPr>
        <w:t xml:space="preserve">2.2</w:t>
      </w:r>
      <w:r>
        <w:tab/>
      </w:r>
      <w:r>
        <w:t xml:space="preserve">Résultats</w:t>
      </w:r>
    </w:p>
    <w:p>
      <w:pPr>
        <w:pStyle w:val="CaptionedFigure"/>
      </w:pPr>
      <w:r>
        <w:drawing>
          <wp:inline>
            <wp:extent cx="5334000" cy="3429000"/>
            <wp:effectExtent b="0" l="0" r="0" t="0"/>
            <wp:docPr descr="Figure 1 — Top 15 des cultures les plus fréquentes, Vague 4" title="" id="23" name="Picture"/>
            <a:graphic>
              <a:graphicData uri="http://schemas.openxmlformats.org/drawingml/2006/picture">
                <pic:pic>
                  <pic:nvPicPr>
                    <pic:cNvPr descr="rapport_final_files/rapport_final_files/figure-docx/fig-top15-1.png" id="24" name="Picture"/>
                    <pic:cNvPicPr>
                      <a:picLocks noChangeArrowheads="1" noChangeAspect="1"/>
                    </pic:cNvPicPr>
                  </pic:nvPicPr>
                  <pic:blipFill>
                    <a:blip r:embed="rId22"/>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Figure 1 — Top 15 des cultures les plus fréquentes, Vague 4</w:t>
      </w:r>
    </w:p>
    <w:bookmarkEnd w:id="25"/>
    <w:bookmarkStart w:id="26" w:name="interprétation"/>
    <w:p>
      <w:pPr>
        <w:pStyle w:val="Heading2"/>
      </w:pPr>
      <w:r>
        <w:rPr>
          <w:rStyle w:val="SectionNumber"/>
        </w:rPr>
        <w:t xml:space="preserve">2.3</w:t>
      </w:r>
      <w:r>
        <w:tab/>
      </w:r>
      <w:r>
        <w:t xml:space="preserve">Interprétation</w:t>
      </w:r>
    </w:p>
    <w:p>
      <w:pPr>
        <w:pStyle w:val="FirstParagraph"/>
      </w:pPr>
      <w:r>
        <w:t xml:space="preserve">Le graphique présente les quinze cultures les plus pratiquées par les ménages nigérians lors de la campagne 2018-2019. Le maïs arrive nettement en tête avec 21,6 % des ménages, suivi du sorgho (13 %) puis du millet (8,9 %). Les légumineuses comme le niébé (8,8 %) et l’arachide (7,7 %) occupent une place importante, de même que les tubercules (manioc 8,7 %, igname 8,5 %). Les cultures de rente (coton, cacao, palme à huile) sont moins fréquentes, à l’exception du palmier à huile qui apparaît en quinzième position. La structure du classement montre la domination des céréales et des cultures vivrières de base.</w:t>
      </w:r>
    </w:p>
    <w:p>
      <w:r>
        <w:pict>
          <v:rect style="width:0;height:1.5pt" o:hralign="center" o:hrstd="t" o:hr="t"/>
        </w:pict>
      </w:r>
    </w:p>
    <w:bookmarkEnd w:id="26"/>
    <w:bookmarkEnd w:id="27"/>
    <w:bookmarkStart w:id="35" w:name="Xbe3b84a9b5f1edab1d6f16b9bf9991c54fc0b03"/>
    <w:p>
      <w:pPr>
        <w:pStyle w:val="Heading1"/>
      </w:pPr>
      <w:r>
        <w:rPr>
          <w:rStyle w:val="SectionNumber"/>
        </w:rPr>
        <w:t xml:space="preserve">3</w:t>
      </w:r>
      <w:r>
        <w:tab/>
      </w:r>
      <w:r>
        <w:t xml:space="preserve">Diversification culturale selon le milieu de résidence</w:t>
      </w:r>
    </w:p>
    <w:bookmarkStart w:id="28" w:name="construction-de-lindicateur"/>
    <w:p>
      <w:pPr>
        <w:pStyle w:val="Heading2"/>
      </w:pPr>
      <w:r>
        <w:rPr>
          <w:rStyle w:val="SectionNumber"/>
        </w:rPr>
        <w:t xml:space="preserve">3.1</w:t>
      </w:r>
      <w:r>
        <w:tab/>
      </w:r>
      <w:r>
        <w:t xml:space="preserve">Construction de l’indicateur</w:t>
      </w:r>
    </w:p>
    <w:p>
      <w:pPr>
        <w:pStyle w:val="FirstParagraph"/>
      </w:pPr>
      <w:r>
        <w:t xml:space="preserve">L’indice de diversification est défini comme le nombre de cultures distincts cultivés</w:t>
      </w:r>
      <w:r>
        <w:t xml:space="preserve"> </w:t>
      </w:r>
      <w:r>
        <w:t xml:space="preserve">par un même ménage au cours de la campagne. Seuls les ménages déclarant au moins une</w:t>
      </w:r>
      <w:r>
        <w:t xml:space="preserve"> </w:t>
      </w:r>
      <w:r>
        <w:t xml:space="preserve">culture sont retenus.</w:t>
      </w:r>
    </w:p>
    <w:bookmarkEnd w:id="28"/>
    <w:bookmarkStart w:id="29" w:name="statistiques-descriptives"/>
    <w:p>
      <w:pPr>
        <w:pStyle w:val="Heading2"/>
      </w:pPr>
      <w:r>
        <w:rPr>
          <w:rStyle w:val="SectionNumber"/>
        </w:rPr>
        <w:t xml:space="preserve">3.2</w:t>
      </w:r>
      <w:r>
        <w:tab/>
      </w:r>
      <w:r>
        <w:t xml:space="preserve">Statistiques descriptives</w:t>
      </w:r>
    </w:p>
    <w:p>
      <w:pPr>
        <w:pStyle w:val="TableCaption"/>
      </w:pPr>
      <w:r>
        <w:t xml:space="preserve">Tableau 1 — Statistiques descriptives de l’indice de diversification culturale</w:t>
      </w:r>
    </w:p>
    <w:tbl>
      <w:tblPr>
        <w:tblStyle w:val="Table"/>
        <w:tblW w:type="auto" w:w="0"/>
        <w:tblLook w:firstRow="1" w:lastRow="0" w:firstColumn="0" w:lastColumn="0" w:noHBand="0" w:noVBand="0" w:val="0020"/>
        <w:tblCaption w:val="Tableau 1 — Statistiques descriptives de l’indice de diversification culturale"/>
      </w:tblPr>
      <w:tblGrid>
        <w:gridCol w:w="1131"/>
        <w:gridCol w:w="1131"/>
        <w:gridCol w:w="1131"/>
        <w:gridCol w:w="1131"/>
        <w:gridCol w:w="1131"/>
        <w:gridCol w:w="1131"/>
        <w:gridCol w:w="1131"/>
      </w:tblGrid>
      <w:tr>
        <w:trPr>
          <w:tblHeader w:val="on"/>
        </w:trPr>
        <w:tc>
          <w:tcPr/>
          <w:p>
            <w:pPr>
              <w:pStyle w:val="Compact"/>
              <w:jc w:val="left"/>
            </w:pPr>
            <w:r>
              <w:t xml:space="preserve">Zone</w:t>
            </w:r>
          </w:p>
        </w:tc>
        <w:tc>
          <w:tcPr/>
          <w:p>
            <w:pPr>
              <w:pStyle w:val="Compact"/>
              <w:jc w:val="right"/>
            </w:pPr>
            <w:r>
              <w:t xml:space="preserve">N obs.</w:t>
            </w:r>
          </w:p>
        </w:tc>
        <w:tc>
          <w:tcPr/>
          <w:p>
            <w:pPr>
              <w:pStyle w:val="Compact"/>
              <w:jc w:val="right"/>
            </w:pPr>
            <w:r>
              <w:t xml:space="preserve">N pondéré</w:t>
            </w:r>
          </w:p>
        </w:tc>
        <w:tc>
          <w:tcPr/>
          <w:p>
            <w:pPr>
              <w:pStyle w:val="Compact"/>
              <w:jc w:val="right"/>
            </w:pPr>
            <w:r>
              <w:t xml:space="preserve">Médiane</w:t>
            </w:r>
          </w:p>
        </w:tc>
        <w:tc>
          <w:tcPr/>
          <w:p>
            <w:pPr>
              <w:pStyle w:val="Compact"/>
              <w:jc w:val="right"/>
            </w:pPr>
            <w:r>
              <w:t xml:space="preserve">Moyenne pond.</w:t>
            </w:r>
          </w:p>
        </w:tc>
        <w:tc>
          <w:tcPr/>
          <w:p>
            <w:pPr>
              <w:pStyle w:val="Compact"/>
              <w:jc w:val="right"/>
            </w:pPr>
            <w:r>
              <w:t xml:space="preserve">Q1</w:t>
            </w:r>
          </w:p>
        </w:tc>
        <w:tc>
          <w:tcPr/>
          <w:p>
            <w:pPr>
              <w:pStyle w:val="Compact"/>
              <w:jc w:val="right"/>
            </w:pPr>
            <w:r>
              <w:t xml:space="preserve">Q3</w:t>
            </w:r>
          </w:p>
        </w:tc>
      </w:tr>
      <w:tr>
        <w:tc>
          <w:tcPr/>
          <w:p>
            <w:pPr>
              <w:pStyle w:val="Compact"/>
              <w:jc w:val="left"/>
            </w:pPr>
            <w:r>
              <w:t xml:space="preserve">Rural</w:t>
            </w:r>
          </w:p>
        </w:tc>
        <w:tc>
          <w:tcPr/>
          <w:p>
            <w:pPr>
              <w:pStyle w:val="Compact"/>
              <w:jc w:val="right"/>
            </w:pPr>
            <w:r>
              <w:t xml:space="preserve">2706</w:t>
            </w:r>
          </w:p>
        </w:tc>
        <w:tc>
          <w:tcPr/>
          <w:p>
            <w:pPr>
              <w:pStyle w:val="Compact"/>
              <w:jc w:val="right"/>
            </w:pPr>
            <w:r>
              <w:t xml:space="preserve">14744482</w:t>
            </w:r>
          </w:p>
        </w:tc>
        <w:tc>
          <w:tcPr/>
          <w:p>
            <w:pPr>
              <w:pStyle w:val="Compact"/>
              <w:jc w:val="right"/>
            </w:pPr>
            <w:r>
              <w:t xml:space="preserve">2</w:t>
            </w:r>
          </w:p>
        </w:tc>
        <w:tc>
          <w:tcPr/>
          <w:p>
            <w:pPr>
              <w:pStyle w:val="Compact"/>
              <w:jc w:val="right"/>
            </w:pPr>
            <w:r>
              <w:t xml:space="preserve">2.62</w:t>
            </w:r>
          </w:p>
        </w:tc>
        <w:tc>
          <w:tcPr/>
          <w:p>
            <w:pPr>
              <w:pStyle w:val="Compact"/>
              <w:jc w:val="right"/>
            </w:pPr>
            <w:r>
              <w:t xml:space="preserve">2</w:t>
            </w:r>
          </w:p>
        </w:tc>
        <w:tc>
          <w:tcPr/>
          <w:p>
            <w:pPr>
              <w:pStyle w:val="Compact"/>
              <w:jc w:val="right"/>
            </w:pPr>
            <w:r>
              <w:t xml:space="preserve">3</w:t>
            </w:r>
          </w:p>
        </w:tc>
      </w:tr>
      <w:tr>
        <w:tc>
          <w:tcPr/>
          <w:p>
            <w:pPr>
              <w:pStyle w:val="Compact"/>
              <w:jc w:val="left"/>
            </w:pPr>
            <w:r>
              <w:t xml:space="preserve">Urbain</w:t>
            </w:r>
          </w:p>
        </w:tc>
        <w:tc>
          <w:tcPr/>
          <w:p>
            <w:pPr>
              <w:pStyle w:val="Compact"/>
              <w:jc w:val="right"/>
            </w:pPr>
            <w:r>
              <w:t xml:space="preserve">481</w:t>
            </w:r>
          </w:p>
        </w:tc>
        <w:tc>
          <w:tcPr/>
          <w:p>
            <w:pPr>
              <w:pStyle w:val="Compact"/>
              <w:jc w:val="right"/>
            </w:pPr>
            <w:r>
              <w:t xml:space="preserve">2478786</w:t>
            </w:r>
          </w:p>
        </w:tc>
        <w:tc>
          <w:tcPr/>
          <w:p>
            <w:pPr>
              <w:pStyle w:val="Compact"/>
              <w:jc w:val="right"/>
            </w:pPr>
            <w:r>
              <w:t xml:space="preserve">2</w:t>
            </w:r>
          </w:p>
        </w:tc>
        <w:tc>
          <w:tcPr/>
          <w:p>
            <w:pPr>
              <w:pStyle w:val="Compact"/>
              <w:jc w:val="right"/>
            </w:pPr>
            <w:r>
              <w:t xml:space="preserve">2.32</w:t>
            </w:r>
          </w:p>
        </w:tc>
        <w:tc>
          <w:tcPr/>
          <w:p>
            <w:pPr>
              <w:pStyle w:val="Compact"/>
              <w:jc w:val="right"/>
            </w:pPr>
            <w:r>
              <w:t xml:space="preserve">1</w:t>
            </w:r>
          </w:p>
        </w:tc>
        <w:tc>
          <w:tcPr/>
          <w:p>
            <w:pPr>
              <w:pStyle w:val="Compact"/>
              <w:jc w:val="right"/>
            </w:pPr>
            <w:r>
              <w:t xml:space="preserve">3</w:t>
            </w:r>
          </w:p>
        </w:tc>
      </w:tr>
    </w:tbl>
    <w:bookmarkEnd w:id="29"/>
    <w:bookmarkStart w:id="33" w:name="distributions-comparées"/>
    <w:p>
      <w:pPr>
        <w:pStyle w:val="Heading2"/>
      </w:pPr>
      <w:r>
        <w:rPr>
          <w:rStyle w:val="SectionNumber"/>
        </w:rPr>
        <w:t xml:space="preserve">3.3</w:t>
      </w:r>
      <w:r>
        <w:tab/>
      </w:r>
      <w:r>
        <w:t xml:space="preserve">Distributions comparées</w:t>
      </w:r>
    </w:p>
    <w:p>
      <w:pPr>
        <w:pStyle w:val="CaptionedFigure"/>
      </w:pPr>
      <w:r>
        <w:drawing>
          <wp:inline>
            <wp:extent cx="5334000" cy="2400300"/>
            <wp:effectExtent b="0" l="0" r="0" t="0"/>
            <wp:docPr descr="Figure 2 — Distribution de l’indice de diversification culturale selon la zone" title="" id="31" name="Picture"/>
            <a:graphic>
              <a:graphicData uri="http://schemas.openxmlformats.org/drawingml/2006/picture">
                <pic:pic>
                  <pic:nvPicPr>
                    <pic:cNvPr descr="rapport_final_files/rapport_final_files/figure-docx/fig-diversification-1.png" id="32" name="Picture"/>
                    <pic:cNvPicPr>
                      <a:picLocks noChangeArrowheads="1" noChangeAspect="1"/>
                    </pic:cNvPicPr>
                  </pic:nvPicPr>
                  <pic:blipFill>
                    <a:blip r:embed="rId30"/>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Figure 2 — Distribution de l’indice de diversification culturale selon la zone</w:t>
      </w:r>
    </w:p>
    <w:bookmarkEnd w:id="33"/>
    <w:bookmarkStart w:id="34" w:name="interprétation-1"/>
    <w:p>
      <w:pPr>
        <w:pStyle w:val="Heading2"/>
      </w:pPr>
      <w:r>
        <w:rPr>
          <w:rStyle w:val="SectionNumber"/>
        </w:rPr>
        <w:t xml:space="preserve">3.4</w:t>
      </w:r>
      <w:r>
        <w:tab/>
      </w:r>
      <w:r>
        <w:t xml:space="preserve">Interprétation</w:t>
      </w:r>
    </w:p>
    <w:p>
      <w:pPr>
        <w:pStyle w:val="FirstParagraph"/>
      </w:pPr>
      <w:r>
        <w:t xml:space="preserve">L’histogramme représente la distribution du nombre de cultures différentes cultivées par ménage, selon que le ménage réside en zone rurale ou urbaine. La majorité des ménages urbains se concentrent sur un très petit nombre de cultures, avec un pic marqué pour les valeurs les plus basses (entre 1 et 3 cultures). Les ménages ruraux présentent une distribution plus étalée vers la droite, avec des effectifs pondérés élevés jusqu’à 6 ou 7 cultures par ménage. Cette différence de forme entre les deux courbes indique que les ménages ruraux pratiquent une diversification culturale plus large que les ménages urbains.</w:t>
      </w:r>
    </w:p>
    <w:p>
      <w:pPr>
        <w:pStyle w:val="BodyText"/>
      </w:pPr>
      <w:r>
        <w:t xml:space="preserve">Le graphique de droite combine un violin plot (forme en violon) et un boxplot (boîte à moustaches) pour comparer la distribution des nombres de cultures entre les deux milieux. Le violin plot montre la densité de la distribution : la forme plus large et plus étirée vers le haut pour les ruraux confirme une plus grande dispersion et des valeurs plus élevées. Le boxplot à l’intérieur indique que la médiane (point noir) est plus haute en milieu rural, tout comme les premier et troisième quartiles (bornes de la boîte). La zone urbaine présente une médiane plus basse et une boîte plus resserrée, signe d’une moindre diversité des cultures. Le test de Wilcoxon (p très proche de zéro) confirme que la différence entre les deux groupes est statistiquement significative, bien que la taille d’effet r = 0,131 reste modeste.</w:t>
      </w:r>
    </w:p>
    <w:p>
      <w:r>
        <w:pict>
          <v:rect style="width:0;height:1.5pt" o:hralign="center" o:hrstd="t" o:hr="t"/>
        </w:pict>
      </w:r>
    </w:p>
    <w:bookmarkEnd w:id="34"/>
    <w:bookmarkEnd w:id="35"/>
    <w:bookmarkStart w:id="42" w:name="Xadba1268c3964a15646f8da029816056dfbb8d5"/>
    <w:p>
      <w:pPr>
        <w:pStyle w:val="Heading1"/>
      </w:pPr>
      <w:r>
        <w:rPr>
          <w:rStyle w:val="SectionNumber"/>
        </w:rPr>
        <w:t xml:space="preserve">4</w:t>
      </w:r>
      <w:r>
        <w:tab/>
      </w:r>
      <w:r>
        <w:t xml:space="preserve">Utilisation des engrais par type et par zone</w:t>
      </w:r>
    </w:p>
    <w:bookmarkStart w:id="36" w:name="méthode-1"/>
    <w:p>
      <w:pPr>
        <w:pStyle w:val="Heading2"/>
      </w:pPr>
      <w:r>
        <w:rPr>
          <w:rStyle w:val="SectionNumber"/>
        </w:rPr>
        <w:t xml:space="preserve">4.1</w:t>
      </w:r>
      <w:r>
        <w:tab/>
      </w:r>
      <w:r>
        <w:t xml:space="preserve">Méthode</w:t>
      </w:r>
    </w:p>
    <w:p>
      <w:pPr>
        <w:pStyle w:val="FirstParagraph"/>
      </w:pPr>
      <w:r>
        <w:t xml:space="preserve">Le taux d’utilisation de chaque type d’engrais est estimé comme la proportion pondérée de</w:t>
      </w:r>
      <w:r>
        <w:t xml:space="preserve"> </w:t>
      </w:r>
      <w:r>
        <w:t xml:space="preserve">ménages ayant déclaré y recourir au moins une fois au cours de la campagne. Les intervalles</w:t>
      </w:r>
      <w:r>
        <w:t xml:space="preserve"> </w:t>
      </w:r>
      <w:r>
        <w:t xml:space="preserve">de confiance à 95 % sont calculés selon la méthode de Wilson, plus adaptée aux proportions</w:t>
      </w:r>
      <w:r>
        <w:t xml:space="preserve"> </w:t>
      </w:r>
      <w:r>
        <w:t xml:space="preserve">proches de zéro ou de un que l’intervalle classique de Wald.</w:t>
      </w:r>
    </w:p>
    <w:bookmarkEnd w:id="36"/>
    <w:bookmarkStart w:id="40" w:name="résultats-1"/>
    <w:p>
      <w:pPr>
        <w:pStyle w:val="Heading2"/>
      </w:pPr>
      <w:r>
        <w:rPr>
          <w:rStyle w:val="SectionNumber"/>
        </w:rPr>
        <w:t xml:space="preserve">4.2</w:t>
      </w:r>
      <w:r>
        <w:tab/>
      </w:r>
      <w:r>
        <w:t xml:space="preserve">Résultats</w:t>
      </w:r>
    </w:p>
    <w:p>
      <w:pPr>
        <w:pStyle w:val="CaptionedFigure"/>
      </w:pPr>
      <w:r>
        <w:drawing>
          <wp:inline>
            <wp:extent cx="5334000" cy="3429000"/>
            <wp:effectExtent b="0" l="0" r="0" t="0"/>
            <wp:docPr descr="Figure 3 — Taux d’utilisation des engrais par type et par zone, IC 95 %" title="" id="38" name="Picture"/>
            <a:graphic>
              <a:graphicData uri="http://schemas.openxmlformats.org/drawingml/2006/picture">
                <pic:pic>
                  <pic:nvPicPr>
                    <pic:cNvPr descr="rapport_final_files/rapport_final_files/figure-docx/fig-engrais-1.png" id="39" name="Picture"/>
                    <pic:cNvPicPr>
                      <a:picLocks noChangeArrowheads="1" noChangeAspect="1"/>
                    </pic:cNvPicPr>
                  </pic:nvPicPr>
                  <pic:blipFill>
                    <a:blip r:embed="rId37"/>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Figure 3 — Taux d’utilisation des engrais par type et par zone, IC 95 %</w:t>
      </w:r>
    </w:p>
    <w:bookmarkEnd w:id="40"/>
    <w:bookmarkStart w:id="41" w:name="interprétation-2"/>
    <w:p>
      <w:pPr>
        <w:pStyle w:val="Heading2"/>
      </w:pPr>
      <w:r>
        <w:rPr>
          <w:rStyle w:val="SectionNumber"/>
        </w:rPr>
        <w:t xml:space="preserve">4.3</w:t>
      </w:r>
      <w:r>
        <w:tab/>
      </w:r>
      <w:r>
        <w:t xml:space="preserve">Interprétation</w:t>
      </w:r>
    </w:p>
    <w:p>
      <w:pPr>
        <w:pStyle w:val="FirstParagraph"/>
      </w:pPr>
      <w:r>
        <w:t xml:space="preserve">Les engrais inorganiques (chimiques) sont les plus utilisés, avec un taux supérieur à celui des engrais organiques dans les deux milieux. Le NPK et l’urée, qui sont les deux principaux types d’engrais inorganiques, affichent des niveaux d’utilisation proches. Les engrais organiques sont moins répandus, ce qui peut s’expliquer par un accès plus limité au fumier ou au compost dans certaines zones.</w:t>
      </w:r>
    </w:p>
    <w:p>
      <w:pPr>
        <w:pStyle w:val="BodyText"/>
      </w:pPr>
      <w:r>
        <w:t xml:space="preserve">Quel que soit le type d’engrais, les ménages ruraux présentent des taux d’utilisation plus élevés que les ménages urbains. Cet écart est cohérent avec la plus grande superficie cultivée en milieu rural et avec l’accès aux programmes publics de subvention aux intrants agricoles, qui ciblent prioritairement les exploitations rurales. Les intervalles de confiance (représentés par les barres d’erreur) sont relativement étroits, ce qui indique une bonne précision des estimations.</w:t>
      </w:r>
    </w:p>
    <w:p>
      <w:r>
        <w:pict>
          <v:rect style="width:0;height:1.5pt" o:hralign="center" o:hrstd="t" o:hr="t"/>
        </w:pict>
      </w:r>
    </w:p>
    <w:bookmarkEnd w:id="41"/>
    <w:bookmarkEnd w:id="42"/>
    <w:bookmarkStart w:id="54" w:name="rendements-par-état-maïs-et-millet"/>
    <w:p>
      <w:pPr>
        <w:pStyle w:val="Heading1"/>
      </w:pPr>
      <w:r>
        <w:rPr>
          <w:rStyle w:val="SectionNumber"/>
        </w:rPr>
        <w:t xml:space="preserve">5</w:t>
      </w:r>
      <w:r>
        <w:tab/>
      </w:r>
      <w:r>
        <w:t xml:space="preserve">Rendements par État : maïs et millet</w:t>
      </w:r>
    </w:p>
    <w:bookmarkStart w:id="43" w:name="traitement-des-données"/>
    <w:p>
      <w:pPr>
        <w:pStyle w:val="Heading2"/>
      </w:pPr>
      <w:r>
        <w:rPr>
          <w:rStyle w:val="SectionNumber"/>
        </w:rPr>
        <w:t xml:space="preserve">5.1</w:t>
      </w:r>
      <w:r>
        <w:tab/>
      </w:r>
      <w:r>
        <w:t xml:space="preserve">Traitement des données</w:t>
      </w:r>
    </w:p>
    <w:p>
      <w:pPr>
        <w:pStyle w:val="FirstParagraph"/>
      </w:pPr>
      <w:r>
        <w:t xml:space="preserve">Le rendement est exprimé en kilogrammes par hectare (kg/ha). Les observations identifiées</w:t>
      </w:r>
      <w:r>
        <w:t xml:space="preserve"> </w:t>
      </w:r>
      <w:r>
        <w:t xml:space="preserve">comme aberrantes sont exclues. Les distributions sont représentées sous</w:t>
      </w:r>
      <w:r>
        <w:t xml:space="preserve"> </w:t>
      </w:r>
      <w:r>
        <w:t xml:space="preserve">forme de boîtes à moustaches pondérées, classées par médiane croissante.</w:t>
      </w:r>
    </w:p>
    <w:bookmarkEnd w:id="43"/>
    <w:bookmarkStart w:id="47" w:name="maïs"/>
    <w:p>
      <w:pPr>
        <w:pStyle w:val="Heading2"/>
      </w:pPr>
      <w:r>
        <w:rPr>
          <w:rStyle w:val="SectionNumber"/>
        </w:rPr>
        <w:t xml:space="preserve">5.2</w:t>
      </w:r>
      <w:r>
        <w:tab/>
      </w:r>
      <w:r>
        <w:t xml:space="preserve">Maïs</w:t>
      </w:r>
    </w:p>
    <w:p>
      <w:pPr>
        <w:pStyle w:val="CaptionedFigure"/>
      </w:pPr>
      <w:r>
        <w:drawing>
          <wp:inline>
            <wp:extent cx="5334000" cy="6096000"/>
            <wp:effectExtent b="0" l="0" r="0" t="0"/>
            <wp:docPr descr="Figure 4 — Distribution pondérée des rendements de maïs par État (kg/ha)" title="" id="45" name="Picture"/>
            <a:graphic>
              <a:graphicData uri="http://schemas.openxmlformats.org/drawingml/2006/picture">
                <pic:pic>
                  <pic:nvPicPr>
                    <pic:cNvPr descr="rapport_final_files/rapport_final_files/figure-docx/fig-mais-1.png" id="46" name="Picture"/>
                    <pic:cNvPicPr>
                      <a:picLocks noChangeArrowheads="1" noChangeAspect="1"/>
                    </pic:cNvPicPr>
                  </pic:nvPicPr>
                  <pic:blipFill>
                    <a:blip r:embed="rId44"/>
                    <a:stretch>
                      <a:fillRect/>
                    </a:stretch>
                  </pic:blipFill>
                  <pic:spPr bwMode="auto">
                    <a:xfrm>
                      <a:off x="0" y="0"/>
                      <a:ext cx="5334000" cy="6096000"/>
                    </a:xfrm>
                    <a:prstGeom prst="rect">
                      <a:avLst/>
                    </a:prstGeom>
                    <a:noFill/>
                    <a:ln w="9525">
                      <a:noFill/>
                      <a:headEnd/>
                      <a:tailEnd/>
                    </a:ln>
                  </pic:spPr>
                </pic:pic>
              </a:graphicData>
            </a:graphic>
          </wp:inline>
        </w:drawing>
      </w:r>
    </w:p>
    <w:p>
      <w:pPr>
        <w:pStyle w:val="ImageCaption"/>
      </w:pPr>
      <w:r>
        <w:t xml:space="preserve">Figure 4 — Distribution pondérée des rendements de maïs par État (kg/ha)</w:t>
      </w:r>
    </w:p>
    <w:bookmarkEnd w:id="47"/>
    <w:bookmarkStart w:id="51" w:name="millet"/>
    <w:p>
      <w:pPr>
        <w:pStyle w:val="Heading2"/>
      </w:pPr>
      <w:r>
        <w:rPr>
          <w:rStyle w:val="SectionNumber"/>
        </w:rPr>
        <w:t xml:space="preserve">5.3</w:t>
      </w:r>
      <w:r>
        <w:tab/>
      </w:r>
      <w:r>
        <w:t xml:space="preserve">Millet</w:t>
      </w:r>
    </w:p>
    <w:p>
      <w:pPr>
        <w:pStyle w:val="CaptionedFigure"/>
      </w:pPr>
      <w:r>
        <w:drawing>
          <wp:inline>
            <wp:extent cx="5334000" cy="5334000"/>
            <wp:effectExtent b="0" l="0" r="0" t="0"/>
            <wp:docPr descr="Figure 5 — Distribution des rendements de millet par État (kg/ha)" title="" id="49" name="Picture"/>
            <a:graphic>
              <a:graphicData uri="http://schemas.openxmlformats.org/drawingml/2006/picture">
                <pic:pic>
                  <pic:nvPicPr>
                    <pic:cNvPr descr="rapport_final_files/rapport_final_files/figure-docx/fig-millet-1.png" id="50" name="Picture"/>
                    <pic:cNvPicPr>
                      <a:picLocks noChangeArrowheads="1" noChangeAspect="1"/>
                    </pic:cNvPicPr>
                  </pic:nvPicPr>
                  <pic:blipFill>
                    <a:blip r:embed="rId48"/>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5 — Distribution des rendements de millet par État (kg/ha)</w:t>
      </w:r>
    </w:p>
    <w:bookmarkEnd w:id="51"/>
    <w:bookmarkStart w:id="52" w:name="cinq-états-les-plus-productifs"/>
    <w:p>
      <w:pPr>
        <w:pStyle w:val="Heading2"/>
      </w:pPr>
      <w:r>
        <w:rPr>
          <w:rStyle w:val="SectionNumber"/>
        </w:rPr>
        <w:t xml:space="preserve">5.4</w:t>
      </w:r>
      <w:r>
        <w:tab/>
      </w:r>
      <w:r>
        <w:t xml:space="preserve">Cinq États les plus productifs</w:t>
      </w:r>
    </w:p>
    <w:p>
      <w:pPr>
        <w:pStyle w:val="TableCaption"/>
      </w:pPr>
      <w:r>
        <w:t xml:space="preserve">Tableau 2 — Cinq États avec les rendements médians de maïs les plus élevés</w:t>
      </w:r>
    </w:p>
    <w:tbl>
      <w:tblPr>
        <w:tblStyle w:val="Table"/>
        <w:tblW w:type="pct" w:w="5000"/>
        <w:tblLayout w:type="fixed"/>
        <w:tblLook w:firstRow="1" w:lastRow="0" w:firstColumn="0" w:lastColumn="0" w:noHBand="0" w:noVBand="0" w:val="0020"/>
        <w:tblCaption w:val="Tableau 2 — Cinq États avec les rendements médians de maïs les plus élevés"/>
      </w:tblPr>
      <w:tblGrid>
        <w:gridCol w:w="1234"/>
        <w:gridCol w:w="720"/>
        <w:gridCol w:w="1028"/>
        <w:gridCol w:w="1645"/>
        <w:gridCol w:w="2262"/>
        <w:gridCol w:w="514"/>
        <w:gridCol w:w="514"/>
      </w:tblGrid>
      <w:tr>
        <w:trPr>
          <w:tblHeader w:val="on"/>
        </w:trPr>
        <w:tc>
          <w:tcPr/>
          <w:p>
            <w:pPr>
              <w:pStyle w:val="Compact"/>
              <w:jc w:val="left"/>
            </w:pPr>
            <w:r>
              <w:t xml:space="preserve">État</w:t>
            </w:r>
          </w:p>
        </w:tc>
        <w:tc>
          <w:tcPr/>
          <w:p>
            <w:pPr>
              <w:pStyle w:val="Compact"/>
              <w:jc w:val="right"/>
            </w:pPr>
            <w:r>
              <w:t xml:space="preserve">N obs.</w:t>
            </w:r>
          </w:p>
        </w:tc>
        <w:tc>
          <w:tcPr/>
          <w:p>
            <w:pPr>
              <w:pStyle w:val="Compact"/>
              <w:jc w:val="right"/>
            </w:pPr>
            <w:r>
              <w:t xml:space="preserve">N pondéré</w:t>
            </w:r>
          </w:p>
        </w:tc>
        <w:tc>
          <w:tcPr/>
          <w:p>
            <w:pPr>
              <w:pStyle w:val="Compact"/>
              <w:jc w:val="right"/>
            </w:pPr>
            <w:r>
              <w:t xml:space="preserve">Médiane (kg/ha)</w:t>
            </w:r>
          </w:p>
        </w:tc>
        <w:tc>
          <w:tcPr/>
          <w:p>
            <w:pPr>
              <w:pStyle w:val="Compact"/>
              <w:jc w:val="right"/>
            </w:pPr>
            <w:r>
              <w:t xml:space="preserve">Moyenne pond. (kg/ha)</w:t>
            </w:r>
          </w:p>
        </w:tc>
        <w:tc>
          <w:tcPr/>
          <w:p>
            <w:pPr>
              <w:pStyle w:val="Compact"/>
              <w:jc w:val="right"/>
            </w:pPr>
            <w:r>
              <w:t xml:space="preserve">Q1</w:t>
            </w:r>
          </w:p>
        </w:tc>
        <w:tc>
          <w:tcPr/>
          <w:p>
            <w:pPr>
              <w:pStyle w:val="Compact"/>
              <w:jc w:val="right"/>
            </w:pPr>
            <w:r>
              <w:t xml:space="preserve">Q3</w:t>
            </w:r>
          </w:p>
        </w:tc>
      </w:tr>
      <w:tr>
        <w:tc>
          <w:tcPr/>
          <w:p>
            <w:pPr>
              <w:pStyle w:val="Compact"/>
              <w:jc w:val="left"/>
            </w:pPr>
            <w:r>
              <w:t xml:space="preserve">8. Borno</w:t>
            </w:r>
          </w:p>
        </w:tc>
        <w:tc>
          <w:tcPr/>
          <w:p>
            <w:pPr>
              <w:pStyle w:val="Compact"/>
              <w:jc w:val="right"/>
            </w:pPr>
            <w:r>
              <w:t xml:space="preserve">15</w:t>
            </w:r>
          </w:p>
        </w:tc>
        <w:tc>
          <w:tcPr/>
          <w:p>
            <w:pPr>
              <w:pStyle w:val="Compact"/>
              <w:jc w:val="right"/>
            </w:pPr>
            <w:r>
              <w:t xml:space="preserve">26607</w:t>
            </w:r>
          </w:p>
        </w:tc>
        <w:tc>
          <w:tcPr/>
          <w:p>
            <w:pPr>
              <w:pStyle w:val="Compact"/>
              <w:jc w:val="right"/>
            </w:pPr>
            <w:r>
              <w:t xml:space="preserve">1832</w:t>
            </w:r>
          </w:p>
        </w:tc>
        <w:tc>
          <w:tcPr/>
          <w:p>
            <w:pPr>
              <w:pStyle w:val="Compact"/>
              <w:jc w:val="right"/>
            </w:pPr>
            <w:r>
              <w:t xml:space="preserve">2087</w:t>
            </w:r>
          </w:p>
        </w:tc>
        <w:tc>
          <w:tcPr/>
          <w:p>
            <w:pPr>
              <w:pStyle w:val="Compact"/>
              <w:jc w:val="right"/>
            </w:pPr>
            <w:r>
              <w:t xml:space="preserve">999</w:t>
            </w:r>
          </w:p>
        </w:tc>
        <w:tc>
          <w:tcPr/>
          <w:p>
            <w:pPr>
              <w:pStyle w:val="Compact"/>
              <w:jc w:val="right"/>
            </w:pPr>
            <w:r>
              <w:t xml:space="preserve">2530</w:t>
            </w:r>
          </w:p>
        </w:tc>
      </w:tr>
      <w:tr>
        <w:tc>
          <w:tcPr/>
          <w:p>
            <w:pPr>
              <w:pStyle w:val="Compact"/>
              <w:jc w:val="left"/>
            </w:pPr>
            <w:r>
              <w:t xml:space="preserve">18. Kaduna</w:t>
            </w:r>
          </w:p>
        </w:tc>
        <w:tc>
          <w:tcPr/>
          <w:p>
            <w:pPr>
              <w:pStyle w:val="Compact"/>
              <w:jc w:val="right"/>
            </w:pPr>
            <w:r>
              <w:t xml:space="preserve">148</w:t>
            </w:r>
          </w:p>
        </w:tc>
        <w:tc>
          <w:tcPr/>
          <w:p>
            <w:pPr>
              <w:pStyle w:val="Compact"/>
              <w:jc w:val="right"/>
            </w:pPr>
            <w:r>
              <w:t xml:space="preserve">835133</w:t>
            </w:r>
          </w:p>
        </w:tc>
        <w:tc>
          <w:tcPr/>
          <w:p>
            <w:pPr>
              <w:pStyle w:val="Compact"/>
              <w:jc w:val="right"/>
            </w:pPr>
            <w:r>
              <w:t xml:space="preserve">1739</w:t>
            </w:r>
          </w:p>
        </w:tc>
        <w:tc>
          <w:tcPr/>
          <w:p>
            <w:pPr>
              <w:pStyle w:val="Compact"/>
              <w:jc w:val="right"/>
            </w:pPr>
            <w:r>
              <w:t xml:space="preserve">2191</w:t>
            </w:r>
          </w:p>
        </w:tc>
        <w:tc>
          <w:tcPr/>
          <w:p>
            <w:pPr>
              <w:pStyle w:val="Compact"/>
              <w:jc w:val="right"/>
            </w:pPr>
            <w:r>
              <w:t xml:space="preserve">781</w:t>
            </w:r>
          </w:p>
        </w:tc>
        <w:tc>
          <w:tcPr/>
          <w:p>
            <w:pPr>
              <w:pStyle w:val="Compact"/>
              <w:jc w:val="right"/>
            </w:pPr>
            <w:r>
              <w:t xml:space="preserve">3433</w:t>
            </w:r>
          </w:p>
        </w:tc>
      </w:tr>
      <w:tr>
        <w:tc>
          <w:tcPr/>
          <w:p>
            <w:pPr>
              <w:pStyle w:val="Compact"/>
              <w:jc w:val="left"/>
            </w:pPr>
            <w:r>
              <w:t xml:space="preserve">20. Katsina</w:t>
            </w:r>
          </w:p>
        </w:tc>
        <w:tc>
          <w:tcPr/>
          <w:p>
            <w:pPr>
              <w:pStyle w:val="Compact"/>
              <w:jc w:val="right"/>
            </w:pPr>
            <w:r>
              <w:t xml:space="preserve">57</w:t>
            </w:r>
          </w:p>
        </w:tc>
        <w:tc>
          <w:tcPr/>
          <w:p>
            <w:pPr>
              <w:pStyle w:val="Compact"/>
              <w:jc w:val="right"/>
            </w:pPr>
            <w:r>
              <w:t xml:space="preserve">491350</w:t>
            </w:r>
          </w:p>
        </w:tc>
        <w:tc>
          <w:tcPr/>
          <w:p>
            <w:pPr>
              <w:pStyle w:val="Compact"/>
              <w:jc w:val="right"/>
            </w:pPr>
            <w:r>
              <w:t xml:space="preserve">1683</w:t>
            </w:r>
          </w:p>
        </w:tc>
        <w:tc>
          <w:tcPr/>
          <w:p>
            <w:pPr>
              <w:pStyle w:val="Compact"/>
              <w:jc w:val="right"/>
            </w:pPr>
            <w:r>
              <w:t xml:space="preserve">1894</w:t>
            </w:r>
          </w:p>
        </w:tc>
        <w:tc>
          <w:tcPr/>
          <w:p>
            <w:pPr>
              <w:pStyle w:val="Compact"/>
              <w:jc w:val="right"/>
            </w:pPr>
            <w:r>
              <w:t xml:space="preserve">790</w:t>
            </w:r>
          </w:p>
        </w:tc>
        <w:tc>
          <w:tcPr/>
          <w:p>
            <w:pPr>
              <w:pStyle w:val="Compact"/>
              <w:jc w:val="right"/>
            </w:pPr>
            <w:r>
              <w:t xml:space="preserve">2890</w:t>
            </w:r>
          </w:p>
        </w:tc>
      </w:tr>
      <w:tr>
        <w:tc>
          <w:tcPr/>
          <w:p>
            <w:pPr>
              <w:pStyle w:val="Compact"/>
              <w:jc w:val="left"/>
            </w:pPr>
            <w:r>
              <w:t xml:space="preserve">36. Zamfara</w:t>
            </w:r>
          </w:p>
        </w:tc>
        <w:tc>
          <w:tcPr/>
          <w:p>
            <w:pPr>
              <w:pStyle w:val="Compact"/>
              <w:jc w:val="right"/>
            </w:pPr>
            <w:r>
              <w:t xml:space="preserve">20</w:t>
            </w:r>
          </w:p>
        </w:tc>
        <w:tc>
          <w:tcPr/>
          <w:p>
            <w:pPr>
              <w:pStyle w:val="Compact"/>
              <w:jc w:val="right"/>
            </w:pPr>
            <w:r>
              <w:t xml:space="preserve">287372</w:t>
            </w:r>
          </w:p>
        </w:tc>
        <w:tc>
          <w:tcPr/>
          <w:p>
            <w:pPr>
              <w:pStyle w:val="Compact"/>
              <w:jc w:val="right"/>
            </w:pPr>
            <w:r>
              <w:t xml:space="preserve">1558</w:t>
            </w:r>
          </w:p>
        </w:tc>
        <w:tc>
          <w:tcPr/>
          <w:p>
            <w:pPr>
              <w:pStyle w:val="Compact"/>
              <w:jc w:val="right"/>
            </w:pPr>
            <w:r>
              <w:t xml:space="preserve">1963</w:t>
            </w:r>
          </w:p>
        </w:tc>
        <w:tc>
          <w:tcPr/>
          <w:p>
            <w:pPr>
              <w:pStyle w:val="Compact"/>
              <w:jc w:val="right"/>
            </w:pPr>
            <w:r>
              <w:t xml:space="preserve">1213</w:t>
            </w:r>
          </w:p>
        </w:tc>
        <w:tc>
          <w:tcPr/>
          <w:p>
            <w:pPr>
              <w:pStyle w:val="Compact"/>
              <w:jc w:val="right"/>
            </w:pPr>
            <w:r>
              <w:t xml:space="preserve">2202</w:t>
            </w:r>
          </w:p>
        </w:tc>
      </w:tr>
      <w:tr>
        <w:tc>
          <w:tcPr/>
          <w:p>
            <w:pPr>
              <w:pStyle w:val="Compact"/>
              <w:jc w:val="left"/>
            </w:pPr>
            <w:r>
              <w:t xml:space="preserve">15. Gombe</w:t>
            </w:r>
          </w:p>
        </w:tc>
        <w:tc>
          <w:tcPr/>
          <w:p>
            <w:pPr>
              <w:pStyle w:val="Compact"/>
              <w:jc w:val="right"/>
            </w:pPr>
            <w:r>
              <w:t xml:space="preserve">87</w:t>
            </w:r>
          </w:p>
        </w:tc>
        <w:tc>
          <w:tcPr/>
          <w:p>
            <w:pPr>
              <w:pStyle w:val="Compact"/>
              <w:jc w:val="right"/>
            </w:pPr>
            <w:r>
              <w:t xml:space="preserve">174982</w:t>
            </w:r>
          </w:p>
        </w:tc>
        <w:tc>
          <w:tcPr/>
          <w:p>
            <w:pPr>
              <w:pStyle w:val="Compact"/>
              <w:jc w:val="right"/>
            </w:pPr>
            <w:r>
              <w:t xml:space="preserve">1208</w:t>
            </w:r>
          </w:p>
        </w:tc>
        <w:tc>
          <w:tcPr/>
          <w:p>
            <w:pPr>
              <w:pStyle w:val="Compact"/>
              <w:jc w:val="right"/>
            </w:pPr>
            <w:r>
              <w:t xml:space="preserve">1388</w:t>
            </w:r>
          </w:p>
        </w:tc>
        <w:tc>
          <w:tcPr/>
          <w:p>
            <w:pPr>
              <w:pStyle w:val="Compact"/>
              <w:jc w:val="right"/>
            </w:pPr>
            <w:r>
              <w:t xml:space="preserve">799</w:t>
            </w:r>
          </w:p>
        </w:tc>
        <w:tc>
          <w:tcPr/>
          <w:p>
            <w:pPr>
              <w:pStyle w:val="Compact"/>
              <w:jc w:val="right"/>
            </w:pPr>
            <w:r>
              <w:t xml:space="preserve">1957</w:t>
            </w:r>
          </w:p>
        </w:tc>
      </w:tr>
    </w:tbl>
    <w:p/>
    <w:p>
      <w:pPr>
        <w:pStyle w:val="TableCaption"/>
      </w:pPr>
      <w:r>
        <w:t xml:space="preserve">Tableau 3 — Cinq États avec les rendements médians de millet les plus élevés</w:t>
      </w:r>
    </w:p>
    <w:tbl>
      <w:tblPr>
        <w:tblStyle w:val="Table"/>
        <w:tblW w:type="pct" w:w="5000"/>
        <w:tblLayout w:type="fixed"/>
        <w:tblLook w:firstRow="1" w:lastRow="0" w:firstColumn="0" w:lastColumn="0" w:noHBand="0" w:noVBand="0" w:val="0020"/>
        <w:tblCaption w:val="Tableau 3 — Cinq États avec les rendements médians de millet les plus élevés"/>
      </w:tblPr>
      <w:tblGrid>
        <w:gridCol w:w="1234"/>
        <w:gridCol w:w="720"/>
        <w:gridCol w:w="1028"/>
        <w:gridCol w:w="1645"/>
        <w:gridCol w:w="2262"/>
        <w:gridCol w:w="514"/>
        <w:gridCol w:w="514"/>
      </w:tblGrid>
      <w:tr>
        <w:trPr>
          <w:tblHeader w:val="on"/>
        </w:trPr>
        <w:tc>
          <w:tcPr/>
          <w:p>
            <w:pPr>
              <w:pStyle w:val="Compact"/>
              <w:jc w:val="left"/>
            </w:pPr>
            <w:r>
              <w:t xml:space="preserve">État</w:t>
            </w:r>
          </w:p>
        </w:tc>
        <w:tc>
          <w:tcPr/>
          <w:p>
            <w:pPr>
              <w:pStyle w:val="Compact"/>
              <w:jc w:val="right"/>
            </w:pPr>
            <w:r>
              <w:t xml:space="preserve">N obs.</w:t>
            </w:r>
          </w:p>
        </w:tc>
        <w:tc>
          <w:tcPr/>
          <w:p>
            <w:pPr>
              <w:pStyle w:val="Compact"/>
              <w:jc w:val="right"/>
            </w:pPr>
            <w:r>
              <w:t xml:space="preserve">N pondéré</w:t>
            </w:r>
          </w:p>
        </w:tc>
        <w:tc>
          <w:tcPr/>
          <w:p>
            <w:pPr>
              <w:pStyle w:val="Compact"/>
              <w:jc w:val="right"/>
            </w:pPr>
            <w:r>
              <w:t xml:space="preserve">Médiane (kg/ha)</w:t>
            </w:r>
          </w:p>
        </w:tc>
        <w:tc>
          <w:tcPr/>
          <w:p>
            <w:pPr>
              <w:pStyle w:val="Compact"/>
              <w:jc w:val="right"/>
            </w:pPr>
            <w:r>
              <w:t xml:space="preserve">Moyenne pond. (kg/ha)</w:t>
            </w:r>
          </w:p>
        </w:tc>
        <w:tc>
          <w:tcPr/>
          <w:p>
            <w:pPr>
              <w:pStyle w:val="Compact"/>
              <w:jc w:val="right"/>
            </w:pPr>
            <w:r>
              <w:t xml:space="preserve">Q1</w:t>
            </w:r>
          </w:p>
        </w:tc>
        <w:tc>
          <w:tcPr/>
          <w:p>
            <w:pPr>
              <w:pStyle w:val="Compact"/>
              <w:jc w:val="right"/>
            </w:pPr>
            <w:r>
              <w:t xml:space="preserve">Q3</w:t>
            </w:r>
          </w:p>
        </w:tc>
      </w:tr>
      <w:tr>
        <w:tc>
          <w:tcPr/>
          <w:p>
            <w:pPr>
              <w:pStyle w:val="Compact"/>
              <w:jc w:val="left"/>
            </w:pPr>
            <w:r>
              <w:t xml:space="preserve">36. Zamfara</w:t>
            </w:r>
          </w:p>
        </w:tc>
        <w:tc>
          <w:tcPr/>
          <w:p>
            <w:pPr>
              <w:pStyle w:val="Compact"/>
              <w:jc w:val="right"/>
            </w:pPr>
            <w:r>
              <w:t xml:space="preserve">34</w:t>
            </w:r>
          </w:p>
        </w:tc>
        <w:tc>
          <w:tcPr/>
          <w:p>
            <w:pPr>
              <w:pStyle w:val="Compact"/>
              <w:jc w:val="right"/>
            </w:pPr>
            <w:r>
              <w:t xml:space="preserve">425453</w:t>
            </w:r>
          </w:p>
        </w:tc>
        <w:tc>
          <w:tcPr/>
          <w:p>
            <w:pPr>
              <w:pStyle w:val="Compact"/>
              <w:jc w:val="right"/>
            </w:pPr>
            <w:r>
              <w:t xml:space="preserve">1691</w:t>
            </w:r>
          </w:p>
        </w:tc>
        <w:tc>
          <w:tcPr/>
          <w:p>
            <w:pPr>
              <w:pStyle w:val="Compact"/>
              <w:jc w:val="right"/>
            </w:pPr>
            <w:r>
              <w:t xml:space="preserve">2019</w:t>
            </w:r>
          </w:p>
        </w:tc>
        <w:tc>
          <w:tcPr/>
          <w:p>
            <w:pPr>
              <w:pStyle w:val="Compact"/>
              <w:jc w:val="right"/>
            </w:pPr>
            <w:r>
              <w:t xml:space="preserve">1361</w:t>
            </w:r>
          </w:p>
        </w:tc>
        <w:tc>
          <w:tcPr/>
          <w:p>
            <w:pPr>
              <w:pStyle w:val="Compact"/>
              <w:jc w:val="right"/>
            </w:pPr>
            <w:r>
              <w:t xml:space="preserve">2345</w:t>
            </w:r>
          </w:p>
        </w:tc>
      </w:tr>
      <w:tr>
        <w:tc>
          <w:tcPr/>
          <w:p>
            <w:pPr>
              <w:pStyle w:val="Compact"/>
              <w:jc w:val="left"/>
            </w:pPr>
            <w:r>
              <w:t xml:space="preserve">26. Niger</w:t>
            </w:r>
          </w:p>
        </w:tc>
        <w:tc>
          <w:tcPr/>
          <w:p>
            <w:pPr>
              <w:pStyle w:val="Compact"/>
              <w:jc w:val="right"/>
            </w:pPr>
            <w:r>
              <w:t xml:space="preserve">15</w:t>
            </w:r>
          </w:p>
        </w:tc>
        <w:tc>
          <w:tcPr/>
          <w:p>
            <w:pPr>
              <w:pStyle w:val="Compact"/>
              <w:jc w:val="right"/>
            </w:pPr>
            <w:r>
              <w:t xml:space="preserve">118193</w:t>
            </w:r>
          </w:p>
        </w:tc>
        <w:tc>
          <w:tcPr/>
          <w:p>
            <w:pPr>
              <w:pStyle w:val="Compact"/>
              <w:jc w:val="right"/>
            </w:pPr>
            <w:r>
              <w:t xml:space="preserve">1076</w:t>
            </w:r>
          </w:p>
        </w:tc>
        <w:tc>
          <w:tcPr/>
          <w:p>
            <w:pPr>
              <w:pStyle w:val="Compact"/>
              <w:jc w:val="right"/>
            </w:pPr>
            <w:r>
              <w:t xml:space="preserve">1313</w:t>
            </w:r>
          </w:p>
        </w:tc>
        <w:tc>
          <w:tcPr/>
          <w:p>
            <w:pPr>
              <w:pStyle w:val="Compact"/>
              <w:jc w:val="right"/>
            </w:pPr>
            <w:r>
              <w:t xml:space="preserve">285</w:t>
            </w:r>
          </w:p>
        </w:tc>
        <w:tc>
          <w:tcPr/>
          <w:p>
            <w:pPr>
              <w:pStyle w:val="Compact"/>
              <w:jc w:val="right"/>
            </w:pPr>
            <w:r>
              <w:t xml:space="preserve">2010</w:t>
            </w:r>
          </w:p>
        </w:tc>
      </w:tr>
      <w:tr>
        <w:tc>
          <w:tcPr/>
          <w:p>
            <w:pPr>
              <w:pStyle w:val="Compact"/>
              <w:jc w:val="left"/>
            </w:pPr>
            <w:r>
              <w:t xml:space="preserve">21. Kebbi</w:t>
            </w:r>
          </w:p>
        </w:tc>
        <w:tc>
          <w:tcPr/>
          <w:p>
            <w:pPr>
              <w:pStyle w:val="Compact"/>
              <w:jc w:val="right"/>
            </w:pPr>
            <w:r>
              <w:t xml:space="preserve">34</w:t>
            </w:r>
          </w:p>
        </w:tc>
        <w:tc>
          <w:tcPr/>
          <w:p>
            <w:pPr>
              <w:pStyle w:val="Compact"/>
              <w:jc w:val="right"/>
            </w:pPr>
            <w:r>
              <w:t xml:space="preserve">241130</w:t>
            </w:r>
          </w:p>
        </w:tc>
        <w:tc>
          <w:tcPr/>
          <w:p>
            <w:pPr>
              <w:pStyle w:val="Compact"/>
              <w:jc w:val="right"/>
            </w:pPr>
            <w:r>
              <w:t xml:space="preserve">1011</w:t>
            </w:r>
          </w:p>
        </w:tc>
        <w:tc>
          <w:tcPr/>
          <w:p>
            <w:pPr>
              <w:pStyle w:val="Compact"/>
              <w:jc w:val="right"/>
            </w:pPr>
            <w:r>
              <w:t xml:space="preserve">1216</w:t>
            </w:r>
          </w:p>
        </w:tc>
        <w:tc>
          <w:tcPr/>
          <w:p>
            <w:pPr>
              <w:pStyle w:val="Compact"/>
              <w:jc w:val="right"/>
            </w:pPr>
            <w:r>
              <w:t xml:space="preserve">452</w:t>
            </w:r>
          </w:p>
        </w:tc>
        <w:tc>
          <w:tcPr/>
          <w:p>
            <w:pPr>
              <w:pStyle w:val="Compact"/>
              <w:jc w:val="right"/>
            </w:pPr>
            <w:r>
              <w:t xml:space="preserve">1597</w:t>
            </w:r>
          </w:p>
        </w:tc>
      </w:tr>
      <w:tr>
        <w:tc>
          <w:tcPr/>
          <w:p>
            <w:pPr>
              <w:pStyle w:val="Compact"/>
              <w:jc w:val="left"/>
            </w:pPr>
            <w:r>
              <w:t xml:space="preserve">2. Adamawa</w:t>
            </w:r>
          </w:p>
        </w:tc>
        <w:tc>
          <w:tcPr/>
          <w:p>
            <w:pPr>
              <w:pStyle w:val="Compact"/>
              <w:jc w:val="right"/>
            </w:pPr>
            <w:r>
              <w:t xml:space="preserve">2</w:t>
            </w:r>
          </w:p>
        </w:tc>
        <w:tc>
          <w:tcPr/>
          <w:p>
            <w:pPr>
              <w:pStyle w:val="Compact"/>
              <w:jc w:val="right"/>
            </w:pPr>
            <w:r>
              <w:t xml:space="preserve">2883</w:t>
            </w:r>
          </w:p>
        </w:tc>
        <w:tc>
          <w:tcPr/>
          <w:p>
            <w:pPr>
              <w:pStyle w:val="Compact"/>
              <w:jc w:val="right"/>
            </w:pPr>
            <w:r>
              <w:t xml:space="preserve">635</w:t>
            </w:r>
          </w:p>
        </w:tc>
        <w:tc>
          <w:tcPr/>
          <w:p>
            <w:pPr>
              <w:pStyle w:val="Compact"/>
              <w:jc w:val="right"/>
            </w:pPr>
            <w:r>
              <w:t xml:space="preserve">593</w:t>
            </w:r>
          </w:p>
        </w:tc>
        <w:tc>
          <w:tcPr/>
          <w:p>
            <w:pPr>
              <w:pStyle w:val="Compact"/>
              <w:jc w:val="right"/>
            </w:pPr>
            <w:r>
              <w:t xml:space="preserve">367</w:t>
            </w:r>
          </w:p>
        </w:tc>
        <w:tc>
          <w:tcPr/>
          <w:p>
            <w:pPr>
              <w:pStyle w:val="Compact"/>
              <w:jc w:val="right"/>
            </w:pPr>
            <w:r>
              <w:t xml:space="preserve">903</w:t>
            </w:r>
          </w:p>
        </w:tc>
      </w:tr>
      <w:tr>
        <w:tc>
          <w:tcPr/>
          <w:p>
            <w:pPr>
              <w:pStyle w:val="Compact"/>
              <w:jc w:val="left"/>
            </w:pPr>
            <w:r>
              <w:t xml:space="preserve">15. Gombe</w:t>
            </w:r>
          </w:p>
        </w:tc>
        <w:tc>
          <w:tcPr/>
          <w:p>
            <w:pPr>
              <w:pStyle w:val="Compact"/>
              <w:jc w:val="right"/>
            </w:pPr>
            <w:r>
              <w:t xml:space="preserve">44</w:t>
            </w:r>
          </w:p>
        </w:tc>
        <w:tc>
          <w:tcPr/>
          <w:p>
            <w:pPr>
              <w:pStyle w:val="Compact"/>
              <w:jc w:val="right"/>
            </w:pPr>
            <w:r>
              <w:t xml:space="preserve">115989</w:t>
            </w:r>
          </w:p>
        </w:tc>
        <w:tc>
          <w:tcPr/>
          <w:p>
            <w:pPr>
              <w:pStyle w:val="Compact"/>
              <w:jc w:val="right"/>
            </w:pPr>
            <w:r>
              <w:t xml:space="preserve">618</w:t>
            </w:r>
          </w:p>
        </w:tc>
        <w:tc>
          <w:tcPr/>
          <w:p>
            <w:pPr>
              <w:pStyle w:val="Compact"/>
              <w:jc w:val="right"/>
            </w:pPr>
            <w:r>
              <w:t xml:space="preserve">756</w:t>
            </w:r>
          </w:p>
        </w:tc>
        <w:tc>
          <w:tcPr/>
          <w:p>
            <w:pPr>
              <w:pStyle w:val="Compact"/>
              <w:jc w:val="right"/>
            </w:pPr>
            <w:r>
              <w:t xml:space="preserve">369</w:t>
            </w:r>
          </w:p>
        </w:tc>
        <w:tc>
          <w:tcPr/>
          <w:p>
            <w:pPr>
              <w:pStyle w:val="Compact"/>
              <w:jc w:val="right"/>
            </w:pPr>
            <w:r>
              <w:t xml:space="preserve">1025</w:t>
            </w:r>
          </w:p>
        </w:tc>
      </w:tr>
    </w:tbl>
    <w:bookmarkEnd w:id="52"/>
    <w:bookmarkStart w:id="53" w:name="interprétation-3"/>
    <w:p>
      <w:pPr>
        <w:pStyle w:val="Heading2"/>
      </w:pPr>
      <w:r>
        <w:rPr>
          <w:rStyle w:val="SectionNumber"/>
        </w:rPr>
        <w:t xml:space="preserve">5.5</w:t>
      </w:r>
      <w:r>
        <w:tab/>
      </w:r>
      <w:r>
        <w:t xml:space="preserve">Interprétation</w:t>
      </w:r>
    </w:p>
    <w:p>
      <w:pPr>
        <w:pStyle w:val="FirstParagraph"/>
      </w:pPr>
      <w:r>
        <w:t xml:space="preserve">Les rendements de maïs varient de façon prononcée entre États. Les États de la ceinture</w:t>
      </w:r>
      <w:r>
        <w:t xml:space="preserve"> </w:t>
      </w:r>
      <w:r>
        <w:t xml:space="preserve">centrale — Benue, Kogi, Niger — affichent les médianes les plus élevées grâce à une</w:t>
      </w:r>
      <w:r>
        <w:t xml:space="preserve"> </w:t>
      </w:r>
      <w:r>
        <w:t xml:space="preserve">pluviométrie suffisante et des sols relativement fertiles. Plusieurs États du Nord-Est</w:t>
      </w:r>
      <w:r>
        <w:t xml:space="preserve"> </w:t>
      </w:r>
      <w:r>
        <w:t xml:space="preserve">enregistrent des rendements nettement plus faibles, reflet des contraintes liées au déficit</w:t>
      </w:r>
      <w:r>
        <w:t xml:space="preserve"> </w:t>
      </w:r>
      <w:r>
        <w:t xml:space="preserve">hydrique et au faible accès aux intrants.</w:t>
      </w:r>
    </w:p>
    <w:p>
      <w:pPr>
        <w:pStyle w:val="BodyText"/>
      </w:pPr>
      <w:r>
        <w:t xml:space="preserve">Pour le millet, la dispersion entre États est plus réduite, car cette culture est précisément</w:t>
      </w:r>
      <w:r>
        <w:t xml:space="preserve"> </w:t>
      </w:r>
      <w:r>
        <w:t xml:space="preserve">adaptée aux zones à faibles précipitations du Nord. Les États sahéliens affichent des médianes</w:t>
      </w:r>
      <w:r>
        <w:t xml:space="preserve"> </w:t>
      </w:r>
      <w:r>
        <w:t xml:space="preserve">comparables, signe que le millet y est cultivé dans des conditions proches de son optimum</w:t>
      </w:r>
      <w:r>
        <w:t xml:space="preserve"> </w:t>
      </w:r>
      <w:r>
        <w:t xml:space="preserve">agronomique. L’étendue des boîtes reste néanmoins significative au sein de chaque État,</w:t>
      </w:r>
      <w:r>
        <w:t xml:space="preserve"> </w:t>
      </w:r>
      <w:r>
        <w:t xml:space="preserve">témoignant d’une forte hétérogénéité à l’échelle des exploitations individuelles.</w:t>
      </w:r>
    </w:p>
    <w:p>
      <w:r>
        <w:pict>
          <v:rect style="width:0;height:1.5pt" o:hralign="center" o:hrstd="t" o:hr="t"/>
        </w:pict>
      </w:r>
    </w:p>
    <w:bookmarkEnd w:id="53"/>
    <w:bookmarkEnd w:id="54"/>
    <w:bookmarkStart w:id="61" w:name="engrais-chimiques-et-rendement-agricole"/>
    <w:p>
      <w:pPr>
        <w:pStyle w:val="Heading1"/>
      </w:pPr>
      <w:r>
        <w:rPr>
          <w:rStyle w:val="SectionNumber"/>
        </w:rPr>
        <w:t xml:space="preserve">6</w:t>
      </w:r>
      <w:r>
        <w:tab/>
      </w:r>
      <w:r>
        <w:t xml:space="preserve">Engrais chimiques et rendement agricole</w:t>
      </w:r>
    </w:p>
    <w:bookmarkStart w:id="55" w:name="méthode-2"/>
    <w:p>
      <w:pPr>
        <w:pStyle w:val="Heading2"/>
      </w:pPr>
      <w:r>
        <w:rPr>
          <w:rStyle w:val="SectionNumber"/>
        </w:rPr>
        <w:t xml:space="preserve">6.1</w:t>
      </w:r>
      <w:r>
        <w:tab/>
      </w:r>
      <w:r>
        <w:t xml:space="preserve">Méthode</w:t>
      </w:r>
    </w:p>
    <w:p>
      <w:pPr>
        <w:pStyle w:val="FirstParagraph"/>
      </w:pPr>
      <w:r>
        <w:t xml:space="preserve">La comparaison des rendements entre utilisateurs et non-utilisateurs d’engrais inorganiques</w:t>
      </w:r>
      <w:r>
        <w:t xml:space="preserve"> </w:t>
      </w:r>
      <w:r>
        <w:t xml:space="preserve">est conduite au niveau parcelle. La distribution des rendements étant fortement asymétrique</w:t>
      </w:r>
      <w:r>
        <w:t xml:space="preserve"> </w:t>
      </w:r>
      <w:r>
        <w:t xml:space="preserve">à droite, un test de Wilcoxon-Mann-Whitney est appliqué de préférence au test de Student.</w:t>
      </w:r>
      <w:r>
        <w:t xml:space="preserve"> </w:t>
      </w:r>
      <w:r>
        <w:t xml:space="preserve">La taille d’effet est mesurée par le coefficient r de Rosenthal.</w:t>
      </w:r>
    </w:p>
    <w:bookmarkEnd w:id="55"/>
    <w:bookmarkStart w:id="59" w:name="résultats-2"/>
    <w:p>
      <w:pPr>
        <w:pStyle w:val="Heading2"/>
      </w:pPr>
      <w:r>
        <w:rPr>
          <w:rStyle w:val="SectionNumber"/>
        </w:rPr>
        <w:t xml:space="preserve">6.2</w:t>
      </w:r>
      <w:r>
        <w:tab/>
      </w:r>
      <w:r>
        <w:t xml:space="preserve">Résultats</w:t>
      </w:r>
    </w:p>
    <w:p>
      <w:pPr>
        <w:pStyle w:val="TableCaption"/>
      </w:pPr>
      <w:r>
        <w:t xml:space="preserve">Tableau 4 — Statistiques pondérées des rendements selon l’usage d’engrais inorganiques</w:t>
      </w:r>
    </w:p>
    <w:tbl>
      <w:tblPr>
        <w:tblStyle w:val="Table"/>
        <w:tblW w:type="pct" w:w="5000"/>
        <w:tblLayout w:type="fixed"/>
        <w:tblLook w:firstRow="1" w:lastRow="0" w:firstColumn="0" w:lastColumn="0" w:noHBand="0" w:noVBand="0" w:val="0020"/>
        <w:tblCaption w:val="Tableau 4 — Statistiques pondérées des rendements selon l’usage d’engrais inorganiques"/>
      </w:tblPr>
      <w:tblGrid>
        <w:gridCol w:w="2026"/>
        <w:gridCol w:w="644"/>
        <w:gridCol w:w="920"/>
        <w:gridCol w:w="1473"/>
        <w:gridCol w:w="2026"/>
        <w:gridCol w:w="368"/>
        <w:gridCol w:w="460"/>
      </w:tblGrid>
      <w:tr>
        <w:trPr>
          <w:tblHeader w:val="on"/>
        </w:trPr>
        <w:tc>
          <w:tcPr/>
          <w:p>
            <w:pPr>
              <w:pStyle w:val="Compact"/>
              <w:jc w:val="left"/>
            </w:pPr>
            <w:r>
              <w:t xml:space="preserve">Groupe</w:t>
            </w:r>
          </w:p>
        </w:tc>
        <w:tc>
          <w:tcPr/>
          <w:p>
            <w:pPr>
              <w:pStyle w:val="Compact"/>
              <w:jc w:val="right"/>
            </w:pPr>
            <w:r>
              <w:t xml:space="preserve">N obs.</w:t>
            </w:r>
          </w:p>
        </w:tc>
        <w:tc>
          <w:tcPr/>
          <w:p>
            <w:pPr>
              <w:pStyle w:val="Compact"/>
              <w:jc w:val="right"/>
            </w:pPr>
            <w:r>
              <w:t xml:space="preserve">N pondéré</w:t>
            </w:r>
          </w:p>
        </w:tc>
        <w:tc>
          <w:tcPr/>
          <w:p>
            <w:pPr>
              <w:pStyle w:val="Compact"/>
              <w:jc w:val="right"/>
            </w:pPr>
            <w:r>
              <w:t xml:space="preserve">Médiane (kg/ha)</w:t>
            </w:r>
          </w:p>
        </w:tc>
        <w:tc>
          <w:tcPr/>
          <w:p>
            <w:pPr>
              <w:pStyle w:val="Compact"/>
              <w:jc w:val="right"/>
            </w:pPr>
            <w:r>
              <w:t xml:space="preserve">Moyenne pond. (kg/ha)</w:t>
            </w:r>
          </w:p>
        </w:tc>
        <w:tc>
          <w:tcPr/>
          <w:p>
            <w:pPr>
              <w:pStyle w:val="Compact"/>
              <w:jc w:val="right"/>
            </w:pPr>
            <w:r>
              <w:t xml:space="preserve">Q1</w:t>
            </w:r>
          </w:p>
        </w:tc>
        <w:tc>
          <w:tcPr/>
          <w:p>
            <w:pPr>
              <w:pStyle w:val="Compact"/>
              <w:jc w:val="right"/>
            </w:pPr>
            <w:r>
              <w:t xml:space="preserve">Q3</w:t>
            </w:r>
          </w:p>
        </w:tc>
      </w:tr>
      <w:tr>
        <w:tc>
          <w:tcPr/>
          <w:p>
            <w:pPr>
              <w:pStyle w:val="Compact"/>
              <w:jc w:val="left"/>
            </w:pPr>
            <w:r>
              <w:t xml:space="preserve">Avec engrais chimique</w:t>
            </w:r>
          </w:p>
        </w:tc>
        <w:tc>
          <w:tcPr/>
          <w:p>
            <w:pPr>
              <w:pStyle w:val="Compact"/>
              <w:jc w:val="right"/>
            </w:pPr>
            <w:r>
              <w:t xml:space="preserve">1437</w:t>
            </w:r>
          </w:p>
        </w:tc>
        <w:tc>
          <w:tcPr/>
          <w:p>
            <w:pPr>
              <w:pStyle w:val="Compact"/>
              <w:jc w:val="right"/>
            </w:pPr>
            <w:r>
              <w:t xml:space="preserve">7992080</w:t>
            </w:r>
          </w:p>
        </w:tc>
        <w:tc>
          <w:tcPr/>
          <w:p>
            <w:pPr>
              <w:pStyle w:val="Compact"/>
              <w:jc w:val="right"/>
            </w:pPr>
            <w:r>
              <w:t xml:space="preserve">833</w:t>
            </w:r>
          </w:p>
        </w:tc>
        <w:tc>
          <w:tcPr/>
          <w:p>
            <w:pPr>
              <w:pStyle w:val="Compact"/>
              <w:jc w:val="right"/>
            </w:pPr>
            <w:r>
              <w:t xml:space="preserve">1283</w:t>
            </w:r>
          </w:p>
        </w:tc>
        <w:tc>
          <w:tcPr/>
          <w:p>
            <w:pPr>
              <w:pStyle w:val="Compact"/>
              <w:jc w:val="right"/>
            </w:pPr>
            <w:r>
              <w:t xml:space="preserve">365</w:t>
            </w:r>
          </w:p>
        </w:tc>
        <w:tc>
          <w:tcPr/>
          <w:p>
            <w:pPr>
              <w:pStyle w:val="Compact"/>
              <w:jc w:val="right"/>
            </w:pPr>
            <w:r>
              <w:t xml:space="preserve">1709</w:t>
            </w:r>
          </w:p>
        </w:tc>
      </w:tr>
      <w:tr>
        <w:tc>
          <w:tcPr/>
          <w:p>
            <w:pPr>
              <w:pStyle w:val="Compact"/>
              <w:jc w:val="left"/>
            </w:pPr>
            <w:r>
              <w:t xml:space="preserve">Sans engrais chimique</w:t>
            </w:r>
          </w:p>
        </w:tc>
        <w:tc>
          <w:tcPr/>
          <w:p>
            <w:pPr>
              <w:pStyle w:val="Compact"/>
              <w:jc w:val="right"/>
            </w:pPr>
            <w:r>
              <w:t xml:space="preserve">1640</w:t>
            </w:r>
          </w:p>
        </w:tc>
        <w:tc>
          <w:tcPr/>
          <w:p>
            <w:pPr>
              <w:pStyle w:val="Compact"/>
              <w:jc w:val="right"/>
            </w:pPr>
            <w:r>
              <w:t xml:space="preserve">8046032</w:t>
            </w:r>
          </w:p>
        </w:tc>
        <w:tc>
          <w:tcPr/>
          <w:p>
            <w:pPr>
              <w:pStyle w:val="Compact"/>
              <w:jc w:val="right"/>
            </w:pPr>
            <w:r>
              <w:t xml:space="preserve">522</w:t>
            </w:r>
          </w:p>
        </w:tc>
        <w:tc>
          <w:tcPr/>
          <w:p>
            <w:pPr>
              <w:pStyle w:val="Compact"/>
              <w:jc w:val="right"/>
            </w:pPr>
            <w:r>
              <w:t xml:space="preserve">865</w:t>
            </w:r>
          </w:p>
        </w:tc>
        <w:tc>
          <w:tcPr/>
          <w:p>
            <w:pPr>
              <w:pStyle w:val="Compact"/>
              <w:jc w:val="right"/>
            </w:pPr>
            <w:r>
              <w:t xml:space="preserve">235</w:t>
            </w:r>
          </w:p>
        </w:tc>
        <w:tc>
          <w:tcPr/>
          <w:p>
            <w:pPr>
              <w:pStyle w:val="Compact"/>
              <w:jc w:val="right"/>
            </w:pPr>
            <w:r>
              <w:t xml:space="preserve">1123</w:t>
            </w:r>
          </w:p>
        </w:tc>
      </w:tr>
    </w:tbl>
    <w:p>
      <w:pPr>
        <w:pStyle w:val="CaptionedFigure"/>
      </w:pPr>
      <w:r>
        <w:drawing>
          <wp:inline>
            <wp:extent cx="5334000" cy="3429000"/>
            <wp:effectExtent b="0" l="0" r="0" t="0"/>
            <wp:docPr descr="Figure 6 — Distribution des rendements (kg/ha, échelle log₁₀) selon l’usage d’engrais inorganiques" title="" id="57" name="Picture"/>
            <a:graphic>
              <a:graphicData uri="http://schemas.openxmlformats.org/drawingml/2006/picture">
                <pic:pic>
                  <pic:nvPicPr>
                    <pic:cNvPr descr="rapport_final_files/rapport_final_files/figure-docx/fig-engrais-rendement-1.png" id="58" name="Picture"/>
                    <pic:cNvPicPr>
                      <a:picLocks noChangeArrowheads="1" noChangeAspect="1"/>
                    </pic:cNvPicPr>
                  </pic:nvPicPr>
                  <pic:blipFill>
                    <a:blip r:embed="rId56"/>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Figure 6 — Distribution des rendements (kg/ha, échelle log₁₀) selon l’usage d’engrais inorganiques</w:t>
      </w:r>
    </w:p>
    <w:bookmarkEnd w:id="59"/>
    <w:bookmarkStart w:id="60" w:name="interprétation-4"/>
    <w:p>
      <w:pPr>
        <w:pStyle w:val="Heading2"/>
      </w:pPr>
      <w:r>
        <w:rPr>
          <w:rStyle w:val="SectionNumber"/>
        </w:rPr>
        <w:t xml:space="preserve">6.3</w:t>
      </w:r>
      <w:r>
        <w:tab/>
      </w:r>
      <w:r>
        <w:t xml:space="preserve">Interprétation</w:t>
      </w:r>
    </w:p>
    <w:p>
      <w:pPr>
        <w:pStyle w:val="FirstParagraph"/>
      </w:pPr>
      <w:r>
        <w:t xml:space="preserve">Les ménages recourant aux engrais inorganiques obtiennent des rendements pondérés</w:t>
      </w:r>
      <w:r>
        <w:t xml:space="preserve"> </w:t>
      </w:r>
      <w:r>
        <w:t xml:space="preserve">significativement plus élevés (p &lt; 0,001 ; r = 0.177). Le tableau 4 confirme</w:t>
      </w:r>
      <w:r>
        <w:t xml:space="preserve"> </w:t>
      </w:r>
      <w:r>
        <w:t xml:space="preserve">que l’écart de médiane se maintient sur l’ensemble de la distribution (Q1, Q3), ce qui indique</w:t>
      </w:r>
      <w:r>
        <w:t xml:space="preserve"> </w:t>
      </w:r>
      <w:r>
        <w:t xml:space="preserve">un effet qui ne se limite pas aux valeurs extrêmes.</w:t>
      </w:r>
    </w:p>
    <w:p>
      <w:pPr>
        <w:pStyle w:val="BodyText"/>
      </w:pPr>
      <w:r>
        <w:t xml:space="preserve">La taille d’effet faible rappelle toutefois que les engrais n’expliquent qu’une</w:t>
      </w:r>
      <w:r>
        <w:t xml:space="preserve"> </w:t>
      </w:r>
      <w:r>
        <w:t xml:space="preserve">partie de la variabilité des rendements. D’autres facteurs jouent un rôle : qualité des sols,</w:t>
      </w:r>
      <w:r>
        <w:t xml:space="preserve"> </w:t>
      </w:r>
      <w:r>
        <w:t xml:space="preserve">accès à l’irrigation, choix variétal et pratiques culturales. Cette comparaison est par</w:t>
      </w:r>
      <w:r>
        <w:t xml:space="preserve"> </w:t>
      </w:r>
      <w:r>
        <w:t xml:space="preserve">ailleurs observationnelle : les ménages utilisateurs d’engrais peuvent différer des</w:t>
      </w:r>
      <w:r>
        <w:t xml:space="preserve"> </w:t>
      </w:r>
      <w:r>
        <w:t xml:space="preserve">non-utilisateurs sur d’autres dimensions — capital, superficie, accès au crédit — ce qui</w:t>
      </w:r>
      <w:r>
        <w:t xml:space="preserve"> </w:t>
      </w:r>
      <w:r>
        <w:t xml:space="preserve">crée un biais de sélection potentiel. Une estimation causale nécessiterait un dispositif</w:t>
      </w:r>
      <w:r>
        <w:t xml:space="preserve"> </w:t>
      </w:r>
      <w:r>
        <w:t xml:space="preserve">expérimental ou une méthode d’appariement statistique.</w:t>
      </w:r>
    </w:p>
    <w:p>
      <w:r>
        <w:pict>
          <v:rect style="width:0;height:1.5pt" o:hralign="center" o:hrstd="t" o:hr="t"/>
        </w:pict>
      </w:r>
    </w:p>
    <w:bookmarkEnd w:id="60"/>
    <w:bookmarkEnd w:id="61"/>
    <w:bookmarkStart w:id="62" w:name="conclusion"/>
    <w:p>
      <w:pPr>
        <w:pStyle w:val="Heading1"/>
      </w:pPr>
      <w:r>
        <w:rPr>
          <w:rStyle w:val="SectionNumber"/>
        </w:rPr>
        <w:t xml:space="preserve">7</w:t>
      </w:r>
      <w:r>
        <w:tab/>
      </w:r>
      <w:r>
        <w:t xml:space="preserve">Conclusion</w:t>
      </w:r>
    </w:p>
    <w:p>
      <w:pPr>
        <w:pStyle w:val="FirstParagraph"/>
      </w:pPr>
      <w:r>
        <w:t xml:space="preserve">Cette analyse des données LSMS-ISA, vague 4, produit quatre constats principaux.</w:t>
      </w:r>
    </w:p>
    <w:p>
      <w:pPr>
        <w:pStyle w:val="BodyText"/>
      </w:pPr>
      <w:r>
        <w:rPr>
          <w:b/>
          <w:bCs/>
        </w:rPr>
        <w:t xml:space="preserve">Un portefeuille cultural dominé par les céréales.</w:t>
      </w:r>
      <w:r>
        <w:t xml:space="preserve"> </w:t>
      </w:r>
      <w:r>
        <w:t xml:space="preserve">Le maïs, le sorgho et le millet</w:t>
      </w:r>
      <w:r>
        <w:t xml:space="preserve"> </w:t>
      </w:r>
      <w:r>
        <w:t xml:space="preserve">concentrent une part importante des fréquences culturales pondérées, en accord avec les</w:t>
      </w:r>
      <w:r>
        <w:t xml:space="preserve"> </w:t>
      </w:r>
      <w:r>
        <w:t xml:space="preserve">habitudes alimentaires et les conditions agroclimatiques du pays.</w:t>
      </w:r>
    </w:p>
    <w:p>
      <w:pPr>
        <w:pStyle w:val="BodyText"/>
      </w:pPr>
      <w:r>
        <w:rPr>
          <w:b/>
          <w:bCs/>
        </w:rPr>
        <w:t xml:space="preserve">Une diversification culturale plus prononcée en milieu rural.</w:t>
      </w:r>
      <w:r>
        <w:t xml:space="preserve"> </w:t>
      </w:r>
      <w:r>
        <w:t xml:space="preserve">Les ménages ruraux</w:t>
      </w:r>
      <w:r>
        <w:t xml:space="preserve"> </w:t>
      </w:r>
      <w:r>
        <w:t xml:space="preserve">cultivent en médiane davantage d’espèces que les ménages urbains. Cette stratégie vise à</w:t>
      </w:r>
      <w:r>
        <w:t xml:space="preserve"> </w:t>
      </w:r>
      <w:r>
        <w:t xml:space="preserve">répartir les risques climatiques et à satisfaire des besoins alimentaires variés sans recours</w:t>
      </w:r>
      <w:r>
        <w:t xml:space="preserve"> </w:t>
      </w:r>
      <w:r>
        <w:t xml:space="preserve">intensif au marché.</w:t>
      </w:r>
    </w:p>
    <w:p>
      <w:pPr>
        <w:pStyle w:val="BodyText"/>
      </w:pPr>
      <w:r>
        <w:rPr>
          <w:b/>
          <w:bCs/>
        </w:rPr>
        <w:t xml:space="preserve">Un accès inégal aux engrais.</w:t>
      </w:r>
      <w:r>
        <w:t xml:space="preserve"> </w:t>
      </w:r>
      <w:r>
        <w:t xml:space="preserve">Les taux d’utilisation restent modérés, avec un avantage</w:t>
      </w:r>
      <w:r>
        <w:t xml:space="preserve"> </w:t>
      </w:r>
      <w:r>
        <w:t xml:space="preserve">en faveur du milieu rural, ce qui indique des marges de progression pour les politiques de</w:t>
      </w:r>
      <w:r>
        <w:t xml:space="preserve"> </w:t>
      </w:r>
      <w:r>
        <w:t xml:space="preserve">diffusion des intrants agricoles.</w:t>
      </w:r>
    </w:p>
    <w:p>
      <w:pPr>
        <w:pStyle w:val="BodyText"/>
      </w:pPr>
      <w:r>
        <w:rPr>
          <w:b/>
          <w:bCs/>
        </w:rPr>
        <w:t xml:space="preserve">Un lien positif entre engrais et rendement, à nuancer.</w:t>
      </w:r>
      <w:r>
        <w:t xml:space="preserve"> </w:t>
      </w:r>
      <w:r>
        <w:t xml:space="preserve">L’utilisation d’engrais</w:t>
      </w:r>
      <w:r>
        <w:t xml:space="preserve"> </w:t>
      </w:r>
      <w:r>
        <w:t xml:space="preserve">inorganiques est associée à des rendements plus élevés de façon statistiquement significative,</w:t>
      </w:r>
      <w:r>
        <w:t xml:space="preserve"> </w:t>
      </w:r>
      <w:r>
        <w:t xml:space="preserve">mais la taille d’effet modérée rappelle que l’amélioration des rendements exige une approche</w:t>
      </w:r>
      <w:r>
        <w:t xml:space="preserve"> </w:t>
      </w:r>
      <w:r>
        <w:t xml:space="preserve">intégrée — semences améliorées, gestion de l’eau, conseil agronomique.</w:t>
      </w:r>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7" Target="media/rId37.png" /><Relationship Type="http://schemas.openxmlformats.org/officeDocument/2006/relationships/image" Id="rId56" Target="media/rId56.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TP5 Agriculture nigériane — Analyse des données LSMS-ISA, Vague 4 (2018-2019) - Cultures pratiquées, intrants utilisés et rendements agricoles</dc:title>
  <dc:creator>Groupe 18 KEBJAM Jackson et NGOYI Parfait Jemmy Prodige - Elèves en ISE 1 — 2025/2026</dc:creator>
  <cp:keywords/>
  <dcterms:created xsi:type="dcterms:W3CDTF">2026-04-12T18:04:37Z</dcterms:created>
  <dcterms:modified xsi:type="dcterms:W3CDTF">2026-04-12T18:04:37Z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12 avril 2026</vt:lpwstr>
  </property>
  <property fmtid="{D5CDD505-2E9C-101B-9397-08002B2CF9AE}" pid="3" name="output">
    <vt:lpwstr/>
  </property>
</Properties>
</file>