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9F734" w14:textId="77777777" w:rsidR="00062B64" w:rsidRDefault="00DE029E">
      <w:pPr>
        <w:pStyle w:val="Titre"/>
      </w:pPr>
      <w:r>
        <w:t>Profil démographique des ménages nigérians</w:t>
      </w:r>
    </w:p>
    <w:p w14:paraId="072D41C3" w14:textId="77777777" w:rsidR="00062B64" w:rsidRPr="00D162EC" w:rsidRDefault="00DE029E">
      <w:pPr>
        <w:pStyle w:val="Sous-titre"/>
        <w:rPr>
          <w:lang w:val="en-US"/>
        </w:rPr>
      </w:pPr>
      <w:proofErr w:type="spellStart"/>
      <w:r w:rsidRPr="00D162EC">
        <w:rPr>
          <w:lang w:val="en-US"/>
        </w:rPr>
        <w:t>Analyse</w:t>
      </w:r>
      <w:proofErr w:type="spellEnd"/>
      <w:r w:rsidRPr="00D162EC">
        <w:rPr>
          <w:lang w:val="en-US"/>
        </w:rPr>
        <w:t xml:space="preserve"> du Nigeria General Household Survey Panel Wave 4 (2018-2019)</w:t>
      </w:r>
    </w:p>
    <w:p w14:paraId="3DA1516F" w14:textId="37BF330F" w:rsidR="00D162EC" w:rsidRPr="00D162EC" w:rsidRDefault="00DE029E" w:rsidP="00D162EC">
      <w:pPr>
        <w:pStyle w:val="Author"/>
        <w:jc w:val="both"/>
        <w:rPr>
          <w:lang w:val="en-US"/>
        </w:rPr>
      </w:pPr>
      <w:r w:rsidRPr="00D162EC">
        <w:rPr>
          <w:lang w:val="en-US"/>
        </w:rPr>
        <w:t xml:space="preserve">Keita </w:t>
      </w:r>
      <w:proofErr w:type="spellStart"/>
      <w:r w:rsidRPr="00D162EC">
        <w:rPr>
          <w:lang w:val="en-US"/>
        </w:rPr>
        <w:t>L.</w:t>
      </w:r>
      <w:r w:rsidR="00D162EC">
        <w:rPr>
          <w:lang w:val="en-US"/>
        </w:rPr>
        <w:t>&amp;</w:t>
      </w:r>
      <w:r w:rsidRPr="00D162EC">
        <w:rPr>
          <w:lang w:val="en-US"/>
        </w:rPr>
        <w:t>N</w:t>
      </w:r>
      <w:r w:rsidRPr="00D162EC">
        <w:rPr>
          <w:lang w:val="en-US"/>
        </w:rPr>
        <w:t>kwa</w:t>
      </w:r>
      <w:proofErr w:type="spellEnd"/>
      <w:r w:rsidRPr="00D162EC">
        <w:rPr>
          <w:lang w:val="en-US"/>
        </w:rPr>
        <w:t xml:space="preserve"> </w:t>
      </w:r>
      <w:proofErr w:type="spellStart"/>
      <w:r w:rsidRPr="00D162EC">
        <w:rPr>
          <w:lang w:val="en-US"/>
        </w:rPr>
        <w:t>Tsamo</w:t>
      </w:r>
      <w:proofErr w:type="spellEnd"/>
      <w:r w:rsidRPr="00D162EC">
        <w:rPr>
          <w:lang w:val="en-US"/>
        </w:rPr>
        <w:t xml:space="preserve"> L.</w:t>
      </w:r>
    </w:p>
    <w:p w14:paraId="177D8D17" w14:textId="12A4A7DD" w:rsidR="00062B64" w:rsidRPr="00D162EC" w:rsidRDefault="00062B64" w:rsidP="00D162EC">
      <w:pPr>
        <w:rPr>
          <w:b/>
          <w:color w:val="374EA2"/>
          <w:sz w:val="24"/>
          <w:szCs w:val="24"/>
          <w:lang w:val="en-US"/>
        </w:rPr>
      </w:pPr>
    </w:p>
    <w:p w14:paraId="70BDE138" w14:textId="11DB4A5E" w:rsidR="00D162EC" w:rsidRDefault="00DE029E" w:rsidP="00D162EC">
      <w:pPr>
        <w:jc w:val="center"/>
      </w:pPr>
      <w:r>
        <w:t>1</w:t>
      </w:r>
      <w:r>
        <w:t>7 mars 2026</w:t>
      </w:r>
    </w:p>
    <w:p w14:paraId="24C0BC2F" w14:textId="77777777" w:rsidR="00D162EC" w:rsidRDefault="00D162EC">
      <w:r>
        <w:br w:type="page"/>
      </w:r>
    </w:p>
    <w:p w14:paraId="168BF24E" w14:textId="77777777" w:rsidR="00062B64" w:rsidRDefault="00062B64"/>
    <w:sdt>
      <w:sdtPr>
        <w:id w:val="144400509"/>
        <w:docPartObj>
          <w:docPartGallery w:val="Table of Contents"/>
          <w:docPartUnique/>
        </w:docPartObj>
      </w:sdtPr>
      <w:sdtEndPr/>
      <w:sdtContent>
        <w:p w14:paraId="3F760FA3" w14:textId="77777777" w:rsidR="00062B64" w:rsidRDefault="00DE029E">
          <w:r>
            <w:t>Table des matières</w:t>
          </w:r>
        </w:p>
        <w:p w14:paraId="2F42C871" w14:textId="77777777" w:rsidR="00D162EC" w:rsidRDefault="00DE029E">
          <w:pPr>
            <w:pStyle w:val="TM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4649928" w:history="1">
            <w:r w:rsidR="00D162EC" w:rsidRPr="0053556F">
              <w:rPr>
                <w:rStyle w:val="Lienhypertexte"/>
                <w:noProof/>
              </w:rPr>
              <w:t>Messages clés</w:t>
            </w:r>
            <w:r w:rsidR="00D162EC">
              <w:rPr>
                <w:noProof/>
                <w:webHidden/>
              </w:rPr>
              <w:tab/>
            </w:r>
            <w:r w:rsidR="00D162EC">
              <w:rPr>
                <w:noProof/>
                <w:webHidden/>
              </w:rPr>
              <w:fldChar w:fldCharType="begin"/>
            </w:r>
            <w:r w:rsidR="00D162EC">
              <w:rPr>
                <w:noProof/>
                <w:webHidden/>
              </w:rPr>
              <w:instrText xml:space="preserve"> PAGEREF _Toc224649928 \h </w:instrText>
            </w:r>
            <w:r w:rsidR="00D162EC">
              <w:rPr>
                <w:noProof/>
                <w:webHidden/>
              </w:rPr>
            </w:r>
            <w:r w:rsidR="00D162EC">
              <w:rPr>
                <w:noProof/>
                <w:webHidden/>
              </w:rPr>
              <w:fldChar w:fldCharType="separate"/>
            </w:r>
            <w:r w:rsidR="00D162EC">
              <w:rPr>
                <w:noProof/>
                <w:webHidden/>
              </w:rPr>
              <w:t>4</w:t>
            </w:r>
            <w:r w:rsidR="00D162EC">
              <w:rPr>
                <w:noProof/>
                <w:webHidden/>
              </w:rPr>
              <w:fldChar w:fldCharType="end"/>
            </w:r>
          </w:hyperlink>
        </w:p>
        <w:p w14:paraId="301063EE" w14:textId="77777777" w:rsidR="00D162EC" w:rsidRDefault="00D162E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4649929" w:history="1">
            <w:r w:rsidRPr="0053556F">
              <w:rPr>
                <w:rStyle w:val="Lienhypertexte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662DF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30" w:history="1">
            <w:r w:rsidRPr="0053556F">
              <w:rPr>
                <w:rStyle w:val="Lienhypertexte"/>
                <w:noProof/>
              </w:rPr>
              <w:t>1.1 Contexte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BF4CE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31" w:history="1">
            <w:r w:rsidRPr="0053556F">
              <w:rPr>
                <w:rStyle w:val="Lienhypertexte"/>
                <w:noProof/>
              </w:rPr>
              <w:t>1.2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B5CFA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32" w:history="1">
            <w:r w:rsidRPr="0053556F">
              <w:rPr>
                <w:rStyle w:val="Lienhypertexte"/>
                <w:noProof/>
              </w:rPr>
              <w:t>1.3 Questions analytiques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AAA00" w14:textId="77777777" w:rsidR="00D162EC" w:rsidRDefault="00D162E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4649933" w:history="1">
            <w:r w:rsidRPr="0053556F">
              <w:rPr>
                <w:rStyle w:val="Lienhypertexte"/>
                <w:noProof/>
              </w:rPr>
              <w:t>2. Données et méthodes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8B145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34" w:history="1">
            <w:r w:rsidRPr="0053556F">
              <w:rPr>
                <w:rStyle w:val="Lienhypertexte"/>
                <w:noProof/>
              </w:rPr>
              <w:t>2.1 Source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573DD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35" w:history="1">
            <w:r w:rsidRPr="0053556F">
              <w:rPr>
                <w:rStyle w:val="Lienhypertexte"/>
                <w:noProof/>
              </w:rPr>
              <w:t>2.1.1 Couverture de l’enquête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D049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36" w:history="1">
            <w:r w:rsidRPr="0053556F">
              <w:rPr>
                <w:rStyle w:val="Lienhypertexte"/>
                <w:noProof/>
              </w:rPr>
              <w:t>2.1.2 Fichiers utilisés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542AE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37" w:history="1">
            <w:r w:rsidRPr="0053556F">
              <w:rPr>
                <w:rStyle w:val="Lienhypertexte"/>
                <w:noProof/>
              </w:rPr>
              <w:t>2.2 Variables analysées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BF5F5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38" w:history="1">
            <w:r w:rsidRPr="0053556F">
              <w:rPr>
                <w:rStyle w:val="Lienhypertexte"/>
                <w:noProof/>
              </w:rPr>
              <w:t>2.3 Traitement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7B5A9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39" w:history="1">
            <w:r w:rsidRPr="0053556F">
              <w:rPr>
                <w:rStyle w:val="Lienhypertexte"/>
                <w:noProof/>
              </w:rPr>
              <w:t>2.3.1 Filtrage et nettoyage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0DF67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0" w:history="1">
            <w:r w:rsidRPr="0053556F">
              <w:rPr>
                <w:rStyle w:val="Lienhypertexte"/>
                <w:noProof/>
              </w:rPr>
              <w:t>2.3.2 Construction des variables dérivées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71F14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41" w:history="1">
            <w:r w:rsidRPr="0053556F">
              <w:rPr>
                <w:rStyle w:val="Lienhypertexte"/>
                <w:noProof/>
              </w:rPr>
              <w:t>2.4 Méthodes statistiques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FFA2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2" w:history="1">
            <w:r w:rsidRPr="0053556F">
              <w:rPr>
                <w:rStyle w:val="Lienhypertexte"/>
                <w:noProof/>
              </w:rPr>
              <w:t>2.4.1 Analyses descriptives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EC903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3" w:history="1">
            <w:r w:rsidRPr="0053556F">
              <w:rPr>
                <w:rStyle w:val="Lienhypertexte"/>
                <w:noProof/>
              </w:rPr>
              <w:t>2.4.2 Tests statistiques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245CA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4" w:history="1">
            <w:r w:rsidRPr="0053556F">
              <w:rPr>
                <w:rStyle w:val="Lienhypertexte"/>
                <w:noProof/>
              </w:rPr>
              <w:t>2.4.3 Outils et reproductibilité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C3E15" w14:textId="77777777" w:rsidR="00D162EC" w:rsidRDefault="00D162E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4649945" w:history="1">
            <w:r w:rsidRPr="0053556F">
              <w:rPr>
                <w:rStyle w:val="Lienhypertexte"/>
                <w:noProof/>
              </w:rPr>
              <w:t>3.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9474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46" w:history="1">
            <w:r w:rsidRPr="0053556F">
              <w:rPr>
                <w:rStyle w:val="Lienhypertexte"/>
                <w:noProof/>
              </w:rPr>
              <w:t>3.1 Distribution de l’âge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A0466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7" w:history="1">
            <w:r w:rsidRPr="0053556F">
              <w:rPr>
                <w:rStyle w:val="Lienhypertexte"/>
                <w:noProof/>
              </w:rPr>
              <w:t>3.1.1 Statistiques descriptives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AA39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8" w:history="1">
            <w:r w:rsidRPr="0053556F">
              <w:rPr>
                <w:rStyle w:val="Lienhypertexte"/>
                <w:noProof/>
              </w:rPr>
              <w:t>3.1.2 Histogramme de la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3F92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49" w:history="1">
            <w:r w:rsidRPr="0053556F">
              <w:rPr>
                <w:rStyle w:val="Lienhypertexte"/>
                <w:noProof/>
              </w:rPr>
              <w:t>3.1.3 Boîte à moustaches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5AF69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50" w:history="1">
            <w:r w:rsidRPr="0053556F">
              <w:rPr>
                <w:rStyle w:val="Lienhypertexte"/>
                <w:noProof/>
              </w:rPr>
              <w:t>3.1.4 Test de normalité de Shapiro-Wilk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73426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51" w:history="1">
            <w:r w:rsidRPr="0053556F">
              <w:rPr>
                <w:rStyle w:val="Lienhypertexte"/>
                <w:noProof/>
              </w:rPr>
              <w:t>3.2 Structure par âge et sexe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869F3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52" w:history="1">
            <w:r w:rsidRPr="0053556F">
              <w:rPr>
                <w:rStyle w:val="Lienhypertexte"/>
                <w:noProof/>
              </w:rPr>
              <w:t>3.3 Composition des ménages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56872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53" w:history="1">
            <w:r w:rsidRPr="0053556F">
              <w:rPr>
                <w:rStyle w:val="Lienhypertexte"/>
                <w:noProof/>
              </w:rPr>
              <w:t>3.3.1 Répartition par lien de parenté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96BD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54" w:history="1">
            <w:r w:rsidRPr="0053556F">
              <w:rPr>
                <w:rStyle w:val="Lienhypertexte"/>
                <w:noProof/>
              </w:rPr>
              <w:t>3.4 Comparaison rural-urbain de la taille des ménages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7826B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55" w:history="1">
            <w:r w:rsidRPr="0053556F">
              <w:rPr>
                <w:rStyle w:val="Lienhypertexte"/>
                <w:noProof/>
              </w:rPr>
              <w:t>3.4.1 Statistiques descriptives par milieu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2E75D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56" w:history="1">
            <w:r w:rsidRPr="0053556F">
              <w:rPr>
                <w:rStyle w:val="Lienhypertexte"/>
                <w:noProof/>
              </w:rPr>
              <w:t>3.4.2 Visualisation comparative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9FDF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57" w:history="1">
            <w:r w:rsidRPr="0053556F">
              <w:rPr>
                <w:rStyle w:val="Lienhypertexte"/>
                <w:noProof/>
              </w:rPr>
              <w:t>3.4.3 Test de Wilcoxon-Mann-Whitney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F3A0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58" w:history="1">
            <w:r w:rsidRPr="0053556F">
              <w:rPr>
                <w:rStyle w:val="Lienhypertexte"/>
                <w:noProof/>
              </w:rPr>
              <w:t>3.5 Caractéristiques démographiques stratifiées par milieu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EAC9" w14:textId="77777777" w:rsidR="00D162EC" w:rsidRDefault="00D162E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4649959" w:history="1">
            <w:r w:rsidRPr="0053556F">
              <w:rPr>
                <w:rStyle w:val="Lienhypertexte"/>
                <w:noProof/>
              </w:rPr>
              <w:t>4.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4FA8F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60" w:history="1">
            <w:r w:rsidRPr="0053556F">
              <w:rPr>
                <w:rStyle w:val="Lienhypertexte"/>
                <w:noProof/>
              </w:rPr>
              <w:t>4.1 Principaux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D1C1D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61" w:history="1">
            <w:r w:rsidRPr="0053556F">
              <w:rPr>
                <w:rStyle w:val="Lienhypertexte"/>
                <w:noProof/>
              </w:rPr>
              <w:t>4.2 Limites méthodologiques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C480C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62" w:history="1">
            <w:r w:rsidRPr="0053556F">
              <w:rPr>
                <w:rStyle w:val="Lienhypertexte"/>
                <w:noProof/>
              </w:rPr>
              <w:t>4.2.1 Représentativité et pondération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64C115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63" w:history="1">
            <w:r w:rsidRPr="0053556F">
              <w:rPr>
                <w:rStyle w:val="Lienhypertexte"/>
                <w:noProof/>
              </w:rPr>
              <w:t>4.2.2 Attrition sélective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42D5" w14:textId="77777777" w:rsidR="00D162EC" w:rsidRDefault="00D162EC">
          <w:pPr>
            <w:pStyle w:val="TM3"/>
            <w:tabs>
              <w:tab w:val="right" w:leader="dot" w:pos="9628"/>
            </w:tabs>
            <w:rPr>
              <w:noProof/>
            </w:rPr>
          </w:pPr>
          <w:hyperlink w:anchor="_Toc224649964" w:history="1">
            <w:r w:rsidRPr="0053556F">
              <w:rPr>
                <w:rStyle w:val="Lienhypertexte"/>
                <w:noProof/>
              </w:rPr>
              <w:t>4.2.3 Biais de taille de Kish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0B721" w14:textId="77777777" w:rsidR="00D162EC" w:rsidRDefault="00D162EC">
          <w:pPr>
            <w:pStyle w:val="TM2"/>
            <w:tabs>
              <w:tab w:val="right" w:leader="dot" w:pos="9628"/>
            </w:tabs>
            <w:rPr>
              <w:noProof/>
            </w:rPr>
          </w:pPr>
          <w:hyperlink w:anchor="_Toc224649965" w:history="1">
            <w:r w:rsidRPr="0053556F">
              <w:rPr>
                <w:rStyle w:val="Lienhypertexte"/>
                <w:noProof/>
              </w:rPr>
              <w:t>4.3 Implications pour les politiques publiques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E26FC" w14:textId="77777777" w:rsidR="00D162EC" w:rsidRDefault="00D162E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4649966" w:history="1">
            <w:r w:rsidRPr="0053556F">
              <w:rPr>
                <w:rStyle w:val="Lienhypertexte"/>
                <w:noProof/>
              </w:rPr>
              <w:t>5.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A5BA7" w14:textId="77777777" w:rsidR="00D162EC" w:rsidRDefault="00D162EC">
          <w:pPr>
            <w:pStyle w:val="TM1"/>
            <w:tabs>
              <w:tab w:val="right" w:leader="dot" w:pos="9628"/>
            </w:tabs>
            <w:rPr>
              <w:noProof/>
            </w:rPr>
          </w:pPr>
          <w:hyperlink w:anchor="_Toc224649967" w:history="1">
            <w:r w:rsidRPr="0053556F">
              <w:rPr>
                <w:rStyle w:val="Lienhypertexte"/>
                <w:noProof/>
              </w:rPr>
              <w:t>Références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_Toc224649967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AE1CC" w14:textId="77777777" w:rsidR="00062B64" w:rsidRDefault="00DE029E">
          <w:r>
            <w:fldChar w:fldCharType="end"/>
          </w:r>
        </w:p>
      </w:sdtContent>
    </w:sdt>
    <w:p w14:paraId="7A251790" w14:textId="77777777" w:rsidR="00062B64" w:rsidRDefault="00DE029E">
      <w:r>
        <w:br w:type="page"/>
      </w:r>
    </w:p>
    <w:p w14:paraId="7C05E1F3" w14:textId="77777777" w:rsidR="00062B64" w:rsidRDefault="00DE029E">
      <w:pPr>
        <w:pStyle w:val="Titre1"/>
      </w:pPr>
      <w:bookmarkStart w:id="0" w:name="messages-clés"/>
      <w:bookmarkStart w:id="1" w:name="_Toc224649928"/>
      <w:r>
        <w:t>Messages clés</w:t>
      </w:r>
      <w:bookmarkEnd w:id="1"/>
    </w:p>
    <w:tbl>
      <w:tblPr>
        <w:tblW w:w="5000" w:type="pct"/>
        <w:tblInd w:w="164" w:type="dxa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val="0000" w:firstRow="0" w:lastRow="0" w:firstColumn="0" w:lastColumn="0" w:noHBand="0" w:noVBand="0"/>
      </w:tblPr>
      <w:tblGrid>
        <w:gridCol w:w="9603"/>
      </w:tblGrid>
      <w:tr w:rsidR="00062B64" w14:paraId="680AF11E" w14:textId="77777777">
        <w:trPr>
          <w:cantSplit/>
        </w:trPr>
        <w:tc>
          <w:tcPr>
            <w:tcW w:w="0" w:type="auto"/>
            <w:shd w:val="clear" w:color="auto" w:fill="DAE6FB"/>
            <w:tcMar>
              <w:top w:w="92" w:type="dxa"/>
              <w:bottom w:w="92" w:type="dxa"/>
            </w:tcMar>
          </w:tcPr>
          <w:p w14:paraId="08BA2430" w14:textId="77777777" w:rsidR="00062B64" w:rsidRDefault="00DE029E">
            <w:pPr>
              <w:pStyle w:val="FirstParagraph"/>
              <w:spacing w:before="16" w:after="16"/>
            </w:pPr>
            <w:r>
              <w:t>Principaux résultats</w:t>
            </w:r>
          </w:p>
        </w:tc>
      </w:tr>
      <w:tr w:rsidR="00062B64" w14:paraId="1818E9AF" w14:textId="77777777">
        <w:trPr>
          <w:cantSplit/>
        </w:trPr>
        <w:tc>
          <w:tcPr>
            <w:tcW w:w="0" w:type="auto"/>
            <w:tcMar>
              <w:top w:w="108" w:type="dxa"/>
              <w:bottom w:w="108" w:type="dxa"/>
            </w:tcMar>
          </w:tcPr>
          <w:p w14:paraId="06D10822" w14:textId="77777777" w:rsidR="00062B64" w:rsidRDefault="00DE029E">
            <w:pPr>
              <w:pStyle w:val="Corpsdetexte"/>
              <w:spacing w:before="16"/>
            </w:pPr>
            <w:r>
              <w:rPr>
                <w:b/>
                <w:bCs/>
              </w:rPr>
              <w:t>Structure démographique</w:t>
            </w:r>
          </w:p>
          <w:p w14:paraId="1C31B9F9" w14:textId="77777777" w:rsidR="00062B64" w:rsidRDefault="00DE029E">
            <w:pPr>
              <w:numPr>
                <w:ilvl w:val="0"/>
                <w:numId w:val="2"/>
              </w:numPr>
            </w:pPr>
            <w:r>
              <w:t xml:space="preserve">La population nigériane est </w:t>
            </w:r>
            <w:r>
              <w:rPr>
                <w:b/>
                <w:bCs/>
              </w:rPr>
              <w:t>très jeune</w:t>
            </w:r>
            <w:r>
              <w:t xml:space="preserve"> : âge médian de </w:t>
            </w:r>
            <w:r>
              <w:rPr>
                <w:b/>
                <w:bCs/>
              </w:rPr>
              <w:t>18 ans</w:t>
            </w:r>
            <w:r>
              <w:t>, reflet d’une fécondité élevée (ISF ≈ 5,3 en 2018, DHS Nigeria).</w:t>
            </w:r>
          </w:p>
          <w:p w14:paraId="3AB85315" w14:textId="77777777" w:rsidR="00062B64" w:rsidRDefault="00DE029E">
            <w:pPr>
              <w:numPr>
                <w:ilvl w:val="0"/>
                <w:numId w:val="2"/>
              </w:numPr>
            </w:pPr>
            <w:r>
              <w:rPr>
                <w:b/>
                <w:bCs/>
              </w:rPr>
              <w:t>Équilibre des sexes</w:t>
            </w:r>
            <w:r>
              <w:t xml:space="preserve"> quasi parfait : 49.8% d’hommes, 50.2% de femmes.</w:t>
            </w:r>
          </w:p>
          <w:p w14:paraId="4C582D5C" w14:textId="77777777" w:rsidR="00062B64" w:rsidRDefault="00DE029E">
            <w:pPr>
              <w:pStyle w:val="FirstParagraph"/>
            </w:pPr>
            <w:r>
              <w:rPr>
                <w:b/>
                <w:bCs/>
              </w:rPr>
              <w:t>Composition des ménages</w:t>
            </w:r>
          </w:p>
          <w:p w14:paraId="6DD10F5D" w14:textId="77777777" w:rsidR="00062B64" w:rsidRDefault="00DE029E">
            <w:pPr>
              <w:numPr>
                <w:ilvl w:val="0"/>
                <w:numId w:val="3"/>
              </w:numPr>
            </w:pPr>
            <w:r>
              <w:t xml:space="preserve">Les </w:t>
            </w:r>
            <w:r>
              <w:rPr>
                <w:b/>
                <w:bCs/>
              </w:rPr>
              <w:t>enfants</w:t>
            </w:r>
            <w:r>
              <w:t xml:space="preserve"> représentent </w:t>
            </w:r>
            <w:r>
              <w:rPr>
                <w:b/>
                <w:bCs/>
              </w:rPr>
              <w:t>55.6%</w:t>
            </w:r>
            <w:r>
              <w:t xml:space="preserve"> des membres — plus de la moitié de la population enquêtée.</w:t>
            </w:r>
          </w:p>
          <w:p w14:paraId="0847670A" w14:textId="77777777" w:rsidR="00062B64" w:rsidRDefault="00DE029E">
            <w:pPr>
              <w:numPr>
                <w:ilvl w:val="0"/>
                <w:numId w:val="3"/>
              </w:numPr>
            </w:pPr>
            <w:r>
              <w:t xml:space="preserve">Taille médiane des ménages : </w:t>
            </w:r>
            <w:r>
              <w:rPr>
                <w:b/>
                <w:bCs/>
              </w:rPr>
              <w:t>5 membres</w:t>
            </w:r>
            <w:r>
              <w:t xml:space="preserve"> (niveau ménage).</w:t>
            </w:r>
          </w:p>
          <w:p w14:paraId="36488EAD" w14:textId="77777777" w:rsidR="00062B64" w:rsidRDefault="00DE029E">
            <w:pPr>
              <w:pStyle w:val="FirstParagraph"/>
            </w:pPr>
            <w:r>
              <w:rPr>
                <w:b/>
                <w:bCs/>
              </w:rPr>
              <w:t>Disparités rural-urbain</w:t>
            </w:r>
          </w:p>
          <w:p w14:paraId="1896447D" w14:textId="77777777" w:rsidR="00062B64" w:rsidRDefault="00DE029E">
            <w:pPr>
              <w:numPr>
                <w:ilvl w:val="0"/>
                <w:numId w:val="4"/>
              </w:numPr>
            </w:pPr>
            <w:r>
              <w:t xml:space="preserve">Les ménages </w:t>
            </w:r>
            <w:r>
              <w:rPr>
                <w:b/>
                <w:bCs/>
              </w:rPr>
              <w:t>ruraux</w:t>
            </w:r>
            <w:r>
              <w:t xml:space="preserve"> sont </w:t>
            </w:r>
            <w:r>
              <w:rPr>
                <w:b/>
                <w:bCs/>
              </w:rPr>
              <w:t>plus grands</w:t>
            </w:r>
            <w:r>
              <w:t xml:space="preserve"> (médiane = 5) que les ména</w:t>
            </w:r>
            <w:r>
              <w:t xml:space="preserve">ges </w:t>
            </w:r>
            <w:r>
              <w:rPr>
                <w:b/>
                <w:bCs/>
              </w:rPr>
              <w:t>urbains</w:t>
            </w:r>
            <w:r>
              <w:t xml:space="preserve"> (médiane = 4).</w:t>
            </w:r>
          </w:p>
          <w:p w14:paraId="57CE2761" w14:textId="77777777" w:rsidR="00062B64" w:rsidRDefault="00DE029E">
            <w:pPr>
              <w:numPr>
                <w:ilvl w:val="0"/>
                <w:numId w:val="4"/>
              </w:numPr>
            </w:pPr>
            <w:r>
              <w:t xml:space="preserve">La population </w:t>
            </w:r>
            <w:r>
              <w:rPr>
                <w:b/>
                <w:bCs/>
              </w:rPr>
              <w:t>rurale</w:t>
            </w:r>
            <w:r>
              <w:t xml:space="preserve"> est </w:t>
            </w:r>
            <w:r>
              <w:rPr>
                <w:b/>
                <w:bCs/>
              </w:rPr>
              <w:t>plus jeune</w:t>
            </w:r>
            <w:r>
              <w:t xml:space="preserve"> (médiane = 17 ans) que la population </w:t>
            </w:r>
            <w:r>
              <w:rPr>
                <w:b/>
                <w:bCs/>
              </w:rPr>
              <w:t>urbaine</w:t>
            </w:r>
            <w:r>
              <w:t xml:space="preserve"> (médiane = 20 ans).</w:t>
            </w:r>
          </w:p>
          <w:p w14:paraId="1AC9A861" w14:textId="77777777" w:rsidR="00062B64" w:rsidRDefault="00DE029E">
            <w:pPr>
              <w:numPr>
                <w:ilvl w:val="0"/>
                <w:numId w:val="4"/>
              </w:numPr>
            </w:pPr>
            <w:r>
              <w:t xml:space="preserve">Ces différences sont </w:t>
            </w:r>
            <w:r>
              <w:rPr>
                <w:b/>
                <w:bCs/>
              </w:rPr>
              <w:t>statistiquement significatives</w:t>
            </w:r>
            <w:r>
              <w:t xml:space="preserve"> (test de Wilcoxon, p &lt; 0,001) mais d’</w:t>
            </w:r>
            <w:r>
              <w:rPr>
                <w:b/>
                <w:bCs/>
              </w:rPr>
              <w:t>ampleur modeste</w:t>
            </w:r>
            <w:r>
              <w:t xml:space="preserve"> (r &lt; 0,15, Cohen 1988).</w:t>
            </w:r>
          </w:p>
          <w:p w14:paraId="454D598B" w14:textId="77777777" w:rsidR="00062B64" w:rsidRDefault="00DE029E">
            <w:pPr>
              <w:pStyle w:val="FirstParagraph"/>
            </w:pPr>
            <w:r>
              <w:rPr>
                <w:b/>
                <w:bCs/>
              </w:rPr>
              <w:t>Qualité des données</w:t>
            </w:r>
          </w:p>
          <w:p w14:paraId="43710E33" w14:textId="77777777" w:rsidR="00062B64" w:rsidRDefault="00DE029E">
            <w:pPr>
              <w:pStyle w:val="Compact"/>
              <w:numPr>
                <w:ilvl w:val="0"/>
                <w:numId w:val="5"/>
              </w:numPr>
            </w:pPr>
            <w:r>
              <w:t>4 570 membres non résidents exclus (filtre s1q4a == 1). Un âge aberrant de 130 ans recodé en NA — individu conservé.</w:t>
            </w:r>
          </w:p>
          <w:p w14:paraId="633A9929" w14:textId="77777777" w:rsidR="00062B64" w:rsidRDefault="00DE029E">
            <w:pPr>
              <w:pStyle w:val="Compact"/>
              <w:numPr>
                <w:ilvl w:val="0"/>
                <w:numId w:val="5"/>
              </w:numPr>
            </w:pPr>
            <w:r>
              <w:t>45 ménages d’attrition totale identifiés (taux de complétion post-harvest : 99,1%).</w:t>
            </w:r>
          </w:p>
          <w:p w14:paraId="5A12A38B" w14:textId="77777777" w:rsidR="00062B64" w:rsidRDefault="00DE029E">
            <w:pPr>
              <w:pStyle w:val="Compact"/>
              <w:numPr>
                <w:ilvl w:val="0"/>
                <w:numId w:val="5"/>
              </w:numPr>
            </w:pPr>
            <w:r>
              <w:t>0 doublon sur la clé hhid + indiv.</w:t>
            </w:r>
          </w:p>
        </w:tc>
      </w:tr>
    </w:tbl>
    <w:p w14:paraId="0EC99E6B" w14:textId="77777777" w:rsidR="00062B64" w:rsidRDefault="00DE029E">
      <w:r>
        <w:br w:type="page"/>
      </w:r>
    </w:p>
    <w:p w14:paraId="67CF190E" w14:textId="77777777" w:rsidR="00062B64" w:rsidRDefault="00DE029E">
      <w:pPr>
        <w:pStyle w:val="Titre1"/>
      </w:pPr>
      <w:bookmarkStart w:id="2" w:name="introduction"/>
      <w:bookmarkStart w:id="3" w:name="_Toc224649929"/>
      <w:bookmarkEnd w:id="0"/>
      <w:r>
        <w:t>1. Introduction</w:t>
      </w:r>
      <w:bookmarkEnd w:id="3"/>
    </w:p>
    <w:p w14:paraId="0F01120B" w14:textId="77777777" w:rsidR="00062B64" w:rsidRDefault="00DE029E">
      <w:pPr>
        <w:pStyle w:val="Titre2"/>
      </w:pPr>
      <w:bookmarkStart w:id="4" w:name="contexte"/>
      <w:bookmarkStart w:id="5" w:name="_Toc224649930"/>
      <w:r>
        <w:t>1.1 Contexte</w:t>
      </w:r>
      <w:bookmarkEnd w:id="5"/>
    </w:p>
    <w:p w14:paraId="371DEF50" w14:textId="77777777" w:rsidR="00062B64" w:rsidRDefault="00DE029E">
      <w:pPr>
        <w:pStyle w:val="FirstParagraph"/>
      </w:pPr>
      <w:r>
        <w:t xml:space="preserve">Le Nigeria, avec ses 200 millions d’habitants en 2018, est le pays le plus peuplé d’Afrique (World Bank, 2018). Sa structure démographique se caractérise par une </w:t>
      </w:r>
      <w:r>
        <w:rPr>
          <w:b/>
          <w:bCs/>
        </w:rPr>
        <w:t>forte fécondité</w:t>
      </w:r>
      <w:r>
        <w:t xml:space="preserve"> </w:t>
      </w:r>
      <w:r>
        <w:t xml:space="preserve">(Indice Synthétique de Fécondité ≈ 5,3 enfants par femme) et une </w:t>
      </w:r>
      <w:r>
        <w:rPr>
          <w:b/>
          <w:bCs/>
        </w:rPr>
        <w:t>population très jeune</w:t>
      </w:r>
      <w:r>
        <w:t xml:space="preserve"> (âge médian national de 17,9 ans selon le DHS Nigeria 2018), typique des pays en </w:t>
      </w:r>
      <w:r>
        <w:rPr>
          <w:b/>
          <w:bCs/>
        </w:rPr>
        <w:t>transition démographique précoce</w:t>
      </w:r>
      <w:r>
        <w:t>.</w:t>
      </w:r>
    </w:p>
    <w:p w14:paraId="12729633" w14:textId="77777777" w:rsidR="00062B64" w:rsidRDefault="00DE029E">
      <w:pPr>
        <w:pStyle w:val="Corpsdetexte"/>
      </w:pPr>
      <w:r>
        <w:t>Les ménages nigérians présentent des configurations va</w:t>
      </w:r>
      <w:r>
        <w:t xml:space="preserve">riées selon le milieu de résidence (rural/urbain), la zone géopolitique (Nord/Sud), et le niveau socio-économique. Comprendre cette </w:t>
      </w:r>
      <w:r>
        <w:rPr>
          <w:b/>
          <w:bCs/>
        </w:rPr>
        <w:t>diversité démographique</w:t>
      </w:r>
      <w:r>
        <w:t xml:space="preserve"> est essentiel pour concevoir des </w:t>
      </w:r>
      <w:r>
        <w:rPr>
          <w:b/>
          <w:bCs/>
        </w:rPr>
        <w:t>politiques publiques ciblées</w:t>
      </w:r>
      <w:r>
        <w:t xml:space="preserve"> </w:t>
      </w:r>
      <w:r>
        <w:t>en éducation, santé, emploi et protection sociale.</w:t>
      </w:r>
    </w:p>
    <w:p w14:paraId="50F8D69A" w14:textId="77777777" w:rsidR="00062B64" w:rsidRDefault="00DE029E">
      <w:pPr>
        <w:pStyle w:val="Titre2"/>
      </w:pPr>
      <w:bookmarkStart w:id="6" w:name="objectifs"/>
      <w:bookmarkStart w:id="7" w:name="_Toc224649931"/>
      <w:bookmarkEnd w:id="4"/>
      <w:r>
        <w:t>1.2 Objectifs</w:t>
      </w:r>
      <w:bookmarkEnd w:id="7"/>
    </w:p>
    <w:p w14:paraId="754DB4FF" w14:textId="77777777" w:rsidR="00062B64" w:rsidRDefault="00DE029E">
      <w:pPr>
        <w:pStyle w:val="FirstParagraph"/>
      </w:pPr>
      <w:r>
        <w:t xml:space="preserve">Cette analyse vise à dresser un </w:t>
      </w:r>
      <w:r>
        <w:rPr>
          <w:b/>
          <w:bCs/>
        </w:rPr>
        <w:t>profil démographique détaillé</w:t>
      </w:r>
      <w:r>
        <w:t xml:space="preserve"> des ménages nigérians à partir du </w:t>
      </w:r>
      <w:r>
        <w:rPr>
          <w:b/>
          <w:bCs/>
        </w:rPr>
        <w:t>Nigeria General Household Survey Panel Wave 4 (2018-2019)</w:t>
      </w:r>
      <w:r>
        <w:t>, en documentant :</w:t>
      </w:r>
    </w:p>
    <w:p w14:paraId="41259FC9" w14:textId="77777777" w:rsidR="00062B64" w:rsidRDefault="00DE029E">
      <w:pPr>
        <w:pStyle w:val="Compact"/>
        <w:numPr>
          <w:ilvl w:val="0"/>
          <w:numId w:val="6"/>
        </w:numPr>
      </w:pPr>
      <w:r>
        <w:t xml:space="preserve">La </w:t>
      </w:r>
      <w:r>
        <w:rPr>
          <w:b/>
          <w:bCs/>
        </w:rPr>
        <w:t xml:space="preserve">distribution de </w:t>
      </w:r>
      <w:r>
        <w:rPr>
          <w:b/>
          <w:bCs/>
        </w:rPr>
        <w:t>l’âge</w:t>
      </w:r>
      <w:r>
        <w:t xml:space="preserve"> et sa conformité à une loi normale (test de Shapiro-Wilk) ;</w:t>
      </w:r>
    </w:p>
    <w:p w14:paraId="5B6FB351" w14:textId="77777777" w:rsidR="00062B64" w:rsidRDefault="00DE029E">
      <w:pPr>
        <w:pStyle w:val="Compact"/>
        <w:numPr>
          <w:ilvl w:val="0"/>
          <w:numId w:val="6"/>
        </w:numPr>
      </w:pPr>
      <w:r>
        <w:t xml:space="preserve">La </w:t>
      </w:r>
      <w:r>
        <w:rPr>
          <w:b/>
          <w:bCs/>
        </w:rPr>
        <w:t>structure par âge et sexe</w:t>
      </w:r>
      <w:r>
        <w:t xml:space="preserve"> via une pyramide démographique ;</w:t>
      </w:r>
    </w:p>
    <w:p w14:paraId="673F0756" w14:textId="77777777" w:rsidR="00062B64" w:rsidRDefault="00DE029E">
      <w:pPr>
        <w:pStyle w:val="Compact"/>
        <w:numPr>
          <w:ilvl w:val="0"/>
          <w:numId w:val="6"/>
        </w:numPr>
      </w:pPr>
      <w:r>
        <w:t xml:space="preserve">La </w:t>
      </w:r>
      <w:r>
        <w:rPr>
          <w:b/>
          <w:bCs/>
        </w:rPr>
        <w:t>composition des ménages</w:t>
      </w:r>
      <w:r>
        <w:t xml:space="preserve"> selon le lien de parenté avec le chef de ménage ;</w:t>
      </w:r>
    </w:p>
    <w:p w14:paraId="78095112" w14:textId="77777777" w:rsidR="00062B64" w:rsidRDefault="00DE029E">
      <w:pPr>
        <w:pStyle w:val="Compact"/>
        <w:numPr>
          <w:ilvl w:val="0"/>
          <w:numId w:val="6"/>
        </w:numPr>
      </w:pPr>
      <w:r>
        <w:t xml:space="preserve">Les </w:t>
      </w:r>
      <w:r>
        <w:rPr>
          <w:b/>
          <w:bCs/>
        </w:rPr>
        <w:t>disparités rural-urbain</w:t>
      </w:r>
      <w:r>
        <w:t xml:space="preserve"> de taille de ménage (te</w:t>
      </w:r>
      <w:r>
        <w:t>st de Wilcoxon-Mann-Whitney) ;</w:t>
      </w:r>
    </w:p>
    <w:p w14:paraId="18780FC9" w14:textId="77777777" w:rsidR="00062B64" w:rsidRDefault="00DE029E">
      <w:pPr>
        <w:pStyle w:val="Compact"/>
        <w:numPr>
          <w:ilvl w:val="0"/>
          <w:numId w:val="6"/>
        </w:numPr>
      </w:pPr>
      <w:r>
        <w:t xml:space="preserve">Les </w:t>
      </w:r>
      <w:r>
        <w:rPr>
          <w:b/>
          <w:bCs/>
        </w:rPr>
        <w:t>caractéristiques démographiques</w:t>
      </w:r>
      <w:r>
        <w:t xml:space="preserve"> stratifiées par milieu de résidence (tableau gtsummary).</w:t>
      </w:r>
    </w:p>
    <w:p w14:paraId="51024964" w14:textId="77777777" w:rsidR="00062B64" w:rsidRDefault="00DE029E">
      <w:pPr>
        <w:pStyle w:val="Titre2"/>
      </w:pPr>
      <w:bookmarkStart w:id="8" w:name="questions-analytiques"/>
      <w:bookmarkStart w:id="9" w:name="_Toc224649932"/>
      <w:bookmarkEnd w:id="6"/>
      <w:r>
        <w:t>1.3 Questions analytiques</w:t>
      </w:r>
      <w:bookmarkEnd w:id="9"/>
    </w:p>
    <w:p w14:paraId="5FC66415" w14:textId="77777777" w:rsidR="00062B64" w:rsidRDefault="00DE029E">
      <w:pPr>
        <w:pStyle w:val="Compact"/>
        <w:numPr>
          <w:ilvl w:val="0"/>
          <w:numId w:val="7"/>
        </w:numPr>
      </w:pPr>
      <w:r>
        <w:t>La distribution de l’âge suit-elle une loi normale ?</w:t>
      </w:r>
    </w:p>
    <w:p w14:paraId="58FA62E7" w14:textId="77777777" w:rsidR="00062B64" w:rsidRDefault="00DE029E">
      <w:pPr>
        <w:pStyle w:val="Compact"/>
        <w:numPr>
          <w:ilvl w:val="0"/>
          <w:numId w:val="7"/>
        </w:numPr>
      </w:pPr>
      <w:r>
        <w:t xml:space="preserve">Existe-t-il des différences significatives de taille </w:t>
      </w:r>
      <w:r>
        <w:t>de ménage entre milieux rural et urbain ?</w:t>
      </w:r>
    </w:p>
    <w:p w14:paraId="18B119A1" w14:textId="77777777" w:rsidR="00062B64" w:rsidRDefault="00DE029E">
      <w:pPr>
        <w:pStyle w:val="Compact"/>
        <w:numPr>
          <w:ilvl w:val="0"/>
          <w:numId w:val="7"/>
        </w:numPr>
      </w:pPr>
      <w:r>
        <w:t>Quelle est l’ampleur de ces différences et quelles en sont les implications ?</w:t>
      </w:r>
    </w:p>
    <w:p w14:paraId="5D30E391" w14:textId="77777777" w:rsidR="00062B64" w:rsidRDefault="00DE029E">
      <w:r>
        <w:br w:type="page"/>
      </w:r>
    </w:p>
    <w:p w14:paraId="379726B7" w14:textId="77777777" w:rsidR="00062B64" w:rsidRDefault="00DE029E">
      <w:pPr>
        <w:pStyle w:val="Titre1"/>
      </w:pPr>
      <w:bookmarkStart w:id="10" w:name="données-et-méthodes"/>
      <w:bookmarkStart w:id="11" w:name="_Toc224649933"/>
      <w:bookmarkEnd w:id="2"/>
      <w:bookmarkEnd w:id="8"/>
      <w:r>
        <w:t>2. Données et méthodes</w:t>
      </w:r>
      <w:bookmarkEnd w:id="11"/>
    </w:p>
    <w:p w14:paraId="3CB509AE" w14:textId="77777777" w:rsidR="00062B64" w:rsidRDefault="00DE029E">
      <w:pPr>
        <w:pStyle w:val="Titre2"/>
      </w:pPr>
      <w:bookmarkStart w:id="12" w:name="source-des-données"/>
      <w:bookmarkStart w:id="13" w:name="_Toc224649934"/>
      <w:r>
        <w:t>2.1 Source des données</w:t>
      </w:r>
      <w:bookmarkEnd w:id="13"/>
    </w:p>
    <w:p w14:paraId="084131D4" w14:textId="77777777" w:rsidR="00062B64" w:rsidRDefault="00DE029E">
      <w:pPr>
        <w:pStyle w:val="FirstParagraph"/>
      </w:pPr>
      <w:r>
        <w:t xml:space="preserve">L’analyse repose sur le </w:t>
      </w:r>
      <w:r>
        <w:rPr>
          <w:b/>
          <w:bCs/>
        </w:rPr>
        <w:t>Nigeria General Household Survey Panel Wave 4</w:t>
      </w:r>
      <w:r>
        <w:t xml:space="preserve"> (GHS-Panel W4), co</w:t>
      </w:r>
      <w:r>
        <w:t xml:space="preserve">llecté entre août 2018 et avril 2019 par le </w:t>
      </w:r>
      <w:r>
        <w:rPr>
          <w:b/>
          <w:bCs/>
        </w:rPr>
        <w:t>National Bureau of Statistics (NBS)</w:t>
      </w:r>
      <w:r>
        <w:t xml:space="preserve"> en collaboration avec la </w:t>
      </w:r>
      <w:r>
        <w:rPr>
          <w:b/>
          <w:bCs/>
        </w:rPr>
        <w:t>Banque Mondiale</w:t>
      </w:r>
      <w:r>
        <w:t xml:space="preserve"> (programme LSMS-ISA, DOI : 10.48529/1hgw-dq47, version 03 — octobre 2021).</w:t>
      </w:r>
    </w:p>
    <w:p w14:paraId="48214EC8" w14:textId="77777777" w:rsidR="00062B64" w:rsidRDefault="00DE029E">
      <w:pPr>
        <w:pStyle w:val="Titre3"/>
      </w:pPr>
      <w:bookmarkStart w:id="14" w:name="couverture-de-lenquête"/>
      <w:bookmarkStart w:id="15" w:name="_Toc224649935"/>
      <w:r>
        <w:t>2.1.1 Couverture de l’enquête</w:t>
      </w:r>
      <w:bookmarkEnd w:id="15"/>
    </w:p>
    <w:p w14:paraId="40D83469" w14:textId="77777777" w:rsidR="00062B64" w:rsidRDefault="00DE029E">
      <w:pPr>
        <w:pStyle w:val="Compact"/>
        <w:numPr>
          <w:ilvl w:val="0"/>
          <w:numId w:val="8"/>
        </w:numPr>
      </w:pPr>
      <w:r>
        <w:rPr>
          <w:b/>
          <w:bCs/>
        </w:rPr>
        <w:t>Ménages dans le fichier Root</w:t>
      </w:r>
      <w:r>
        <w:t xml:space="preserve"> :</w:t>
      </w:r>
      <w:r>
        <w:t xml:space="preserve"> 5 025 (secta_harvestw4)</w:t>
      </w:r>
    </w:p>
    <w:p w14:paraId="415F6D3F" w14:textId="77777777" w:rsidR="00062B64" w:rsidRDefault="00DE029E">
      <w:pPr>
        <w:pStyle w:val="Compact"/>
        <w:numPr>
          <w:ilvl w:val="0"/>
          <w:numId w:val="8"/>
        </w:numPr>
      </w:pPr>
      <w:r>
        <w:rPr>
          <w:b/>
          <w:bCs/>
        </w:rPr>
        <w:t>Ménages interviewés</w:t>
      </w:r>
      <w:r>
        <w:t xml:space="preserve"> : 4 978 (taux de complétion post-harvest : 99,1%)</w:t>
      </w:r>
    </w:p>
    <w:p w14:paraId="04EEE035" w14:textId="77777777" w:rsidR="00062B64" w:rsidRDefault="00DE029E">
      <w:pPr>
        <w:pStyle w:val="Compact"/>
        <w:numPr>
          <w:ilvl w:val="0"/>
          <w:numId w:val="8"/>
        </w:numPr>
      </w:pPr>
      <w:r>
        <w:rPr>
          <w:b/>
          <w:bCs/>
        </w:rPr>
        <w:t>Membres résidents actifs</w:t>
      </w:r>
      <w:r>
        <w:t xml:space="preserve"> : 25 767 (après filtre s1q4a == 1)</w:t>
      </w:r>
    </w:p>
    <w:p w14:paraId="5B1C0E52" w14:textId="77777777" w:rsidR="00062B64" w:rsidRDefault="00DE029E">
      <w:pPr>
        <w:pStyle w:val="Compact"/>
        <w:numPr>
          <w:ilvl w:val="0"/>
          <w:numId w:val="8"/>
        </w:numPr>
      </w:pPr>
      <w:r>
        <w:rPr>
          <w:b/>
          <w:bCs/>
        </w:rPr>
        <w:t>Membres non résidents exclus</w:t>
      </w:r>
      <w:r>
        <w:t xml:space="preserve"> : 4 570 (partis, décédés, mariés hors ménage)</w:t>
      </w:r>
    </w:p>
    <w:p w14:paraId="5E5E3B0D" w14:textId="77777777" w:rsidR="00062B64" w:rsidRDefault="00DE029E">
      <w:pPr>
        <w:pStyle w:val="Compact"/>
        <w:numPr>
          <w:ilvl w:val="0"/>
          <w:numId w:val="8"/>
        </w:numPr>
      </w:pPr>
      <w:r>
        <w:rPr>
          <w:b/>
          <w:bCs/>
        </w:rPr>
        <w:t>Stratification</w:t>
      </w:r>
      <w:r>
        <w:t xml:space="preserve"> : 6 zones g</w:t>
      </w:r>
      <w:r>
        <w:t>éopolitiques, distinction rural/urbain</w:t>
      </w:r>
    </w:p>
    <w:p w14:paraId="600C44B4" w14:textId="77777777" w:rsidR="00062B64" w:rsidRDefault="00DE029E">
      <w:pPr>
        <w:pStyle w:val="Compact"/>
        <w:numPr>
          <w:ilvl w:val="0"/>
          <w:numId w:val="8"/>
        </w:numPr>
      </w:pPr>
      <w:r>
        <w:rPr>
          <w:b/>
          <w:bCs/>
        </w:rPr>
        <w:t>Attrition totale</w:t>
      </w:r>
      <w:r>
        <w:t xml:space="preserve"> : 45 ménages non interviewés (refus, introuvables, indisponibles)</w:t>
      </w:r>
    </w:p>
    <w:p w14:paraId="51B48535" w14:textId="77777777" w:rsidR="00062B64" w:rsidRDefault="00DE029E">
      <w:pPr>
        <w:pStyle w:val="Titre3"/>
      </w:pPr>
      <w:bookmarkStart w:id="16" w:name="fichiers-utilisés"/>
      <w:bookmarkStart w:id="17" w:name="_Toc224649936"/>
      <w:bookmarkEnd w:id="14"/>
      <w:r>
        <w:t>2.1.2 Fichiers utilisés</w:t>
      </w:r>
      <w:bookmarkEnd w:id="17"/>
    </w:p>
    <w:p w14:paraId="1567179A" w14:textId="77777777" w:rsidR="00062B64" w:rsidRDefault="00DE029E">
      <w:pPr>
        <w:pStyle w:val="Compact"/>
        <w:numPr>
          <w:ilvl w:val="0"/>
          <w:numId w:val="9"/>
        </w:numPr>
      </w:pPr>
      <w:r>
        <w:rPr>
          <w:b/>
          <w:bCs/>
        </w:rPr>
        <w:t>sect1_harvestw4.dta</w:t>
      </w:r>
      <w:r>
        <w:t xml:space="preserve"> </w:t>
      </w:r>
      <w:r>
        <w:t>: roster individuel — âge, sexe, lien de parenté, statut de résidence</w:t>
      </w:r>
    </w:p>
    <w:p w14:paraId="2F011E27" w14:textId="77777777" w:rsidR="00062B64" w:rsidRDefault="00DE029E">
      <w:pPr>
        <w:pStyle w:val="Compact"/>
        <w:numPr>
          <w:ilvl w:val="0"/>
          <w:numId w:val="9"/>
        </w:numPr>
      </w:pPr>
      <w:r>
        <w:rPr>
          <w:b/>
          <w:bCs/>
        </w:rPr>
        <w:t>secta_harvestw4.dta</w:t>
      </w:r>
      <w:r>
        <w:t xml:space="preserve"> : fichier Root — poids, géographie, résultats d’interview (validation de cohérence)</w:t>
      </w:r>
    </w:p>
    <w:p w14:paraId="58EE8247" w14:textId="77777777" w:rsidR="00062B64" w:rsidRDefault="00DE029E">
      <w:pPr>
        <w:pStyle w:val="Titre2"/>
      </w:pPr>
      <w:bookmarkStart w:id="18" w:name="variables-analysées"/>
      <w:bookmarkStart w:id="19" w:name="_Toc224649937"/>
      <w:bookmarkEnd w:id="12"/>
      <w:bookmarkEnd w:id="16"/>
      <w:r>
        <w:t>2.2 Variables analysées</w:t>
      </w:r>
      <w:bookmarkEnd w:id="19"/>
    </w:p>
    <w:tbl>
      <w:tblPr>
        <w:tblStyle w:val="TableauGrille1Clair-Accentuation1"/>
        <w:tblW w:w="5000" w:type="pct"/>
        <w:tblLayout w:type="fixed"/>
        <w:tblLook w:val="0000" w:firstRow="0" w:lastRow="0" w:firstColumn="0" w:lastColumn="0" w:noHBand="0" w:noVBand="0"/>
      </w:tblPr>
      <w:tblGrid>
        <w:gridCol w:w="9628"/>
      </w:tblGrid>
      <w:tr w:rsidR="00062B64" w14:paraId="5B4E79F1" w14:textId="77777777" w:rsidTr="00D162EC">
        <w:tc>
          <w:tcPr>
            <w:tcW w:w="7920" w:type="dxa"/>
          </w:tcPr>
          <w:p w14:paraId="5108BBE7" w14:textId="77777777" w:rsidR="00062B64" w:rsidRDefault="00DE029E">
            <w:pPr>
              <w:pStyle w:val="ImageCaption"/>
              <w:spacing w:before="200"/>
              <w:jc w:val="left"/>
            </w:pPr>
            <w:bookmarkStart w:id="20" w:name="tbl-variables"/>
            <w:r>
              <w:t>Table 1: Variables clés de l’analyse</w:t>
            </w:r>
          </w:p>
          <w:tbl>
            <w:tblPr>
              <w:tblStyle w:val="TableauGrille1Clair-Accentuation5"/>
              <w:tblW w:w="5000" w:type="pct"/>
              <w:tblLayout w:type="fixed"/>
              <w:tblLook w:val="0020" w:firstRow="1" w:lastRow="0" w:firstColumn="0" w:lastColumn="0" w:noHBand="0" w:noVBand="0"/>
            </w:tblPr>
            <w:tblGrid>
              <w:gridCol w:w="1804"/>
              <w:gridCol w:w="1330"/>
              <w:gridCol w:w="6268"/>
            </w:tblGrid>
            <w:tr w:rsidR="00062B64" w14:paraId="39645BFD" w14:textId="77777777" w:rsidTr="00D162E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tcW w:w="1520" w:type="dxa"/>
                </w:tcPr>
                <w:p w14:paraId="571D6C27" w14:textId="77777777" w:rsidR="00062B64" w:rsidRDefault="00DE029E">
                  <w:pPr>
                    <w:pStyle w:val="Compact"/>
                    <w:jc w:val="center"/>
                  </w:pPr>
                  <w:r>
                    <w:t>Variable</w:t>
                  </w:r>
                </w:p>
              </w:tc>
              <w:tc>
                <w:tcPr>
                  <w:tcW w:w="1120" w:type="dxa"/>
                </w:tcPr>
                <w:p w14:paraId="1ECAE8D7" w14:textId="77777777" w:rsidR="00062B64" w:rsidRDefault="00DE029E">
                  <w:pPr>
                    <w:pStyle w:val="Compact"/>
                    <w:jc w:val="center"/>
                  </w:pPr>
                  <w:r>
                    <w:t>Type</w:t>
                  </w:r>
                </w:p>
              </w:tc>
              <w:tc>
                <w:tcPr>
                  <w:tcW w:w="5280" w:type="dxa"/>
                </w:tcPr>
                <w:p w14:paraId="69533D52" w14:textId="77777777" w:rsidR="00062B64" w:rsidRDefault="00DE029E">
                  <w:pPr>
                    <w:pStyle w:val="Compact"/>
                    <w:jc w:val="center"/>
                  </w:pPr>
                  <w:r>
                    <w:t>Codage</w:t>
                  </w:r>
                </w:p>
              </w:tc>
            </w:tr>
            <w:tr w:rsidR="00062B64" w14:paraId="21781BC9" w14:textId="77777777" w:rsidTr="00D162EC">
              <w:tc>
                <w:tcPr>
                  <w:tcW w:w="1520" w:type="dxa"/>
                </w:tcPr>
                <w:p w14:paraId="5A29D3A6" w14:textId="77777777" w:rsidR="00062B64" w:rsidRDefault="00DE029E"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>s1q4</w:t>
                  </w:r>
                </w:p>
              </w:tc>
              <w:tc>
                <w:tcPr>
                  <w:tcW w:w="1120" w:type="dxa"/>
                </w:tcPr>
                <w:p w14:paraId="11A95FE0" w14:textId="77777777" w:rsidR="00062B64" w:rsidRDefault="00DE029E">
                  <w:pPr>
                    <w:pStyle w:val="Compact"/>
                    <w:jc w:val="center"/>
                  </w:pPr>
                  <w:r>
                    <w:t>Continue</w:t>
                  </w:r>
                </w:p>
              </w:tc>
              <w:tc>
                <w:tcPr>
                  <w:tcW w:w="5280" w:type="dxa"/>
                </w:tcPr>
                <w:p w14:paraId="29CFBC50" w14:textId="77777777" w:rsidR="00062B64" w:rsidRDefault="00DE029E">
                  <w:pPr>
                    <w:pStyle w:val="Compact"/>
                    <w:jc w:val="center"/>
                  </w:pPr>
                  <w:r>
                    <w:t>Âge en années complètes (0–100, après correction)</w:t>
                  </w:r>
                </w:p>
              </w:tc>
            </w:tr>
            <w:tr w:rsidR="00062B64" w14:paraId="4C23D24F" w14:textId="77777777" w:rsidTr="00D162EC">
              <w:tc>
                <w:tcPr>
                  <w:tcW w:w="1520" w:type="dxa"/>
                </w:tcPr>
                <w:p w14:paraId="17CEB5E1" w14:textId="77777777" w:rsidR="00062B64" w:rsidRDefault="00DE029E"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>s1q2</w:t>
                  </w:r>
                </w:p>
              </w:tc>
              <w:tc>
                <w:tcPr>
                  <w:tcW w:w="1120" w:type="dxa"/>
                </w:tcPr>
                <w:p w14:paraId="702433A1" w14:textId="77777777" w:rsidR="00062B64" w:rsidRDefault="00DE029E">
                  <w:pPr>
                    <w:pStyle w:val="Compact"/>
                    <w:jc w:val="center"/>
                  </w:pPr>
                  <w:r>
                    <w:t>Catégorielle</w:t>
                  </w:r>
                </w:p>
              </w:tc>
              <w:tc>
                <w:tcPr>
                  <w:tcW w:w="5280" w:type="dxa"/>
                </w:tcPr>
                <w:p w14:paraId="37DD9EDA" w14:textId="77777777" w:rsidR="00062B64" w:rsidRDefault="00DE029E">
                  <w:pPr>
                    <w:pStyle w:val="Compact"/>
                    <w:jc w:val="center"/>
                  </w:pPr>
                  <w:r>
                    <w:t>Sexe : 1 = Homme, 2 = Femme</w:t>
                  </w:r>
                </w:p>
              </w:tc>
            </w:tr>
            <w:tr w:rsidR="00062B64" w14:paraId="6F823046" w14:textId="77777777" w:rsidTr="00D162EC">
              <w:tc>
                <w:tcPr>
                  <w:tcW w:w="1520" w:type="dxa"/>
                </w:tcPr>
                <w:p w14:paraId="1547F49F" w14:textId="77777777" w:rsidR="00062B64" w:rsidRDefault="00DE029E"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>s1q3</w:t>
                  </w:r>
                </w:p>
              </w:tc>
              <w:tc>
                <w:tcPr>
                  <w:tcW w:w="1120" w:type="dxa"/>
                </w:tcPr>
                <w:p w14:paraId="04803C06" w14:textId="77777777" w:rsidR="00062B64" w:rsidRDefault="00DE029E">
                  <w:pPr>
                    <w:pStyle w:val="Compact"/>
                    <w:jc w:val="center"/>
                  </w:pPr>
                  <w:r>
                    <w:t>Catégorielle</w:t>
                  </w:r>
                </w:p>
              </w:tc>
              <w:tc>
                <w:tcPr>
                  <w:tcW w:w="5280" w:type="dxa"/>
                </w:tcPr>
                <w:p w14:paraId="468B77DD" w14:textId="77777777" w:rsidR="00062B64" w:rsidRDefault="00DE029E">
                  <w:pPr>
                    <w:pStyle w:val="Compact"/>
                    <w:jc w:val="center"/>
                  </w:pPr>
                  <w:r>
                    <w:t>Lien de parenté (14 modalités, regroupées en 4)</w:t>
                  </w:r>
                </w:p>
              </w:tc>
            </w:tr>
            <w:tr w:rsidR="00062B64" w14:paraId="0454D3AD" w14:textId="77777777" w:rsidTr="00D162EC">
              <w:tc>
                <w:tcPr>
                  <w:tcW w:w="1520" w:type="dxa"/>
                </w:tcPr>
                <w:p w14:paraId="7082E935" w14:textId="77777777" w:rsidR="00062B64" w:rsidRDefault="00DE029E"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>sector</w:t>
                  </w:r>
                </w:p>
              </w:tc>
              <w:tc>
                <w:tcPr>
                  <w:tcW w:w="1120" w:type="dxa"/>
                </w:tcPr>
                <w:p w14:paraId="69399927" w14:textId="77777777" w:rsidR="00062B64" w:rsidRDefault="00DE029E">
                  <w:pPr>
                    <w:pStyle w:val="Compact"/>
                    <w:jc w:val="center"/>
                  </w:pPr>
                  <w:r>
                    <w:t>Catégorielle</w:t>
                  </w:r>
                </w:p>
              </w:tc>
              <w:tc>
                <w:tcPr>
                  <w:tcW w:w="5280" w:type="dxa"/>
                </w:tcPr>
                <w:p w14:paraId="61B55398" w14:textId="77777777" w:rsidR="00062B64" w:rsidRDefault="00DE029E">
                  <w:pPr>
                    <w:pStyle w:val="Compact"/>
                    <w:jc w:val="center"/>
                  </w:pPr>
                  <w:r>
                    <w:t>Milieu : 1 = Urbain, 2 = Rural</w:t>
                  </w:r>
                </w:p>
              </w:tc>
            </w:tr>
            <w:tr w:rsidR="00062B64" w14:paraId="3ACC1224" w14:textId="77777777" w:rsidTr="00D162EC">
              <w:tc>
                <w:tcPr>
                  <w:tcW w:w="1520" w:type="dxa"/>
                </w:tcPr>
                <w:p w14:paraId="45494513" w14:textId="77777777" w:rsidR="00062B64" w:rsidRDefault="00DE029E"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>zone</w:t>
                  </w:r>
                </w:p>
              </w:tc>
              <w:tc>
                <w:tcPr>
                  <w:tcW w:w="1120" w:type="dxa"/>
                </w:tcPr>
                <w:p w14:paraId="26EBD0B5" w14:textId="77777777" w:rsidR="00062B64" w:rsidRDefault="00DE029E">
                  <w:pPr>
                    <w:pStyle w:val="Compact"/>
                    <w:jc w:val="center"/>
                  </w:pPr>
                  <w:r>
                    <w:t>Catégorielle</w:t>
                  </w:r>
                </w:p>
              </w:tc>
              <w:tc>
                <w:tcPr>
                  <w:tcW w:w="5280" w:type="dxa"/>
                </w:tcPr>
                <w:p w14:paraId="3FB26B52" w14:textId="77777777" w:rsidR="00062B64" w:rsidRDefault="00DE029E">
                  <w:pPr>
                    <w:pStyle w:val="Compact"/>
                    <w:jc w:val="center"/>
                  </w:pPr>
                  <w:r>
                    <w:t>Zone géopolitique (6 zones)</w:t>
                  </w:r>
                </w:p>
              </w:tc>
            </w:tr>
            <w:tr w:rsidR="00062B64" w14:paraId="4E9F6085" w14:textId="77777777" w:rsidTr="00D162EC">
              <w:tc>
                <w:tcPr>
                  <w:tcW w:w="1520" w:type="dxa"/>
                </w:tcPr>
                <w:p w14:paraId="41E0B164" w14:textId="77777777" w:rsidR="00062B64" w:rsidRDefault="00DE029E">
                  <w:pPr>
                    <w:pStyle w:val="Compact"/>
                    <w:jc w:val="center"/>
                  </w:pPr>
                  <w:r>
                    <w:rPr>
                      <w:b/>
                      <w:bCs/>
                    </w:rPr>
                    <w:t>taille_menage</w:t>
                  </w:r>
                </w:p>
              </w:tc>
              <w:tc>
                <w:tcPr>
                  <w:tcW w:w="1120" w:type="dxa"/>
                </w:tcPr>
                <w:p w14:paraId="640219A6" w14:textId="77777777" w:rsidR="00062B64" w:rsidRDefault="00DE029E">
                  <w:pPr>
                    <w:pStyle w:val="Compact"/>
                    <w:jc w:val="center"/>
                  </w:pPr>
                  <w:r>
                    <w:t>Discrète</w:t>
                  </w:r>
                </w:p>
              </w:tc>
              <w:tc>
                <w:tcPr>
                  <w:tcW w:w="5280" w:type="dxa"/>
                </w:tcPr>
                <w:p w14:paraId="3F9EEAB8" w14:textId="77777777" w:rsidR="00062B64" w:rsidRDefault="00DE029E">
                  <w:pPr>
                    <w:pStyle w:val="Compact"/>
                    <w:jc w:val="center"/>
                  </w:pPr>
                  <w:r>
                    <w:t>Nombre de membres actifs par ménage (agrégée par hhid)</w:t>
                  </w:r>
                </w:p>
              </w:tc>
            </w:tr>
            <w:bookmarkEnd w:id="20"/>
          </w:tbl>
          <w:p w14:paraId="5346B9B0" w14:textId="77777777" w:rsidR="00062B64" w:rsidRDefault="00062B64"/>
        </w:tc>
      </w:tr>
    </w:tbl>
    <w:p w14:paraId="6CA8E6B1" w14:textId="77777777" w:rsidR="00062B64" w:rsidRDefault="00DE029E">
      <w:pPr>
        <w:pStyle w:val="Titre2"/>
      </w:pPr>
      <w:bookmarkStart w:id="21" w:name="traitement-des-données"/>
      <w:bookmarkStart w:id="22" w:name="_Toc224649938"/>
      <w:bookmarkEnd w:id="18"/>
      <w:r>
        <w:t>2.3 Traitement des données</w:t>
      </w:r>
      <w:bookmarkEnd w:id="22"/>
    </w:p>
    <w:p w14:paraId="26A713D5" w14:textId="77777777" w:rsidR="00062B64" w:rsidRDefault="00DE029E">
      <w:pPr>
        <w:pStyle w:val="Titre3"/>
      </w:pPr>
      <w:bookmarkStart w:id="23" w:name="filtrage-et-nettoyage"/>
      <w:bookmarkStart w:id="24" w:name="_Toc224649939"/>
      <w:r>
        <w:t>2.3.1 Filtrage et nettoyage</w:t>
      </w:r>
      <w:bookmarkEnd w:id="24"/>
    </w:p>
    <w:p w14:paraId="72B08BD9" w14:textId="77777777" w:rsidR="00062B64" w:rsidRDefault="00DE029E">
      <w:pPr>
        <w:pStyle w:val="FirstParagraph"/>
      </w:pPr>
      <w:r>
        <w:t xml:space="preserve">Les </w:t>
      </w:r>
      <w:r>
        <w:rPr>
          <w:b/>
          <w:bCs/>
        </w:rPr>
        <w:t>membres non résidents</w:t>
      </w:r>
      <w:r>
        <w:t xml:space="preserve"> (s1q4a != 1) sont exclus — ils présentent des valeurs manquantes structurelles sur toutes les variables démographiques. Un individu présentant un </w:t>
      </w:r>
      <w:r>
        <w:rPr>
          <w:b/>
          <w:bCs/>
        </w:rPr>
        <w:t>âge de 130 ans</w:t>
      </w:r>
      <w:r>
        <w:t xml:space="preserve"> (biologiquement impossible, hhid = 169068, South East) a été recodé en NA</w:t>
      </w:r>
      <w:r>
        <w:t xml:space="preserve"> ; l’individu est conservé dans l’échantillon.</w:t>
      </w:r>
    </w:p>
    <w:p w14:paraId="79F1E9E2" w14:textId="77777777" w:rsidR="00062B64" w:rsidRDefault="00DE029E">
      <w:pPr>
        <w:pStyle w:val="Titre3"/>
      </w:pPr>
      <w:bookmarkStart w:id="25" w:name="construction-des-variables-dérivées"/>
      <w:bookmarkStart w:id="26" w:name="_Toc224649940"/>
      <w:bookmarkEnd w:id="23"/>
      <w:r>
        <w:t>2.3.2 Construction des variables dérivées</w:t>
      </w:r>
      <w:bookmarkEnd w:id="26"/>
    </w:p>
    <w:p w14:paraId="50A66C3A" w14:textId="77777777" w:rsidR="00062B64" w:rsidRDefault="00DE029E">
      <w:pPr>
        <w:pStyle w:val="Compact"/>
        <w:numPr>
          <w:ilvl w:val="0"/>
          <w:numId w:val="10"/>
        </w:numPr>
      </w:pPr>
      <w:r>
        <w:rPr>
          <w:b/>
          <w:bCs/>
        </w:rPr>
        <w:t>sexe</w:t>
      </w:r>
      <w:r>
        <w:t xml:space="preserve"> : recodage de s1q2 en facteur (“Homme”, “Femme”)</w:t>
      </w:r>
    </w:p>
    <w:p w14:paraId="1B92C0EB" w14:textId="77777777" w:rsidR="00062B64" w:rsidRDefault="00DE029E">
      <w:pPr>
        <w:pStyle w:val="Compact"/>
        <w:numPr>
          <w:ilvl w:val="0"/>
          <w:numId w:val="10"/>
        </w:numPr>
      </w:pPr>
      <w:r>
        <w:rPr>
          <w:b/>
          <w:bCs/>
        </w:rPr>
        <w:t>groupe_age</w:t>
      </w:r>
      <w:r>
        <w:t xml:space="preserve"> : classes quinquennales [0,5), [5,10), …, (convention ONU/UNFPA)</w:t>
      </w:r>
    </w:p>
    <w:p w14:paraId="67FFB4A9" w14:textId="77777777" w:rsidR="00062B64" w:rsidRDefault="00DE029E">
      <w:pPr>
        <w:pStyle w:val="Compact"/>
        <w:numPr>
          <w:ilvl w:val="0"/>
          <w:numId w:val="10"/>
        </w:numPr>
      </w:pPr>
      <w:r>
        <w:rPr>
          <w:b/>
          <w:bCs/>
        </w:rPr>
        <w:t>milieu</w:t>
      </w:r>
      <w:r>
        <w:t xml:space="preserve"> : recodage de sector en facteu</w:t>
      </w:r>
      <w:r>
        <w:t>r (“Urbain”, “Rural”)</w:t>
      </w:r>
    </w:p>
    <w:p w14:paraId="57C2A790" w14:textId="77777777" w:rsidR="00062B64" w:rsidRDefault="00DE029E">
      <w:pPr>
        <w:pStyle w:val="Compact"/>
        <w:numPr>
          <w:ilvl w:val="0"/>
          <w:numId w:val="10"/>
        </w:numPr>
      </w:pPr>
      <w:r>
        <w:rPr>
          <w:b/>
          <w:bCs/>
        </w:rPr>
        <w:t>parente</w:t>
      </w:r>
      <w:r>
        <w:t xml:space="preserve"> : regroupement de s1q3 en 4 catégories (Chef de ménage, Conjoint(e), Enfant, Autre)</w:t>
      </w:r>
    </w:p>
    <w:p w14:paraId="61A315EE" w14:textId="77777777" w:rsidR="00062B64" w:rsidRDefault="00DE029E">
      <w:pPr>
        <w:pStyle w:val="Compact"/>
        <w:numPr>
          <w:ilvl w:val="0"/>
          <w:numId w:val="10"/>
        </w:numPr>
      </w:pPr>
      <w:r>
        <w:rPr>
          <w:b/>
          <w:bCs/>
        </w:rPr>
        <w:t>taille_menage</w:t>
      </w:r>
      <w:r>
        <w:t xml:space="preserve"> : comptage des membres actifs par hhid, jointure au niveau individu</w:t>
      </w:r>
    </w:p>
    <w:p w14:paraId="488D2467" w14:textId="77777777" w:rsidR="00062B64" w:rsidRDefault="00DE029E">
      <w:pPr>
        <w:pStyle w:val="Titre2"/>
      </w:pPr>
      <w:bookmarkStart w:id="27" w:name="méthodes-statistiques"/>
      <w:bookmarkStart w:id="28" w:name="_Toc224649941"/>
      <w:bookmarkEnd w:id="21"/>
      <w:bookmarkEnd w:id="25"/>
      <w:r>
        <w:t>2.4 Méthodes statistiques</w:t>
      </w:r>
      <w:bookmarkEnd w:id="28"/>
    </w:p>
    <w:p w14:paraId="69BA4E32" w14:textId="77777777" w:rsidR="00062B64" w:rsidRDefault="00DE029E">
      <w:pPr>
        <w:pStyle w:val="Titre3"/>
      </w:pPr>
      <w:bookmarkStart w:id="29" w:name="analyses-descriptives"/>
      <w:bookmarkStart w:id="30" w:name="_Toc224649942"/>
      <w:r>
        <w:t>2.4.1 Analyses descriptives</w:t>
      </w:r>
      <w:bookmarkEnd w:id="30"/>
    </w:p>
    <w:p w14:paraId="2B56B8A5" w14:textId="77777777" w:rsidR="00062B64" w:rsidRDefault="00DE029E">
      <w:pPr>
        <w:pStyle w:val="FirstParagraph"/>
      </w:pPr>
      <w:r>
        <w:t>Statis</w:t>
      </w:r>
      <w:r>
        <w:t>tiques de position et dispersion (moyenne, médiane, quartiles, écart-type, coefficient de variation), mesures de forme (asymétrie, aplatissement via moments), intervalles de confiance à 95% par la méthode exacte de Clopper-Pearson (PropCIs::exactci).</w:t>
      </w:r>
    </w:p>
    <w:p w14:paraId="38F65BAC" w14:textId="77777777" w:rsidR="00062B64" w:rsidRDefault="00DE029E">
      <w:pPr>
        <w:pStyle w:val="Titre3"/>
      </w:pPr>
      <w:bookmarkStart w:id="31" w:name="tests-statistiques"/>
      <w:bookmarkStart w:id="32" w:name="_Toc224649943"/>
      <w:bookmarkEnd w:id="29"/>
      <w:r>
        <w:t>2.4.2</w:t>
      </w:r>
      <w:r>
        <w:t xml:space="preserve"> Tests statistiques</w:t>
      </w:r>
      <w:bookmarkEnd w:id="32"/>
    </w:p>
    <w:p w14:paraId="5E27A522" w14:textId="77777777" w:rsidR="00062B64" w:rsidRDefault="00DE029E">
      <w:pPr>
        <w:pStyle w:val="FirstParagraph"/>
      </w:pPr>
      <w:r>
        <w:rPr>
          <w:b/>
          <w:bCs/>
        </w:rPr>
        <w:t>Test de normalité de Shapiro-Wilk</w:t>
      </w:r>
      <w:r>
        <w:t xml:space="preserve"> : H₀ = la distribution de l’âge suit une loi normale. Appliqué sur un échantillon aléatoire de 5 000 individus (contrainte R), graine fixée à 2070.</w:t>
      </w:r>
    </w:p>
    <w:p w14:paraId="31F6E66A" w14:textId="77777777" w:rsidR="00062B64" w:rsidRDefault="00DE029E">
      <w:pPr>
        <w:pStyle w:val="Corpsdetexte"/>
      </w:pPr>
      <w:r>
        <w:rPr>
          <w:b/>
          <w:bCs/>
        </w:rPr>
        <w:t>Test de Wilcoxon-Mann-Whitney</w:t>
      </w:r>
      <w:r>
        <w:t xml:space="preserve"> : H₀ = les distributions</w:t>
      </w:r>
      <w:r>
        <w:t xml:space="preserve"> de taille de ménage sont identiques en rural et urbain. Test non paramétrique, justifié par le rejet de la normalité. Complété par la taille d’effet r de rang (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N</m:t>
            </m:r>
          </m:e>
        </m:rad>
      </m:oMath>
      <w:r>
        <w:t>, seuils de Cohen 1988 : négligeable &lt; 0,10 ; petit 0,10–0,30 ; moyen 0,30–0,50).</w:t>
      </w:r>
    </w:p>
    <w:p w14:paraId="67F23AE9" w14:textId="77777777" w:rsidR="00062B64" w:rsidRDefault="00DE029E">
      <w:pPr>
        <w:pStyle w:val="Titre3"/>
      </w:pPr>
      <w:bookmarkStart w:id="33" w:name="outils-et-reproductibilité"/>
      <w:bookmarkStart w:id="34" w:name="_Toc224649944"/>
      <w:bookmarkEnd w:id="31"/>
      <w:r>
        <w:t>2.4.3</w:t>
      </w:r>
      <w:r>
        <w:t xml:space="preserve"> Outils et reproductibilité</w:t>
      </w:r>
      <w:bookmarkEnd w:id="34"/>
    </w:p>
    <w:p w14:paraId="52CAE4A5" w14:textId="2D986BB4" w:rsidR="00062B64" w:rsidRDefault="00DE029E">
      <w:pPr>
        <w:pStyle w:val="FirstParagraph"/>
      </w:pPr>
      <w:r>
        <w:t xml:space="preserve">Analyses réalisées avec </w:t>
      </w:r>
      <w:r>
        <w:rPr>
          <w:b/>
          <w:bCs/>
        </w:rPr>
        <w:t xml:space="preserve">R </w:t>
      </w:r>
      <w:proofErr w:type="gramStart"/>
      <w:r>
        <w:rPr>
          <w:b/>
          <w:bCs/>
        </w:rPr>
        <w:t>4.4</w:t>
      </w:r>
      <w:r>
        <w:t xml:space="preserve"> </w:t>
      </w:r>
      <w:r w:rsidR="00D162EC">
        <w:t>,</w:t>
      </w:r>
      <w:r>
        <w:t>Reproduc</w:t>
      </w:r>
      <w:r>
        <w:t>tibilité</w:t>
      </w:r>
      <w:proofErr w:type="gramEnd"/>
      <w:r>
        <w:t xml:space="preserve"> garantie par </w:t>
      </w:r>
      <w:proofErr w:type="spellStart"/>
      <w:r>
        <w:t>renv</w:t>
      </w:r>
      <w:proofErr w:type="spellEnd"/>
      <w:r>
        <w:t xml:space="preserve"> </w:t>
      </w:r>
      <w:r>
        <w:t>.</w:t>
      </w:r>
    </w:p>
    <w:p w14:paraId="73F0AD91" w14:textId="3461D297" w:rsidR="00062B64" w:rsidRDefault="00DE029E" w:rsidP="00D162EC">
      <w:pPr>
        <w:pStyle w:val="Titre1"/>
      </w:pPr>
      <w:bookmarkStart w:id="35" w:name="résultats"/>
      <w:bookmarkStart w:id="36" w:name="_Toc224649945"/>
      <w:bookmarkEnd w:id="10"/>
      <w:bookmarkEnd w:id="27"/>
      <w:bookmarkEnd w:id="33"/>
      <w:r>
        <w:t>3. Résultats</w:t>
      </w:r>
      <w:bookmarkEnd w:id="36"/>
    </w:p>
    <w:p w14:paraId="733F8258" w14:textId="77777777" w:rsidR="00062B64" w:rsidRDefault="00DE029E">
      <w:pPr>
        <w:pStyle w:val="Titre2"/>
      </w:pPr>
      <w:bookmarkStart w:id="37" w:name="distribution-de-lâge"/>
      <w:bookmarkStart w:id="38" w:name="_Toc224649946"/>
      <w:r>
        <w:t>3</w:t>
      </w:r>
      <w:r>
        <w:t>.1 Distribution de l’âge</w:t>
      </w:r>
      <w:bookmarkEnd w:id="38"/>
    </w:p>
    <w:p w14:paraId="66784EBF" w14:textId="77777777" w:rsidR="00062B64" w:rsidRDefault="00DE029E">
      <w:pPr>
        <w:pStyle w:val="Titre3"/>
      </w:pPr>
      <w:bookmarkStart w:id="39" w:name="statistiques-descriptives"/>
      <w:bookmarkStart w:id="40" w:name="_Toc224649947"/>
      <w:r>
        <w:t>3.1.1 Statistiques descriptives</w:t>
      </w:r>
      <w:bookmarkEnd w:id="40"/>
    </w:p>
    <w:p w14:paraId="3071DB11" w14:textId="77777777" w:rsidR="00062B64" w:rsidRPr="00D162EC" w:rsidRDefault="00DE029E">
      <w:pPr>
        <w:keepNext/>
        <w:spacing w:after="60"/>
        <w:jc w:val="left"/>
        <w:rPr>
          <w:rFonts w:ascii="Bookman Old Style" w:hAnsi="Bookman Old Style"/>
          <w:i/>
          <w:iCs/>
        </w:rPr>
      </w:pPr>
      <w:r w:rsidRPr="00D162EC">
        <w:rPr>
          <w:rFonts w:ascii="Bookman Old Style" w:hAnsi="Bookman Old Style"/>
          <w:i/>
          <w:iCs/>
          <w:sz w:val="24"/>
        </w:rPr>
        <w:t xml:space="preserve">Table </w:t>
      </w:r>
      <w:r w:rsidRPr="00D162EC">
        <w:rPr>
          <w:rFonts w:ascii="Bookman Old Style" w:hAnsi="Bookman Old Style"/>
          <w:i/>
          <w:iCs/>
        </w:rPr>
        <w:fldChar w:fldCharType="begin"/>
      </w:r>
      <w:r w:rsidRPr="00D162EC">
        <w:rPr>
          <w:rFonts w:ascii="Bookman Old Style" w:hAnsi="Bookman Old Style"/>
          <w:i/>
          <w:iCs/>
        </w:rPr>
        <w:instrText xml:space="preserve"> SEQ Table \* ARABIC </w:instrText>
      </w:r>
      <w:r w:rsidRPr="00D162EC">
        <w:rPr>
          <w:rFonts w:ascii="Bookman Old Style" w:hAnsi="Bookman Old Style"/>
          <w:i/>
          <w:iCs/>
        </w:rPr>
        <w:fldChar w:fldCharType="separate"/>
      </w:r>
      <w:r w:rsidR="00D162EC" w:rsidRPr="00D162EC">
        <w:rPr>
          <w:rFonts w:ascii="Bookman Old Style" w:hAnsi="Bookman Old Style"/>
          <w:i/>
          <w:iCs/>
          <w:noProof/>
        </w:rPr>
        <w:t>1</w:t>
      </w:r>
      <w:r w:rsidRPr="00D162EC">
        <w:rPr>
          <w:rFonts w:ascii="Bookman Old Style" w:hAnsi="Bookman Old Style"/>
          <w:i/>
          <w:iCs/>
        </w:rPr>
        <w:fldChar w:fldCharType="end"/>
      </w:r>
      <w:r w:rsidRPr="00D162EC">
        <w:rPr>
          <w:rFonts w:ascii="Bookman Old Style" w:hAnsi="Bookman Old Style"/>
          <w:i/>
          <w:iCs/>
          <w:sz w:val="24"/>
        </w:rPr>
        <w:t xml:space="preserve">: </w:t>
      </w:r>
      <w:r w:rsidRPr="00D162EC">
        <w:rPr>
          <w:rFonts w:ascii="Bookman Old Style" w:hAnsi="Bookman Old Style"/>
          <w:i/>
          <w:iCs/>
          <w:color w:val="333333"/>
          <w:sz w:val="24"/>
        </w:rPr>
        <w:t>Statistiques descriptives de l'âge</w:t>
      </w:r>
    </w:p>
    <w:p w14:paraId="1AEDE150" w14:textId="77777777" w:rsidR="00062B64" w:rsidRPr="00D162EC" w:rsidRDefault="00DE029E">
      <w:pPr>
        <w:keepNext/>
        <w:spacing w:after="60"/>
        <w:jc w:val="left"/>
        <w:rPr>
          <w:rFonts w:ascii="Bookman Old Style" w:hAnsi="Bookman Old Style"/>
          <w:i/>
          <w:iCs/>
        </w:rPr>
      </w:pPr>
      <w:r w:rsidRPr="00D162EC">
        <w:rPr>
          <w:rFonts w:ascii="Bookman Old Style" w:hAnsi="Bookman Old Style"/>
          <w:i/>
          <w:iCs/>
          <w:color w:val="333333"/>
        </w:rPr>
        <w:t xml:space="preserve">Nigeria GHS Panel W4 (2018-2019) — </w:t>
      </w:r>
      <w:r w:rsidRPr="00D162EC">
        <w:rPr>
          <w:rFonts w:ascii="Bookman Old Style" w:hAnsi="Bookman Old Style"/>
          <w:i/>
          <w:iCs/>
          <w:color w:val="333333"/>
        </w:rPr>
        <w:t>Membres actifs</w:t>
      </w:r>
    </w:p>
    <w:tbl>
      <w:tblPr>
        <w:tblStyle w:val="TableauGrille1Clair-Accentuation1"/>
        <w:tblW w:w="0" w:type="auto"/>
        <w:tblLook w:val="0000" w:firstRow="0" w:lastRow="0" w:firstColumn="0" w:lastColumn="0" w:noHBand="0" w:noVBand="0"/>
      </w:tblPr>
      <w:tblGrid>
        <w:gridCol w:w="5086"/>
        <w:gridCol w:w="1770"/>
      </w:tblGrid>
      <w:tr w:rsidR="00062B64" w:rsidRPr="00D162EC" w14:paraId="0323BF5B" w14:textId="77777777" w:rsidTr="00D162EC">
        <w:tc>
          <w:tcPr>
            <w:tcW w:w="0" w:type="auto"/>
          </w:tcPr>
          <w:p w14:paraId="32E96E24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Statistique</w:t>
            </w:r>
          </w:p>
        </w:tc>
        <w:tc>
          <w:tcPr>
            <w:tcW w:w="0" w:type="auto"/>
          </w:tcPr>
          <w:p w14:paraId="403317C5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Valeur</w:t>
            </w:r>
          </w:p>
        </w:tc>
      </w:tr>
      <w:tr w:rsidR="00062B64" w:rsidRPr="00D162EC" w14:paraId="2CE5E405" w14:textId="77777777" w:rsidTr="00D162EC">
        <w:tc>
          <w:tcPr>
            <w:tcW w:w="0" w:type="auto"/>
          </w:tcPr>
          <w:p w14:paraId="0D70B0EC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N (valide)</w:t>
            </w:r>
          </w:p>
        </w:tc>
        <w:tc>
          <w:tcPr>
            <w:tcW w:w="0" w:type="auto"/>
          </w:tcPr>
          <w:p w14:paraId="373FFD51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25 766</w:t>
            </w:r>
          </w:p>
        </w:tc>
      </w:tr>
      <w:tr w:rsidR="00062B64" w:rsidRPr="00D162EC" w14:paraId="69AA74D8" w14:textId="77777777" w:rsidTr="00D162EC">
        <w:tc>
          <w:tcPr>
            <w:tcW w:w="0" w:type="auto"/>
          </w:tcPr>
          <w:p w14:paraId="0A695442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Moyenne</w:t>
            </w:r>
          </w:p>
        </w:tc>
        <w:tc>
          <w:tcPr>
            <w:tcW w:w="0" w:type="auto"/>
          </w:tcPr>
          <w:p w14:paraId="05D2238C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24,37</w:t>
            </w:r>
          </w:p>
        </w:tc>
      </w:tr>
      <w:tr w:rsidR="00062B64" w:rsidRPr="00D162EC" w14:paraId="3E434041" w14:textId="77777777" w:rsidTr="00D162EC">
        <w:tc>
          <w:tcPr>
            <w:tcW w:w="0" w:type="auto"/>
          </w:tcPr>
          <w:p w14:paraId="4B516B25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Médiane</w:t>
            </w:r>
          </w:p>
        </w:tc>
        <w:tc>
          <w:tcPr>
            <w:tcW w:w="0" w:type="auto"/>
          </w:tcPr>
          <w:p w14:paraId="0D883AC5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18,0</w:t>
            </w:r>
          </w:p>
        </w:tc>
      </w:tr>
      <w:tr w:rsidR="00062B64" w:rsidRPr="00D162EC" w14:paraId="23422D9E" w14:textId="77777777" w:rsidTr="00D162EC">
        <w:tc>
          <w:tcPr>
            <w:tcW w:w="0" w:type="auto"/>
          </w:tcPr>
          <w:p w14:paraId="3504C94B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Q1 (25e percentile)</w:t>
            </w:r>
          </w:p>
        </w:tc>
        <w:tc>
          <w:tcPr>
            <w:tcW w:w="0" w:type="auto"/>
          </w:tcPr>
          <w:p w14:paraId="13AB0742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9,0</w:t>
            </w:r>
          </w:p>
        </w:tc>
      </w:tr>
      <w:tr w:rsidR="00062B64" w:rsidRPr="00D162EC" w14:paraId="72693613" w14:textId="77777777" w:rsidTr="00D162EC">
        <w:tc>
          <w:tcPr>
            <w:tcW w:w="0" w:type="auto"/>
          </w:tcPr>
          <w:p w14:paraId="3CDCDA8B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Q3 (75e percentile)</w:t>
            </w:r>
          </w:p>
        </w:tc>
        <w:tc>
          <w:tcPr>
            <w:tcW w:w="0" w:type="auto"/>
          </w:tcPr>
          <w:p w14:paraId="7FB8DFA8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37,0</w:t>
            </w:r>
          </w:p>
        </w:tc>
      </w:tr>
      <w:tr w:rsidR="00062B64" w:rsidRPr="00D162EC" w14:paraId="40E7C659" w14:textId="77777777" w:rsidTr="00D162EC">
        <w:tc>
          <w:tcPr>
            <w:tcW w:w="0" w:type="auto"/>
          </w:tcPr>
          <w:p w14:paraId="494C7575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Écart-type</w:t>
            </w:r>
          </w:p>
        </w:tc>
        <w:tc>
          <w:tcPr>
            <w:tcW w:w="0" w:type="auto"/>
          </w:tcPr>
          <w:p w14:paraId="1542DB67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19,73</w:t>
            </w:r>
          </w:p>
        </w:tc>
      </w:tr>
      <w:tr w:rsidR="00062B64" w:rsidRPr="00D162EC" w14:paraId="7DCF246D" w14:textId="77777777" w:rsidTr="00D162EC">
        <w:tc>
          <w:tcPr>
            <w:tcW w:w="0" w:type="auto"/>
          </w:tcPr>
          <w:p w14:paraId="16B12C8F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CV (%)</w:t>
            </w:r>
          </w:p>
        </w:tc>
        <w:tc>
          <w:tcPr>
            <w:tcW w:w="0" w:type="auto"/>
          </w:tcPr>
          <w:p w14:paraId="260736D4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81,0</w:t>
            </w:r>
          </w:p>
        </w:tc>
      </w:tr>
      <w:tr w:rsidR="00062B64" w:rsidRPr="00D162EC" w14:paraId="6C1761C6" w14:textId="77777777" w:rsidTr="00D162EC">
        <w:tc>
          <w:tcPr>
            <w:tcW w:w="0" w:type="auto"/>
          </w:tcPr>
          <w:p w14:paraId="0EB55965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Minimum</w:t>
            </w:r>
          </w:p>
        </w:tc>
        <w:tc>
          <w:tcPr>
            <w:tcW w:w="0" w:type="auto"/>
          </w:tcPr>
          <w:p w14:paraId="5E332B77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0</w:t>
            </w:r>
          </w:p>
        </w:tc>
      </w:tr>
      <w:tr w:rsidR="00062B64" w:rsidRPr="00D162EC" w14:paraId="3BDF1727" w14:textId="77777777" w:rsidTr="00D162EC">
        <w:tc>
          <w:tcPr>
            <w:tcW w:w="0" w:type="auto"/>
          </w:tcPr>
          <w:p w14:paraId="580ED832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Maximum</w:t>
            </w:r>
          </w:p>
        </w:tc>
        <w:tc>
          <w:tcPr>
            <w:tcW w:w="0" w:type="auto"/>
          </w:tcPr>
          <w:p w14:paraId="4C88EC53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100</w:t>
            </w:r>
          </w:p>
        </w:tc>
      </w:tr>
      <w:tr w:rsidR="00062B64" w:rsidRPr="00D162EC" w14:paraId="09D48826" w14:textId="77777777" w:rsidTr="00D162EC">
        <w:tc>
          <w:tcPr>
            <w:tcW w:w="0" w:type="auto"/>
          </w:tcPr>
          <w:p w14:paraId="7887F554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Asymétrie (skewness)</w:t>
            </w:r>
          </w:p>
        </w:tc>
        <w:tc>
          <w:tcPr>
            <w:tcW w:w="0" w:type="auto"/>
          </w:tcPr>
          <w:p w14:paraId="12DB8045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0,9817</w:t>
            </w:r>
          </w:p>
        </w:tc>
      </w:tr>
      <w:tr w:rsidR="00062B64" w:rsidRPr="00D162EC" w14:paraId="5E9781D3" w14:textId="77777777" w:rsidTr="00D162EC">
        <w:tc>
          <w:tcPr>
            <w:tcW w:w="0" w:type="auto"/>
          </w:tcPr>
          <w:p w14:paraId="3977CC4F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Aplatissement (kurtosis)</w:t>
            </w:r>
          </w:p>
        </w:tc>
        <w:tc>
          <w:tcPr>
            <w:tcW w:w="0" w:type="auto"/>
          </w:tcPr>
          <w:p w14:paraId="43E5B682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3,2138</w:t>
            </w:r>
          </w:p>
        </w:tc>
      </w:tr>
      <w:tr w:rsidR="00062B64" w:rsidRPr="00D162EC" w14:paraId="758FEEAE" w14:textId="77777777" w:rsidTr="00D162EC">
        <w:tc>
          <w:tcPr>
            <w:tcW w:w="0" w:type="auto"/>
            <w:gridSpan w:val="2"/>
          </w:tcPr>
          <w:p w14:paraId="755C6B5E" w14:textId="77777777" w:rsidR="00062B64" w:rsidRPr="00D162EC" w:rsidRDefault="00DE029E">
            <w:pPr>
              <w:keepNext/>
              <w:spacing w:after="60"/>
              <w:rPr>
                <w:rFonts w:ascii="Bookman Old Style" w:hAnsi="Bookman Old Style"/>
              </w:rPr>
            </w:pPr>
            <w:proofErr w:type="gramStart"/>
            <w:r w:rsidRPr="00D162EC">
              <w:rPr>
                <w:rFonts w:ascii="Bookman Old Style" w:hAnsi="Bookman Old Style"/>
                <w:lang w:val="en-US"/>
              </w:rPr>
              <w:t>Source :</w:t>
            </w:r>
            <w:proofErr w:type="gramEnd"/>
            <w:r w:rsidRPr="00D162EC">
              <w:rPr>
                <w:rFonts w:ascii="Bookman Old Style" w:hAnsi="Bookman Old Style"/>
                <w:lang w:val="en-US"/>
              </w:rPr>
              <w:t xml:space="preserve"> NBS Nigeria / World Bank LSMS-ISA. </w:t>
            </w:r>
            <w:r w:rsidRPr="00D162EC">
              <w:rPr>
                <w:rFonts w:ascii="Bookman Old Style" w:hAnsi="Bookman Old Style"/>
              </w:rPr>
              <w:t>Calculs des auteurs.</w:t>
            </w:r>
          </w:p>
        </w:tc>
      </w:tr>
    </w:tbl>
    <w:p w14:paraId="5AB8513E" w14:textId="77777777" w:rsidR="00D162EC" w:rsidRDefault="00D162EC">
      <w:pPr>
        <w:pStyle w:val="FirstParagraph"/>
      </w:pPr>
    </w:p>
    <w:p w14:paraId="2DC47B07" w14:textId="28442E7E" w:rsidR="00062B64" w:rsidRDefault="00DE029E">
      <w:pPr>
        <w:pStyle w:val="FirstParagraph"/>
      </w:pPr>
      <w:r>
        <w:t xml:space="preserve">La population présente un </w:t>
      </w:r>
      <w:r>
        <w:rPr>
          <w:b/>
          <w:bCs/>
        </w:rPr>
        <w:t>âge médian de 18 ans</w:t>
      </w:r>
      <w:r>
        <w:t xml:space="preserve">, nettement inférieur à la moyenne (24.4 ans). Cet écart de 6.4 ans révèle une </w:t>
      </w:r>
      <w:r>
        <w:rPr>
          <w:b/>
          <w:bCs/>
        </w:rPr>
        <w:t>asymétrie positive</w:t>
      </w:r>
      <w:r>
        <w:t xml:space="preserve"> (skewness = 0.98) : la distribution est étalée</w:t>
      </w:r>
      <w:r>
        <w:t xml:space="preserve"> vers les âges élevés. Le </w:t>
      </w:r>
      <w:r>
        <w:rPr>
          <w:b/>
          <w:bCs/>
        </w:rPr>
        <w:t>coefficient de variation</w:t>
      </w:r>
      <w:r>
        <w:t xml:space="preserve"> (81%) traduit une </w:t>
      </w:r>
      <w:r>
        <w:rPr>
          <w:b/>
          <w:bCs/>
        </w:rPr>
        <w:t>forte hétérogénéité</w:t>
      </w:r>
      <w:r>
        <w:t xml:space="preserve"> de la structure par âge.</w:t>
      </w:r>
    </w:p>
    <w:p w14:paraId="65B09215" w14:textId="77777777" w:rsidR="00062B64" w:rsidRDefault="00DE029E">
      <w:pPr>
        <w:pStyle w:val="Titre3"/>
      </w:pPr>
      <w:bookmarkStart w:id="41" w:name="histogramme-de-la-distribution"/>
      <w:bookmarkStart w:id="42" w:name="_Toc224649948"/>
      <w:bookmarkEnd w:id="39"/>
      <w:r>
        <w:t>3.1.2 Histogramme de la distribution</w:t>
      </w:r>
      <w:bookmarkEnd w:id="42"/>
    </w:p>
    <w:p w14:paraId="41E127F7" w14:textId="4C36F867" w:rsidR="00062B64" w:rsidRDefault="00D162EC">
      <w:pPr>
        <w:pStyle w:val="FirstParagraph"/>
      </w:pPr>
      <w:r>
        <w:rPr>
          <w:noProof/>
        </w:rPr>
        <w:drawing>
          <wp:inline distT="0" distB="0" distL="0" distR="0" wp14:anchorId="73E4697F" wp14:editId="7345CE2B">
            <wp:extent cx="6120130" cy="42843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029E">
        <w:t xml:space="preserve">La classe </w:t>
      </w:r>
      <w:hyperlink r:id="rId8">
        <w:r w:rsidR="00DE029E">
          <w:t>0,5) est la plus peuplée, puis l’effectif décroît régulièrement — profil typique d’une population à forte fécondité et mortalité élevée aux âges avancés. Classes quinquennales selon la convention ONU/UNFPA.</w:t>
        </w:r>
      </w:hyperlink>
    </w:p>
    <w:p w14:paraId="75C6FDA1" w14:textId="77777777" w:rsidR="00062B64" w:rsidRDefault="00DE029E">
      <w:pPr>
        <w:pStyle w:val="Corpsdetexte"/>
      </w:pPr>
      <w:r>
        <w:t xml:space="preserve">L’histogramme confirme une </w:t>
      </w:r>
      <w:r>
        <w:rPr>
          <w:b/>
          <w:bCs/>
        </w:rPr>
        <w:t>distribution très asymétrique à droite</w:t>
      </w:r>
      <w:r>
        <w:t xml:space="preserve"> : base large (jeunes), sommet étroit (personnes âgées). Ce profil est caractéristique d’une </w:t>
      </w:r>
      <w:r>
        <w:rPr>
          <w:b/>
          <w:bCs/>
        </w:rPr>
        <w:t>population à fécondité soutenue</w:t>
      </w:r>
      <w:r>
        <w:t xml:space="preserve"> (ISF ≈ 5,3) et d’une </w:t>
      </w:r>
      <w:r>
        <w:rPr>
          <w:b/>
          <w:bCs/>
        </w:rPr>
        <w:t>espérance de vie limitée</w:t>
      </w:r>
      <w:r>
        <w:t xml:space="preserve"> </w:t>
      </w:r>
      <w:r>
        <w:t>(≈ 54 ans au Nigeria en 2018).</w:t>
      </w:r>
    </w:p>
    <w:p w14:paraId="6DFCED97" w14:textId="77777777" w:rsidR="00062B64" w:rsidRDefault="00DE029E">
      <w:pPr>
        <w:pStyle w:val="Titre3"/>
      </w:pPr>
      <w:bookmarkStart w:id="43" w:name="boîte-à-moustaches"/>
      <w:bookmarkStart w:id="44" w:name="_Toc224649949"/>
      <w:bookmarkEnd w:id="41"/>
      <w:r>
        <w:t>3.1.3 Boîte à moustaches</w:t>
      </w:r>
      <w:bookmarkEnd w:id="44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638"/>
      </w:tblGrid>
      <w:tr w:rsidR="00062B64" w14:paraId="1FCD17E5" w14:textId="77777777">
        <w:tc>
          <w:tcPr>
            <w:tcW w:w="7920" w:type="dxa"/>
          </w:tcPr>
          <w:p w14:paraId="1B33AD79" w14:textId="77777777" w:rsidR="00062B64" w:rsidRDefault="00DE029E">
            <w:pPr>
              <w:pStyle w:val="Compact"/>
              <w:jc w:val="center"/>
            </w:pPr>
            <w:bookmarkStart w:id="45" w:name="fig-box-age"/>
            <w:r>
              <w:rPr>
                <w:noProof/>
              </w:rPr>
              <w:drawing>
                <wp:inline distT="0" distB="0" distL="0" distR="0" wp14:anchorId="2F46B591" wp14:editId="46B03BBD">
                  <wp:extent cx="6108700" cy="4276090"/>
                  <wp:effectExtent l="0" t="0" r="0" b="0"/>
                  <wp:docPr id="42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" descr="outputs/figures/fig02_boxplot_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427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92B8ED" w14:textId="77777777" w:rsidR="00062B64" w:rsidRDefault="00DE029E">
            <w:pPr>
              <w:pStyle w:val="ImageCaption"/>
              <w:spacing w:before="200"/>
              <w:jc w:val="left"/>
            </w:pPr>
            <w:r>
              <w:t>Figure 1: Boîte à moustaches de l’âge. La médiane (18 ans) est nettement inférieure à la moyenne (24 ans), confirmant l’asymétrie positive. Les points au-delà de 1,5 × IQR représentent des individus</w:t>
            </w:r>
            <w:r>
              <w:t xml:space="preserve"> réellement âgés, non des erreurs, après correction de la valeur aberrante de 130 ans.</w:t>
            </w:r>
          </w:p>
        </w:tc>
        <w:bookmarkEnd w:id="45"/>
      </w:tr>
    </w:tbl>
    <w:p w14:paraId="1A1A5DB9" w14:textId="77777777" w:rsidR="00062B64" w:rsidRDefault="00DE029E">
      <w:pPr>
        <w:pStyle w:val="Corpsdetexte"/>
      </w:pPr>
      <w:r>
        <w:t xml:space="preserve">La boîte à moustaches montre une </w:t>
      </w:r>
      <w:r>
        <w:rPr>
          <w:b/>
          <w:bCs/>
        </w:rPr>
        <w:t>médiane basse</w:t>
      </w:r>
      <w:r>
        <w:t xml:space="preserve"> et une </w:t>
      </w:r>
      <w:r>
        <w:rPr>
          <w:b/>
          <w:bCs/>
        </w:rPr>
        <w:t>boîte asymétrique</w:t>
      </w:r>
      <w:r>
        <w:t xml:space="preserve"> </w:t>
      </w:r>
      <w:r>
        <w:t>: la distance médiane–Q3 (19 ans) est nettement supérieure à la distance Q1–médiane (9 ans).</w:t>
      </w:r>
    </w:p>
    <w:p w14:paraId="008A3829" w14:textId="77777777" w:rsidR="00062B64" w:rsidRDefault="00DE029E">
      <w:pPr>
        <w:pStyle w:val="Titre3"/>
      </w:pPr>
      <w:bookmarkStart w:id="46" w:name="test-de-normalité-de-shapiro-wilk"/>
      <w:bookmarkStart w:id="47" w:name="_Toc224649950"/>
      <w:bookmarkEnd w:id="43"/>
      <w:r>
        <w:t>3.1.4 Test de normalité de Shapiro-Wilk</w:t>
      </w:r>
      <w:bookmarkEnd w:id="47"/>
    </w:p>
    <w:p w14:paraId="519927FA" w14:textId="77777777" w:rsidR="00062B64" w:rsidRDefault="00DE029E">
      <w:pPr>
        <w:pStyle w:val="FirstParagraph"/>
      </w:pPr>
      <w:r>
        <w:t xml:space="preserve">Le </w:t>
      </w:r>
      <w:r>
        <w:rPr>
          <w:b/>
          <w:bCs/>
        </w:rPr>
        <w:t>test de Shapiro-Wilk</w:t>
      </w:r>
      <w:r>
        <w:t xml:space="preserve"> (n = 5 000, graine = 2070) rejette l’hypothèse de normalité (W = 0.9048, p &lt; 0,001). Cette </w:t>
      </w:r>
      <w:r>
        <w:rPr>
          <w:b/>
          <w:bCs/>
        </w:rPr>
        <w:t>non-norm</w:t>
      </w:r>
      <w:r>
        <w:rPr>
          <w:b/>
          <w:bCs/>
        </w:rPr>
        <w:t>alité</w:t>
      </w:r>
      <w:r>
        <w:t xml:space="preserve"> justifie le recours aux tests non paramétriques pour toutes les comparaisons de groupes.</w:t>
      </w:r>
    </w:p>
    <w:p w14:paraId="7B9F8CAA" w14:textId="77777777" w:rsidR="00062B64" w:rsidRDefault="00DE029E">
      <w:r>
        <w:br w:type="page"/>
      </w:r>
    </w:p>
    <w:p w14:paraId="32E4622D" w14:textId="77777777" w:rsidR="00062B64" w:rsidRDefault="00DE029E">
      <w:pPr>
        <w:pStyle w:val="Titre2"/>
      </w:pPr>
      <w:bookmarkStart w:id="48" w:name="structure-par-âge-et-sexe"/>
      <w:bookmarkStart w:id="49" w:name="_Toc224649951"/>
      <w:bookmarkEnd w:id="37"/>
      <w:bookmarkEnd w:id="46"/>
      <w:r>
        <w:t>3.2 Structure par âge et sexe</w:t>
      </w:r>
      <w:bookmarkEnd w:id="49"/>
    </w:p>
    <w:tbl>
      <w:tblPr>
        <w:tblW w:w="5296" w:type="pct"/>
        <w:tblLayout w:type="fixed"/>
        <w:tblLook w:val="0000" w:firstRow="0" w:lastRow="0" w:firstColumn="0" w:lastColumn="0" w:noHBand="0" w:noVBand="0"/>
      </w:tblPr>
      <w:tblGrid>
        <w:gridCol w:w="10209"/>
      </w:tblGrid>
      <w:tr w:rsidR="00062B64" w14:paraId="0FB0FE64" w14:textId="77777777" w:rsidTr="00D162EC">
        <w:trPr>
          <w:trHeight w:val="11351"/>
        </w:trPr>
        <w:tc>
          <w:tcPr>
            <w:tcW w:w="10208" w:type="dxa"/>
          </w:tcPr>
          <w:p w14:paraId="7E971B1B" w14:textId="77777777" w:rsidR="00062B64" w:rsidRDefault="00DE029E">
            <w:pPr>
              <w:pStyle w:val="Compact"/>
              <w:jc w:val="center"/>
            </w:pPr>
            <w:bookmarkStart w:id="50" w:name="fig-pyramide"/>
            <w:r>
              <w:rPr>
                <w:noProof/>
              </w:rPr>
              <w:drawing>
                <wp:inline distT="0" distB="0" distL="0" distR="0" wp14:anchorId="71F0A71C" wp14:editId="3847DB21">
                  <wp:extent cx="6108700" cy="7330440"/>
                  <wp:effectExtent l="0" t="0" r="0" b="0"/>
                  <wp:docPr id="49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" descr="outputs/figures/fig03_pyramide_ages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73304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F7D4F2" w14:textId="77777777" w:rsidR="00062B64" w:rsidRDefault="00DE029E">
            <w:pPr>
              <w:pStyle w:val="ImageCaption"/>
              <w:spacing w:before="200"/>
              <w:jc w:val="left"/>
            </w:pPr>
            <w:r>
              <w:t xml:space="preserve">Figure 2: Pyramide des âges par sexe (groupes quinquennaux). Bleu = Hommes, Rose = Femmes — convention internationale WHO/HMD. </w:t>
            </w:r>
            <w:r>
              <w:t>La forme expansive (base large, sommet étroit) est caractéristique d’un pays en transition démographique précoce. L’étranglement masculin aux 20-35 ans traduit la migration sélective des hommes vers les centres urbains.</w:t>
            </w:r>
          </w:p>
        </w:tc>
        <w:bookmarkEnd w:id="50"/>
      </w:tr>
    </w:tbl>
    <w:p w14:paraId="141BF7D4" w14:textId="77777777" w:rsidR="00062B64" w:rsidRDefault="00DE029E">
      <w:pPr>
        <w:pStyle w:val="Corpsdetexte"/>
      </w:pPr>
      <w:r>
        <w:t xml:space="preserve">La pyramide des âges présente une </w:t>
      </w:r>
      <w:r>
        <w:rPr>
          <w:b/>
          <w:bCs/>
        </w:rPr>
        <w:t>f</w:t>
      </w:r>
      <w:r>
        <w:rPr>
          <w:b/>
          <w:bCs/>
        </w:rPr>
        <w:t>orme expansive</w:t>
      </w:r>
      <w:r>
        <w:t xml:space="preserve"> typique :</w:t>
      </w:r>
    </w:p>
    <w:p w14:paraId="0FFF4E05" w14:textId="77777777" w:rsidR="00062B64" w:rsidRDefault="00DE029E">
      <w:pPr>
        <w:pStyle w:val="Compact"/>
        <w:numPr>
          <w:ilvl w:val="0"/>
          <w:numId w:val="11"/>
        </w:numPr>
      </w:pPr>
      <w:r>
        <w:rPr>
          <w:b/>
          <w:bCs/>
        </w:rPr>
        <w:t>Base large</w:t>
      </w:r>
      <w:r>
        <w:t xml:space="preserve"> : les moins de 15 ans représentent 41.9% de la population, reflet direct d’un ISF ≈ 5,3.</w:t>
      </w:r>
    </w:p>
    <w:p w14:paraId="5060CCAA" w14:textId="77777777" w:rsidR="00062B64" w:rsidRDefault="00DE029E">
      <w:pPr>
        <w:pStyle w:val="Compact"/>
        <w:numPr>
          <w:ilvl w:val="0"/>
          <w:numId w:val="11"/>
        </w:numPr>
      </w:pPr>
      <w:r>
        <w:rPr>
          <w:b/>
          <w:bCs/>
        </w:rPr>
        <w:t>Sommet étroit</w:t>
      </w:r>
      <w:r>
        <w:t xml:space="preserve"> : les 60 ans et plus ne représentent que 7.4%, cohérent avec une espérance de vie de 54 ans.</w:t>
      </w:r>
    </w:p>
    <w:p w14:paraId="2C986E1A" w14:textId="77777777" w:rsidR="00062B64" w:rsidRDefault="00DE029E">
      <w:pPr>
        <w:pStyle w:val="Compact"/>
        <w:numPr>
          <w:ilvl w:val="0"/>
          <w:numId w:val="11"/>
        </w:numPr>
      </w:pPr>
      <w:r>
        <w:rPr>
          <w:b/>
          <w:bCs/>
        </w:rPr>
        <w:t>Étranglement masculin</w:t>
      </w:r>
      <w:r>
        <w:t xml:space="preserve"> (2</w:t>
      </w:r>
      <w:r>
        <w:t>0–35 ans) : migration sélective des hommes jeunes vers Lagos, Abuja, Kano.</w:t>
      </w:r>
    </w:p>
    <w:p w14:paraId="6EC494D6" w14:textId="77777777" w:rsidR="00062B64" w:rsidRDefault="00DE029E">
      <w:pPr>
        <w:pStyle w:val="Compact"/>
        <w:numPr>
          <w:ilvl w:val="0"/>
          <w:numId w:val="11"/>
        </w:numPr>
      </w:pPr>
      <w:r>
        <w:rPr>
          <w:b/>
          <w:bCs/>
        </w:rPr>
        <w:t>Domination féminine</w:t>
      </w:r>
      <w:r>
        <w:t xml:space="preserve"> (&gt; 50 ans) : espérance de vie féminine supérieure (57 ans vs 55 ans, Banque Mondiale 2018).</w:t>
      </w:r>
    </w:p>
    <w:p w14:paraId="317BAD9C" w14:textId="0E5AB8AF" w:rsidR="00062B64" w:rsidRDefault="00DE029E" w:rsidP="00D162EC">
      <w:pPr>
        <w:pStyle w:val="Titre2"/>
      </w:pPr>
      <w:bookmarkStart w:id="51" w:name="composition-des-ménages"/>
      <w:bookmarkStart w:id="52" w:name="_Toc224649952"/>
      <w:bookmarkEnd w:id="48"/>
      <w:r>
        <w:t>3.3 Composition des ménages</w:t>
      </w:r>
      <w:bookmarkEnd w:id="52"/>
    </w:p>
    <w:p w14:paraId="70C00619" w14:textId="77777777" w:rsidR="00062B64" w:rsidRDefault="00DE029E">
      <w:pPr>
        <w:pStyle w:val="Titre3"/>
      </w:pPr>
      <w:bookmarkStart w:id="53" w:name="répartition-par-lien-de-parenté"/>
      <w:bookmarkStart w:id="54" w:name="_Toc224649953"/>
      <w:r>
        <w:t>3</w:t>
      </w:r>
      <w:r>
        <w:t>.3.1 Répartition par lien de parenté</w:t>
      </w:r>
      <w:bookmarkEnd w:id="54"/>
    </w:p>
    <w:p w14:paraId="11B6D16A" w14:textId="77777777" w:rsidR="00062B64" w:rsidRDefault="00DE029E">
      <w:pPr>
        <w:keepNext/>
        <w:spacing w:after="60"/>
        <w:jc w:val="left"/>
      </w:pPr>
      <w:r>
        <w:rPr>
          <w:rFonts w:ascii="Calibri" w:hAnsi="Calibri"/>
          <w:sz w:val="24"/>
        </w:rPr>
        <w:t>T</w:t>
      </w:r>
      <w:r>
        <w:rPr>
          <w:rFonts w:ascii="Calibri" w:hAnsi="Calibri"/>
          <w:sz w:val="24"/>
        </w:rPr>
        <w:t xml:space="preserve">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162EC">
        <w:rPr>
          <w:noProof/>
        </w:rPr>
        <w:t>2</w:t>
      </w:r>
      <w:r>
        <w:fldChar w:fldCharType="end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>Répartition des membres par lien de parenté</w:t>
      </w:r>
    </w:p>
    <w:p w14:paraId="2D8C8B61" w14:textId="77777777" w:rsidR="00062B64" w:rsidRPr="00D162EC" w:rsidRDefault="00DE029E">
      <w:pPr>
        <w:keepNext/>
        <w:spacing w:after="60"/>
        <w:jc w:val="left"/>
        <w:rPr>
          <w:lang w:val="en-US"/>
        </w:rPr>
      </w:pPr>
      <w:r w:rsidRPr="00D162EC">
        <w:rPr>
          <w:rFonts w:ascii="Calibri" w:hAnsi="Calibri"/>
          <w:color w:val="333333"/>
          <w:lang w:val="en-US"/>
        </w:rPr>
        <w:t>Nigeria GHS Panel W4 (2018-2019) — IC 95% Clopper-Pearson</w:t>
      </w:r>
    </w:p>
    <w:tbl>
      <w:tblPr>
        <w:tblStyle w:val="TableauGrille1Clair-Accentuation1"/>
        <w:tblW w:w="0" w:type="auto"/>
        <w:tblLook w:val="0000" w:firstRow="0" w:lastRow="0" w:firstColumn="0" w:lastColumn="0" w:noHBand="0" w:noVBand="0"/>
      </w:tblPr>
      <w:tblGrid>
        <w:gridCol w:w="2831"/>
        <w:gridCol w:w="1657"/>
        <w:gridCol w:w="2648"/>
        <w:gridCol w:w="2492"/>
      </w:tblGrid>
      <w:tr w:rsidR="00062B64" w:rsidRPr="00D162EC" w14:paraId="68A78DD2" w14:textId="77777777" w:rsidTr="00D162EC">
        <w:tc>
          <w:tcPr>
            <w:tcW w:w="0" w:type="auto"/>
          </w:tcPr>
          <w:p w14:paraId="03CBC0BD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Lien de parenté</w:t>
            </w:r>
          </w:p>
        </w:tc>
        <w:tc>
          <w:tcPr>
            <w:tcW w:w="0" w:type="auto"/>
          </w:tcPr>
          <w:p w14:paraId="3AADC47D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Effectif</w:t>
            </w:r>
          </w:p>
        </w:tc>
        <w:tc>
          <w:tcPr>
            <w:tcW w:w="0" w:type="auto"/>
          </w:tcPr>
          <w:p w14:paraId="3757C13C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Proportion (%)</w:t>
            </w:r>
          </w:p>
        </w:tc>
        <w:tc>
          <w:tcPr>
            <w:tcW w:w="0" w:type="auto"/>
          </w:tcPr>
          <w:p w14:paraId="3C9CDBC3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IC 95%</w:t>
            </w:r>
          </w:p>
        </w:tc>
      </w:tr>
      <w:tr w:rsidR="00062B64" w:rsidRPr="00D162EC" w14:paraId="7BB128E1" w14:textId="77777777" w:rsidTr="00D162EC">
        <w:tc>
          <w:tcPr>
            <w:tcW w:w="0" w:type="auto"/>
          </w:tcPr>
          <w:p w14:paraId="7EF8A427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Enfant</w:t>
            </w:r>
          </w:p>
        </w:tc>
        <w:tc>
          <w:tcPr>
            <w:tcW w:w="0" w:type="auto"/>
          </w:tcPr>
          <w:p w14:paraId="23BE5778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14 328</w:t>
            </w:r>
          </w:p>
        </w:tc>
        <w:tc>
          <w:tcPr>
            <w:tcW w:w="0" w:type="auto"/>
          </w:tcPr>
          <w:p w14:paraId="582E4E44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55.6</w:t>
            </w:r>
          </w:p>
        </w:tc>
        <w:tc>
          <w:tcPr>
            <w:tcW w:w="0" w:type="auto"/>
          </w:tcPr>
          <w:p w14:paraId="037D5EF9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[55% ; 56.2%]</w:t>
            </w:r>
          </w:p>
        </w:tc>
      </w:tr>
      <w:tr w:rsidR="00062B64" w:rsidRPr="00D162EC" w14:paraId="3505A294" w14:textId="77777777" w:rsidTr="00D162EC">
        <w:tc>
          <w:tcPr>
            <w:tcW w:w="0" w:type="auto"/>
          </w:tcPr>
          <w:p w14:paraId="567A494E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Chef de menage</w:t>
            </w:r>
          </w:p>
        </w:tc>
        <w:tc>
          <w:tcPr>
            <w:tcW w:w="0" w:type="auto"/>
          </w:tcPr>
          <w:p w14:paraId="2C5B220F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4 968</w:t>
            </w:r>
          </w:p>
        </w:tc>
        <w:tc>
          <w:tcPr>
            <w:tcW w:w="0" w:type="auto"/>
          </w:tcPr>
          <w:p w14:paraId="3F36626E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19.3</w:t>
            </w:r>
          </w:p>
        </w:tc>
        <w:tc>
          <w:tcPr>
            <w:tcW w:w="0" w:type="auto"/>
          </w:tcPr>
          <w:p w14:paraId="246AECA8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 xml:space="preserve">[18.8% ; </w:t>
            </w:r>
            <w:r w:rsidRPr="00D162EC">
              <w:rPr>
                <w:rFonts w:ascii="Bookman Old Style" w:hAnsi="Bookman Old Style"/>
              </w:rPr>
              <w:t>19.8%]</w:t>
            </w:r>
          </w:p>
        </w:tc>
      </w:tr>
      <w:tr w:rsidR="00062B64" w:rsidRPr="00D162EC" w14:paraId="5D347CC7" w14:textId="77777777" w:rsidTr="00D162EC">
        <w:tc>
          <w:tcPr>
            <w:tcW w:w="0" w:type="auto"/>
          </w:tcPr>
          <w:p w14:paraId="343ACE6D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Conjoint(e)</w:t>
            </w:r>
          </w:p>
        </w:tc>
        <w:tc>
          <w:tcPr>
            <w:tcW w:w="0" w:type="auto"/>
          </w:tcPr>
          <w:p w14:paraId="4F0DEA16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4 214</w:t>
            </w:r>
          </w:p>
        </w:tc>
        <w:tc>
          <w:tcPr>
            <w:tcW w:w="0" w:type="auto"/>
          </w:tcPr>
          <w:p w14:paraId="63DA3A90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16.4</w:t>
            </w:r>
          </w:p>
        </w:tc>
        <w:tc>
          <w:tcPr>
            <w:tcW w:w="0" w:type="auto"/>
          </w:tcPr>
          <w:p w14:paraId="460587B8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[15.9% ; 16.8%]</w:t>
            </w:r>
          </w:p>
        </w:tc>
      </w:tr>
      <w:tr w:rsidR="00062B64" w:rsidRPr="00D162EC" w14:paraId="31EF0BA8" w14:textId="77777777" w:rsidTr="00D162EC">
        <w:tc>
          <w:tcPr>
            <w:tcW w:w="0" w:type="auto"/>
          </w:tcPr>
          <w:p w14:paraId="41A3BD74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Autre</w:t>
            </w:r>
          </w:p>
        </w:tc>
        <w:tc>
          <w:tcPr>
            <w:tcW w:w="0" w:type="auto"/>
          </w:tcPr>
          <w:p w14:paraId="41A7D8D7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2 257</w:t>
            </w:r>
          </w:p>
        </w:tc>
        <w:tc>
          <w:tcPr>
            <w:tcW w:w="0" w:type="auto"/>
          </w:tcPr>
          <w:p w14:paraId="5F3697CE" w14:textId="77777777" w:rsidR="00062B64" w:rsidRPr="00D162EC" w:rsidRDefault="00DE029E">
            <w:pPr>
              <w:keepNext/>
              <w:spacing w:after="60"/>
              <w:jc w:val="righ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8.8</w:t>
            </w:r>
          </w:p>
        </w:tc>
        <w:tc>
          <w:tcPr>
            <w:tcW w:w="0" w:type="auto"/>
          </w:tcPr>
          <w:p w14:paraId="4C6AA2A9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[8.4% ; 9.1%]</w:t>
            </w:r>
          </w:p>
        </w:tc>
      </w:tr>
      <w:tr w:rsidR="00062B64" w:rsidRPr="00D162EC" w14:paraId="7ED6EE87" w14:textId="77777777" w:rsidTr="00D162EC">
        <w:tc>
          <w:tcPr>
            <w:tcW w:w="0" w:type="auto"/>
            <w:gridSpan w:val="4"/>
          </w:tcPr>
          <w:p w14:paraId="3A9EF2D7" w14:textId="77777777" w:rsidR="00062B64" w:rsidRPr="00D162EC" w:rsidRDefault="00DE029E">
            <w:pPr>
              <w:keepNext/>
              <w:spacing w:after="60"/>
              <w:rPr>
                <w:rFonts w:ascii="Bookman Old Style" w:hAnsi="Bookman Old Style"/>
              </w:rPr>
            </w:pPr>
            <w:proofErr w:type="gramStart"/>
            <w:r w:rsidRPr="00D162EC">
              <w:rPr>
                <w:rFonts w:ascii="Bookman Old Style" w:hAnsi="Bookman Old Style"/>
                <w:lang w:val="en-US"/>
              </w:rPr>
              <w:t>Source :</w:t>
            </w:r>
            <w:proofErr w:type="gramEnd"/>
            <w:r w:rsidRPr="00D162EC">
              <w:rPr>
                <w:rFonts w:ascii="Bookman Old Style" w:hAnsi="Bookman Old Style"/>
                <w:lang w:val="en-US"/>
              </w:rPr>
              <w:t xml:space="preserve"> NBS Nigeria / World Bank LSMS-ISA. </w:t>
            </w:r>
            <w:r w:rsidRPr="00D162EC">
              <w:rPr>
                <w:rFonts w:ascii="Bookman Old Style" w:hAnsi="Bookman Old Style"/>
              </w:rPr>
              <w:t>Calculs des auteurs.</w:t>
            </w:r>
          </w:p>
        </w:tc>
      </w:tr>
      <w:tr w:rsidR="00062B64" w:rsidRPr="00D162EC" w14:paraId="775202E6" w14:textId="77777777" w:rsidTr="00D162EC">
        <w:tc>
          <w:tcPr>
            <w:tcW w:w="0" w:type="auto"/>
            <w:gridSpan w:val="4"/>
          </w:tcPr>
          <w:p w14:paraId="1689BBBD" w14:textId="77777777" w:rsidR="00062B64" w:rsidRPr="00D162EC" w:rsidRDefault="00DE029E">
            <w:pPr>
              <w:pStyle w:val="Compact"/>
              <w:jc w:val="center"/>
              <w:rPr>
                <w:rFonts w:ascii="Bookman Old Style" w:hAnsi="Bookman Old Style"/>
              </w:rPr>
            </w:pPr>
            <w:bookmarkStart w:id="55" w:name="fig-parente"/>
            <w:r w:rsidRPr="00D162EC">
              <w:rPr>
                <w:rFonts w:ascii="Bookman Old Style" w:hAnsi="Bookman Old Style"/>
                <w:noProof/>
              </w:rPr>
              <w:drawing>
                <wp:inline distT="0" distB="0" distL="0" distR="0" wp14:anchorId="37AE4181" wp14:editId="3313B467">
                  <wp:extent cx="6108700" cy="4276090"/>
                  <wp:effectExtent l="0" t="0" r="0" b="0"/>
                  <wp:docPr id="54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" descr="outputs/figures/fig04_parente_barplo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427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F3FD87" w14:textId="77777777" w:rsidR="00062B64" w:rsidRPr="00D162EC" w:rsidRDefault="00DE029E">
            <w:pPr>
              <w:pStyle w:val="ImageCaption"/>
              <w:spacing w:before="20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Figure 3: Répartition des membres par lien de parenté avec le chef de ménage, ordonnée par fréquence. Les barres horizontales incluent les intervalles de confiance à 95% (méthode exacte de Clopper-Pearson).</w:t>
            </w:r>
          </w:p>
        </w:tc>
        <w:bookmarkEnd w:id="55"/>
      </w:tr>
    </w:tbl>
    <w:p w14:paraId="2046301C" w14:textId="77777777" w:rsidR="00062B64" w:rsidRDefault="00DE029E">
      <w:pPr>
        <w:pStyle w:val="Corpsdetexte"/>
      </w:pPr>
      <w:r>
        <w:t xml:space="preserve">Les </w:t>
      </w:r>
      <w:r>
        <w:rPr>
          <w:b/>
          <w:bCs/>
        </w:rPr>
        <w:t>enfants</w:t>
      </w:r>
      <w:r>
        <w:t xml:space="preserve"> (biologiques et adoptés) constituent</w:t>
      </w:r>
      <w:r>
        <w:t xml:space="preserve"> </w:t>
      </w:r>
      <w:r>
        <w:rPr>
          <w:b/>
          <w:bCs/>
        </w:rPr>
        <w:t>55.6%</w:t>
      </w:r>
      <w:r>
        <w:t xml:space="preserve"> des membres, ce qui en fait la catégorie dominante — ratio supérieur à la moyenne subsaharienne (~50%), reflet direct de l’ISF élevé. Les </w:t>
      </w:r>
      <w:r>
        <w:rPr>
          <w:b/>
          <w:bCs/>
        </w:rPr>
        <w:t>chefs de ménage</w:t>
      </w:r>
      <w:r>
        <w:t xml:space="preserve"> représentent 19.3%, cohérent avec une taille moyenne de 5.2 membres. La catégorie </w:t>
      </w:r>
      <w:r>
        <w:rPr>
          <w:b/>
          <w:bCs/>
        </w:rPr>
        <w:t>Autre</w:t>
      </w:r>
      <w:r>
        <w:t xml:space="preserve"> (8.8%) </w:t>
      </w:r>
      <w:r>
        <w:t xml:space="preserve">reflète la </w:t>
      </w:r>
      <w:r>
        <w:rPr>
          <w:b/>
          <w:bCs/>
        </w:rPr>
        <w:t>structure élargie</w:t>
      </w:r>
      <w:r>
        <w:t xml:space="preserve"> caractéristique des ménages africains.</w:t>
      </w:r>
    </w:p>
    <w:p w14:paraId="3FB07412" w14:textId="77777777" w:rsidR="00062B64" w:rsidRDefault="00DE029E">
      <w:r>
        <w:br w:type="page"/>
      </w:r>
    </w:p>
    <w:p w14:paraId="6F619E78" w14:textId="77777777" w:rsidR="00062B64" w:rsidRDefault="00DE029E">
      <w:pPr>
        <w:pStyle w:val="Titre2"/>
      </w:pPr>
      <w:bookmarkStart w:id="56" w:name="Xe2dc391d7ff1feb5e2a893034366d25c6640a07"/>
      <w:bookmarkStart w:id="57" w:name="_Toc224649954"/>
      <w:bookmarkEnd w:id="51"/>
      <w:bookmarkEnd w:id="53"/>
      <w:r>
        <w:t>3.4 Comparaison rural-urbain de la taille des ménages</w:t>
      </w:r>
      <w:bookmarkEnd w:id="57"/>
    </w:p>
    <w:p w14:paraId="0F0949D3" w14:textId="77777777" w:rsidR="00062B64" w:rsidRDefault="00DE029E">
      <w:pPr>
        <w:pStyle w:val="Titre3"/>
      </w:pPr>
      <w:bookmarkStart w:id="58" w:name="statistiques-descriptives-par-milieu"/>
      <w:bookmarkStart w:id="59" w:name="_Toc224649955"/>
      <w:r>
        <w:t>3.4.1 Statistiques descriptives par milieu</w:t>
      </w:r>
      <w:bookmarkEnd w:id="59"/>
    </w:p>
    <w:p w14:paraId="7261CA3D" w14:textId="77777777" w:rsidR="00062B64" w:rsidRDefault="00DE029E">
      <w:pPr>
        <w:keepNext/>
        <w:spacing w:after="60"/>
        <w:jc w:val="left"/>
      </w:pPr>
      <w:r>
        <w:rPr>
          <w:rFonts w:ascii="Calibri" w:hAnsi="Calibri"/>
          <w:sz w:val="24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D162EC">
        <w:rPr>
          <w:noProof/>
        </w:rPr>
        <w:t>3</w:t>
      </w:r>
      <w:r>
        <w:fldChar w:fldCharType="end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color w:val="333333"/>
          <w:sz w:val="24"/>
        </w:rPr>
        <w:t>Taille des ménages par milieu de résidence</w:t>
      </w:r>
    </w:p>
    <w:p w14:paraId="2C9874E8" w14:textId="77777777" w:rsidR="00062B64" w:rsidRDefault="00DE029E">
      <w:pPr>
        <w:keepNext/>
        <w:spacing w:after="60"/>
        <w:jc w:val="left"/>
      </w:pPr>
      <w:r>
        <w:rPr>
          <w:rFonts w:ascii="Calibri" w:hAnsi="Calibri"/>
          <w:color w:val="333333"/>
        </w:rPr>
        <w:t>Nigeria GHS P</w:t>
      </w:r>
      <w:r>
        <w:rPr>
          <w:rFonts w:ascii="Calibri" w:hAnsi="Calibri"/>
          <w:color w:val="333333"/>
        </w:rPr>
        <w:t>anel W4 (2018-2019) — Niveau ménage</w:t>
      </w:r>
    </w:p>
    <w:tbl>
      <w:tblPr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692"/>
        <w:gridCol w:w="1186"/>
        <w:gridCol w:w="926"/>
        <w:gridCol w:w="870"/>
        <w:gridCol w:w="368"/>
        <w:gridCol w:w="368"/>
        <w:gridCol w:w="990"/>
      </w:tblGrid>
      <w:tr w:rsidR="00062B64" w14:paraId="1F0975C1" w14:textId="77777777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FC9ADBD" w14:textId="77777777" w:rsidR="00062B64" w:rsidRDefault="00DE029E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Milieu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271B141D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N (ménages)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54DF581A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Moyenne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743C6CC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Médiane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1E2E426C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Q1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14:paraId="6FB6F98E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Q3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5990B1FF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Écart-type</w:t>
            </w:r>
          </w:p>
        </w:tc>
      </w:tr>
      <w:tr w:rsidR="00062B64" w14:paraId="5157286E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8F73917" w14:textId="77777777" w:rsidR="00062B64" w:rsidRDefault="00DE029E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Urbain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F56083D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1595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286E0AE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4,59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B6648DA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E05C4A4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E557B5A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06A193E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2,89</w:t>
            </w:r>
          </w:p>
        </w:tc>
      </w:tr>
      <w:tr w:rsidR="00062B64" w14:paraId="609E719A" w14:textId="77777777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B6D3B0" w14:textId="77777777" w:rsidR="00062B64" w:rsidRDefault="00DE029E">
            <w:pPr>
              <w:keepNext/>
              <w:spacing w:after="60"/>
              <w:jc w:val="center"/>
            </w:pPr>
            <w:r>
              <w:rPr>
                <w:rFonts w:ascii="Calibri" w:hAnsi="Calibri"/>
              </w:rPr>
              <w:t>Rural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BE3C49A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3383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BFA3497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5,45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8C06D3B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692B4B3F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CF28F6C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74EC6A" w14:textId="77777777" w:rsidR="00062B64" w:rsidRDefault="00DE029E">
            <w:pPr>
              <w:keepNext/>
              <w:spacing w:after="60"/>
              <w:jc w:val="right"/>
            </w:pPr>
            <w:r>
              <w:rPr>
                <w:rFonts w:ascii="Calibri" w:hAnsi="Calibri"/>
              </w:rPr>
              <w:t>3,38</w:t>
            </w:r>
          </w:p>
        </w:tc>
      </w:tr>
      <w:tr w:rsidR="00062B64" w14:paraId="73C08597" w14:textId="77777777">
        <w:trPr>
          <w:cantSplit/>
          <w:jc w:val="center"/>
        </w:trPr>
        <w:tc>
          <w:tcPr>
            <w:tcW w:w="0" w:type="auto"/>
            <w:gridSpan w:val="7"/>
          </w:tcPr>
          <w:p w14:paraId="39790BA5" w14:textId="77777777" w:rsidR="00062B64" w:rsidRDefault="00DE029E">
            <w:pPr>
              <w:keepNext/>
              <w:spacing w:after="60"/>
            </w:pPr>
            <w:proofErr w:type="gramStart"/>
            <w:r w:rsidRPr="00D162EC">
              <w:rPr>
                <w:rFonts w:ascii="Calibri" w:hAnsi="Calibri"/>
                <w:lang w:val="en-US"/>
              </w:rPr>
              <w:t>Source :</w:t>
            </w:r>
            <w:proofErr w:type="gramEnd"/>
            <w:r w:rsidRPr="00D162EC">
              <w:rPr>
                <w:rFonts w:ascii="Calibri" w:hAnsi="Calibri"/>
                <w:lang w:val="en-US"/>
              </w:rPr>
              <w:t xml:space="preserve"> NBS Nigeria / World Bank LSMS-ISA. </w:t>
            </w:r>
            <w:r>
              <w:rPr>
                <w:rFonts w:ascii="Calibri" w:hAnsi="Calibri"/>
              </w:rPr>
              <w:t>Calculs des auteurs.</w:t>
            </w:r>
          </w:p>
        </w:tc>
      </w:tr>
    </w:tbl>
    <w:p w14:paraId="3BD1EB17" w14:textId="77777777" w:rsidR="00062B64" w:rsidRDefault="00DE029E">
      <w:pPr>
        <w:pStyle w:val="FirstParagraph"/>
      </w:pPr>
      <w:r>
        <w:t xml:space="preserve">Les ménages </w:t>
      </w:r>
      <w:r>
        <w:rPr>
          <w:b/>
          <w:bCs/>
        </w:rPr>
        <w:t>ruraux</w:t>
      </w:r>
      <w:r>
        <w:t xml:space="preserve"> </w:t>
      </w:r>
      <w:r>
        <w:t xml:space="preserve">présentent une médiane supérieure (5 membres) aux ménages </w:t>
      </w:r>
      <w:r>
        <w:rPr>
          <w:b/>
          <w:bCs/>
        </w:rPr>
        <w:t>urbains</w:t>
      </w:r>
      <w:r>
        <w:t xml:space="preserve"> (4 membres). La différence se concentre sur la borne haute : Q3 passe de 6 (urbain) à 7 (rural), indiquant que les </w:t>
      </w:r>
      <w:r>
        <w:rPr>
          <w:b/>
          <w:bCs/>
        </w:rPr>
        <w:t>grands ménages polygames</w:t>
      </w:r>
      <w:r>
        <w:t xml:space="preserve"> sont plus fréquents en milieu rural.</w:t>
      </w:r>
    </w:p>
    <w:p w14:paraId="7F34A74B" w14:textId="77777777" w:rsidR="00062B64" w:rsidRDefault="00DE029E">
      <w:pPr>
        <w:pStyle w:val="Titre3"/>
      </w:pPr>
      <w:bookmarkStart w:id="60" w:name="visualisation-comparative"/>
      <w:bookmarkStart w:id="61" w:name="_Toc224649956"/>
      <w:bookmarkEnd w:id="58"/>
      <w:r>
        <w:t>3.4.2 Visuali</w:t>
      </w:r>
      <w:r>
        <w:t>sation comparative</w:t>
      </w:r>
      <w:bookmarkEnd w:id="61"/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9638"/>
      </w:tblGrid>
      <w:tr w:rsidR="00062B64" w14:paraId="3EAF18C6" w14:textId="77777777">
        <w:tc>
          <w:tcPr>
            <w:tcW w:w="7920" w:type="dxa"/>
          </w:tcPr>
          <w:p w14:paraId="2202F590" w14:textId="77777777" w:rsidR="00062B64" w:rsidRDefault="00DE029E">
            <w:pPr>
              <w:pStyle w:val="Compact"/>
              <w:jc w:val="center"/>
            </w:pPr>
            <w:bookmarkStart w:id="62" w:name="fig-box-taille"/>
            <w:r>
              <w:rPr>
                <w:noProof/>
              </w:rPr>
              <w:drawing>
                <wp:inline distT="0" distB="0" distL="0" distR="0" wp14:anchorId="15FC9249" wp14:editId="1584BD35">
                  <wp:extent cx="6108700" cy="4276090"/>
                  <wp:effectExtent l="0" t="0" r="0" b="0"/>
                  <wp:docPr id="61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Picture" descr="outputs/figures/fig05_boxplot_taille_menag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08700" cy="427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35EF7" w14:textId="77777777" w:rsidR="00062B64" w:rsidRDefault="00DE029E">
            <w:pPr>
              <w:pStyle w:val="ImageCaption"/>
              <w:spacing w:before="200"/>
              <w:jc w:val="left"/>
            </w:pPr>
            <w:r>
              <w:t>Figure 4: Taille des ménages selon le milieu de résidence. Vert = Rural (convention FAO/IFPRI), Gris = Urbain (convention ONU-HABITAT). Les ménages ruraux sont plus grands (médiane = 5) que les urbains (médiane = 4). Test de Wilcoxon, p &lt; 0,001, r = 0,12.</w:t>
            </w:r>
          </w:p>
        </w:tc>
        <w:bookmarkEnd w:id="62"/>
      </w:tr>
    </w:tbl>
    <w:p w14:paraId="5E56451C" w14:textId="77777777" w:rsidR="00062B64" w:rsidRDefault="00DE029E">
      <w:pPr>
        <w:pStyle w:val="Titre3"/>
      </w:pPr>
      <w:bookmarkStart w:id="63" w:name="test-de-wilcoxon-mann-whitney"/>
      <w:bookmarkStart w:id="64" w:name="_Toc224649957"/>
      <w:bookmarkEnd w:id="60"/>
      <w:r>
        <w:t>3.4.3 Test de Wilcoxon-Mann-Whitney</w:t>
      </w:r>
      <w:bookmarkEnd w:id="64"/>
    </w:p>
    <w:p w14:paraId="2EA63391" w14:textId="77777777" w:rsidR="00062B64" w:rsidRDefault="00DE029E">
      <w:pPr>
        <w:pStyle w:val="FirstParagraph"/>
      </w:pPr>
      <w:r>
        <w:t xml:space="preserve">Le </w:t>
      </w:r>
      <w:r>
        <w:rPr>
          <w:b/>
          <w:bCs/>
        </w:rPr>
        <w:t>test de Wilcoxon-Mann-Whitney</w:t>
      </w:r>
      <w:r>
        <w:t xml:space="preserve"> confirme une différence significative (W = 3 098 048, p &lt; 0,001). Cependant, la </w:t>
      </w:r>
      <w:r>
        <w:rPr>
          <w:b/>
          <w:bCs/>
        </w:rPr>
        <w:t>taille d’effet</w:t>
      </w:r>
      <w:r>
        <w:t xml:space="preserve"> (r = 0.121) est </w:t>
      </w:r>
      <w:r>
        <w:rPr>
          <w:b/>
          <w:bCs/>
        </w:rPr>
        <w:t>petite</w:t>
      </w:r>
      <w:r>
        <w:t xml:space="preserve"> selon Cohen (1988) : le milieu de résidence n’explique que </w:t>
      </w:r>
      <w:r>
        <w:rPr>
          <w:b/>
          <w:bCs/>
        </w:rPr>
        <w:t>1.45%</w:t>
      </w:r>
      <w:r>
        <w:t xml:space="preserve"> de </w:t>
      </w:r>
      <w:r>
        <w:t xml:space="preserve">la variabilité de la taille des ménages. Les </w:t>
      </w:r>
      <w:r>
        <w:rPr>
          <w:b/>
          <w:bCs/>
        </w:rPr>
        <w:t>98.5%</w:t>
      </w:r>
      <w:r>
        <w:t xml:space="preserve"> restants proviennent d’autres facteurs : zone géopolitique, religion, polygamie, niveau d’éducation du chef de ménage (Sullivan &amp; Feinn, 2012).</w:t>
      </w:r>
    </w:p>
    <w:p w14:paraId="76B40C51" w14:textId="3AF8D952" w:rsidR="00062B64" w:rsidRDefault="00DE029E" w:rsidP="00D162EC">
      <w:pPr>
        <w:pStyle w:val="Titre2"/>
      </w:pPr>
      <w:bookmarkStart w:id="65" w:name="X2cf780949648aa0c1c7e20fabb320335e77e549"/>
      <w:bookmarkStart w:id="66" w:name="_Toc224649958"/>
      <w:bookmarkEnd w:id="56"/>
      <w:bookmarkEnd w:id="63"/>
      <w:r>
        <w:t>3.5 Caractéristiques démographiques stratifiées par milieu</w:t>
      </w:r>
      <w:bookmarkEnd w:id="66"/>
    </w:p>
    <w:tbl>
      <w:tblPr>
        <w:tblStyle w:val="TableauGrille1Clair-Accentuation1"/>
        <w:tblW w:w="0" w:type="auto"/>
        <w:tblLook w:val="0000" w:firstRow="0" w:lastRow="0" w:firstColumn="0" w:lastColumn="0" w:noHBand="0" w:noVBand="0"/>
      </w:tblPr>
      <w:tblGrid>
        <w:gridCol w:w="1993"/>
        <w:gridCol w:w="2117"/>
        <w:gridCol w:w="1937"/>
        <w:gridCol w:w="1941"/>
        <w:gridCol w:w="1049"/>
      </w:tblGrid>
      <w:tr w:rsidR="00062B64" w:rsidRPr="00D162EC" w14:paraId="0F2FE408" w14:textId="77777777" w:rsidTr="00D162EC">
        <w:tc>
          <w:tcPr>
            <w:tcW w:w="0" w:type="auto"/>
          </w:tcPr>
          <w:p w14:paraId="744971B0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Variable</w:t>
            </w:r>
          </w:p>
        </w:tc>
        <w:tc>
          <w:tcPr>
            <w:tcW w:w="0" w:type="auto"/>
          </w:tcPr>
          <w:p w14:paraId="409B6D4A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Overall</w:t>
            </w:r>
            <w:r w:rsidRPr="00D162EC">
              <w:rPr>
                <w:rFonts w:ascii="Bookman Old Style" w:hAnsi="Bookman Old Style"/>
              </w:rPr>
              <w:t xml:space="preserve"> N = 25767</w:t>
            </w:r>
            <w:r w:rsidRPr="00D162EC">
              <w:rPr>
                <w:rFonts w:ascii="Bookman Old Style" w:hAnsi="Bookman Old Style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5BC8F91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Urbain</w:t>
            </w:r>
            <w:r w:rsidRPr="00D162EC">
              <w:rPr>
                <w:rFonts w:ascii="Bookman Old Style" w:hAnsi="Bookman Old Style"/>
              </w:rPr>
              <w:t xml:space="preserve"> N = 7324</w:t>
            </w:r>
            <w:r w:rsidRPr="00D162EC">
              <w:rPr>
                <w:rFonts w:ascii="Bookman Old Style" w:hAnsi="Bookman Old Style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4DDC85CA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Rural</w:t>
            </w:r>
            <w:r w:rsidRPr="00D162EC">
              <w:rPr>
                <w:rFonts w:ascii="Bookman Old Style" w:hAnsi="Bookman Old Style"/>
              </w:rPr>
              <w:t xml:space="preserve"> N = 18443</w:t>
            </w:r>
            <w:r w:rsidRPr="00D162EC">
              <w:rPr>
                <w:rFonts w:ascii="Bookman Old Style" w:hAnsi="Bookman Old Style"/>
                <w:i/>
                <w:vertAlign w:val="superscript"/>
              </w:rPr>
              <w:t>1</w:t>
            </w:r>
          </w:p>
        </w:tc>
        <w:tc>
          <w:tcPr>
            <w:tcW w:w="0" w:type="auto"/>
          </w:tcPr>
          <w:p w14:paraId="2005879A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p-value</w:t>
            </w:r>
            <w:r w:rsidRPr="00D162EC">
              <w:rPr>
                <w:rFonts w:ascii="Bookman Old Style" w:hAnsi="Bookman Old Style"/>
                <w:i/>
                <w:vertAlign w:val="superscript"/>
              </w:rPr>
              <w:t>2</w:t>
            </w:r>
          </w:p>
        </w:tc>
      </w:tr>
      <w:tr w:rsidR="00062B64" w:rsidRPr="00D162EC" w14:paraId="609EB92A" w14:textId="77777777" w:rsidTr="00D162EC">
        <w:tc>
          <w:tcPr>
            <w:tcW w:w="0" w:type="auto"/>
          </w:tcPr>
          <w:p w14:paraId="3B4BCC84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Âge (années)</w:t>
            </w:r>
          </w:p>
        </w:tc>
        <w:tc>
          <w:tcPr>
            <w:tcW w:w="0" w:type="auto"/>
          </w:tcPr>
          <w:p w14:paraId="65F1B3F9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18 [9 ; 37]</w:t>
            </w:r>
          </w:p>
        </w:tc>
        <w:tc>
          <w:tcPr>
            <w:tcW w:w="0" w:type="auto"/>
          </w:tcPr>
          <w:p w14:paraId="0492575D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20 [10 ; 38]</w:t>
            </w:r>
          </w:p>
        </w:tc>
        <w:tc>
          <w:tcPr>
            <w:tcW w:w="0" w:type="auto"/>
          </w:tcPr>
          <w:p w14:paraId="7D2E4095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17 [8 ; 36]</w:t>
            </w:r>
          </w:p>
        </w:tc>
        <w:tc>
          <w:tcPr>
            <w:tcW w:w="0" w:type="auto"/>
          </w:tcPr>
          <w:p w14:paraId="72707E00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&lt;0.001</w:t>
            </w:r>
          </w:p>
        </w:tc>
      </w:tr>
      <w:tr w:rsidR="00062B64" w:rsidRPr="00D162EC" w14:paraId="25AE4B5B" w14:textId="77777777" w:rsidTr="00D162EC">
        <w:tc>
          <w:tcPr>
            <w:tcW w:w="0" w:type="auto"/>
          </w:tcPr>
          <w:p w14:paraId="44326124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>Sexe</w:t>
            </w:r>
          </w:p>
        </w:tc>
        <w:tc>
          <w:tcPr>
            <w:tcW w:w="0" w:type="auto"/>
          </w:tcPr>
          <w:p w14:paraId="5BC57699" w14:textId="77777777" w:rsidR="00062B64" w:rsidRPr="00D162EC" w:rsidRDefault="00062B64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0" w:type="auto"/>
          </w:tcPr>
          <w:p w14:paraId="4163A13A" w14:textId="77777777" w:rsidR="00062B64" w:rsidRPr="00D162EC" w:rsidRDefault="00062B64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0" w:type="auto"/>
          </w:tcPr>
          <w:p w14:paraId="262CF926" w14:textId="77777777" w:rsidR="00062B64" w:rsidRPr="00D162EC" w:rsidRDefault="00062B64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0" w:type="auto"/>
          </w:tcPr>
          <w:p w14:paraId="265F00CC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0.4</w:t>
            </w:r>
          </w:p>
        </w:tc>
      </w:tr>
      <w:tr w:rsidR="00062B64" w:rsidRPr="00D162EC" w14:paraId="268D7FCA" w14:textId="77777777" w:rsidTr="00D162EC">
        <w:tc>
          <w:tcPr>
            <w:tcW w:w="0" w:type="auto"/>
          </w:tcPr>
          <w:p w14:paraId="2A8DB335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    Homme</w:t>
            </w:r>
          </w:p>
        </w:tc>
        <w:tc>
          <w:tcPr>
            <w:tcW w:w="0" w:type="auto"/>
          </w:tcPr>
          <w:p w14:paraId="1920C73B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12,828 (50%)</w:t>
            </w:r>
          </w:p>
        </w:tc>
        <w:tc>
          <w:tcPr>
            <w:tcW w:w="0" w:type="auto"/>
          </w:tcPr>
          <w:p w14:paraId="1987E725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3,614 (49%)</w:t>
            </w:r>
          </w:p>
        </w:tc>
        <w:tc>
          <w:tcPr>
            <w:tcW w:w="0" w:type="auto"/>
          </w:tcPr>
          <w:p w14:paraId="0DBB3F93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9,214 (50%)</w:t>
            </w:r>
          </w:p>
        </w:tc>
        <w:tc>
          <w:tcPr>
            <w:tcW w:w="0" w:type="auto"/>
          </w:tcPr>
          <w:p w14:paraId="6382A8AA" w14:textId="77777777" w:rsidR="00062B64" w:rsidRPr="00D162EC" w:rsidRDefault="00062B64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</w:p>
        </w:tc>
      </w:tr>
      <w:tr w:rsidR="00062B64" w:rsidRPr="00D162EC" w14:paraId="04B0D4CB" w14:textId="77777777" w:rsidTr="00D162EC">
        <w:tc>
          <w:tcPr>
            <w:tcW w:w="0" w:type="auto"/>
          </w:tcPr>
          <w:p w14:paraId="1D6C2FCB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    Femme</w:t>
            </w:r>
          </w:p>
        </w:tc>
        <w:tc>
          <w:tcPr>
            <w:tcW w:w="0" w:type="auto"/>
          </w:tcPr>
          <w:p w14:paraId="5A723631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12,939 (50%)</w:t>
            </w:r>
          </w:p>
        </w:tc>
        <w:tc>
          <w:tcPr>
            <w:tcW w:w="0" w:type="auto"/>
          </w:tcPr>
          <w:p w14:paraId="6A95DF86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3,710 (51%)</w:t>
            </w:r>
          </w:p>
        </w:tc>
        <w:tc>
          <w:tcPr>
            <w:tcW w:w="0" w:type="auto"/>
          </w:tcPr>
          <w:p w14:paraId="12ACFCD6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9,229 (50%)</w:t>
            </w:r>
          </w:p>
        </w:tc>
        <w:tc>
          <w:tcPr>
            <w:tcW w:w="0" w:type="auto"/>
          </w:tcPr>
          <w:p w14:paraId="116C5977" w14:textId="77777777" w:rsidR="00062B64" w:rsidRPr="00D162EC" w:rsidRDefault="00062B64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</w:p>
        </w:tc>
      </w:tr>
      <w:tr w:rsidR="00062B64" w:rsidRPr="00D162EC" w14:paraId="099F6C8B" w14:textId="77777777" w:rsidTr="00D162EC">
        <w:tc>
          <w:tcPr>
            <w:tcW w:w="0" w:type="auto"/>
          </w:tcPr>
          <w:p w14:paraId="0EE029D2" w14:textId="77777777" w:rsidR="00062B64" w:rsidRPr="00D162EC" w:rsidRDefault="00DE029E">
            <w:pPr>
              <w:keepNext/>
              <w:spacing w:after="60"/>
              <w:jc w:val="left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b/>
              </w:rPr>
              <w:t xml:space="preserve">Taille du </w:t>
            </w:r>
            <w:r w:rsidRPr="00D162EC">
              <w:rPr>
                <w:rFonts w:ascii="Bookman Old Style" w:hAnsi="Bookman Old Style"/>
                <w:b/>
              </w:rPr>
              <w:t>ménage</w:t>
            </w:r>
          </w:p>
        </w:tc>
        <w:tc>
          <w:tcPr>
            <w:tcW w:w="0" w:type="auto"/>
          </w:tcPr>
          <w:p w14:paraId="48B107FF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6 [5 ; 9]</w:t>
            </w:r>
          </w:p>
        </w:tc>
        <w:tc>
          <w:tcPr>
            <w:tcW w:w="0" w:type="auto"/>
          </w:tcPr>
          <w:p w14:paraId="4A8CB001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6 [4 ; 8]</w:t>
            </w:r>
          </w:p>
        </w:tc>
        <w:tc>
          <w:tcPr>
            <w:tcW w:w="0" w:type="auto"/>
          </w:tcPr>
          <w:p w14:paraId="1249058F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7 [5 ; 9]</w:t>
            </w:r>
          </w:p>
        </w:tc>
        <w:tc>
          <w:tcPr>
            <w:tcW w:w="0" w:type="auto"/>
          </w:tcPr>
          <w:p w14:paraId="166707B5" w14:textId="77777777" w:rsidR="00062B64" w:rsidRPr="00D162EC" w:rsidRDefault="00DE029E">
            <w:pPr>
              <w:keepNext/>
              <w:spacing w:after="60"/>
              <w:jc w:val="center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</w:rPr>
              <w:t>&lt;0.001</w:t>
            </w:r>
          </w:p>
        </w:tc>
      </w:tr>
      <w:tr w:rsidR="00062B64" w:rsidRPr="00D162EC" w14:paraId="48151951" w14:textId="77777777" w:rsidTr="00D162EC">
        <w:tc>
          <w:tcPr>
            <w:tcW w:w="0" w:type="auto"/>
            <w:gridSpan w:val="5"/>
          </w:tcPr>
          <w:p w14:paraId="4413D667" w14:textId="77777777" w:rsidR="00062B64" w:rsidRPr="00D162EC" w:rsidRDefault="00DE029E">
            <w:pPr>
              <w:keepNext/>
              <w:spacing w:after="60"/>
              <w:rPr>
                <w:rFonts w:ascii="Bookman Old Style" w:hAnsi="Bookman Old Style"/>
              </w:rPr>
            </w:pPr>
            <w:r w:rsidRPr="00D162EC">
              <w:rPr>
                <w:rFonts w:ascii="Bookman Old Style" w:hAnsi="Bookman Old Style"/>
                <w:i/>
                <w:vertAlign w:val="superscript"/>
              </w:rPr>
              <w:t>1</w:t>
            </w:r>
            <w:r w:rsidRPr="00D162EC">
              <w:rPr>
                <w:rFonts w:ascii="Bookman Old Style" w:hAnsi="Bookman Old Style"/>
              </w:rPr>
              <w:t>Median [Q1 ; Q3]; n (%)</w:t>
            </w:r>
          </w:p>
        </w:tc>
      </w:tr>
      <w:tr w:rsidR="00062B64" w:rsidRPr="00D162EC" w14:paraId="793AA957" w14:textId="77777777" w:rsidTr="00D162EC">
        <w:tc>
          <w:tcPr>
            <w:tcW w:w="0" w:type="auto"/>
            <w:gridSpan w:val="5"/>
          </w:tcPr>
          <w:p w14:paraId="6C79017A" w14:textId="77777777" w:rsidR="00062B64" w:rsidRPr="00D162EC" w:rsidRDefault="00DE029E">
            <w:pPr>
              <w:keepNext/>
              <w:spacing w:after="60"/>
              <w:rPr>
                <w:rFonts w:ascii="Bookman Old Style" w:hAnsi="Bookman Old Style"/>
                <w:lang w:val="en-US"/>
              </w:rPr>
            </w:pPr>
            <w:r w:rsidRPr="00D162EC">
              <w:rPr>
                <w:rFonts w:ascii="Bookman Old Style" w:hAnsi="Bookman Old Style"/>
                <w:i/>
                <w:vertAlign w:val="superscript"/>
                <w:lang w:val="en-US"/>
              </w:rPr>
              <w:t>2</w:t>
            </w:r>
            <w:r w:rsidRPr="00D162EC">
              <w:rPr>
                <w:rFonts w:ascii="Bookman Old Style" w:hAnsi="Bookman Old Style"/>
                <w:lang w:val="en-US"/>
              </w:rPr>
              <w:t>Wilcoxon rank sum test; Pearson's Chi-squared test</w:t>
            </w:r>
          </w:p>
        </w:tc>
      </w:tr>
    </w:tbl>
    <w:p w14:paraId="665649FA" w14:textId="77777777" w:rsidR="00D162EC" w:rsidRDefault="00D162EC">
      <w:pPr>
        <w:pStyle w:val="FirstParagraph"/>
        <w:rPr>
          <w:b/>
          <w:bCs/>
        </w:rPr>
      </w:pPr>
    </w:p>
    <w:p w14:paraId="5A7F70E8" w14:textId="70E6EE71" w:rsidR="00062B64" w:rsidRDefault="00DE029E">
      <w:pPr>
        <w:pStyle w:val="FirstParagraph"/>
      </w:pPr>
      <w:r>
        <w:rPr>
          <w:b/>
          <w:bCs/>
        </w:rPr>
        <w:t>Âge</w:t>
      </w:r>
      <w:r>
        <w:t xml:space="preserve"> </w:t>
      </w:r>
      <w:r>
        <w:t xml:space="preserve">: La population rurale est plus jeune (médiane = 17 ans) que la population urbaine (médiane = 20 ans), p &lt; 0,001. Cette différence reflète une </w:t>
      </w:r>
      <w:r>
        <w:rPr>
          <w:b/>
          <w:bCs/>
        </w:rPr>
        <w:t>fécondité rurale plus élevée</w:t>
      </w:r>
      <w:r>
        <w:t xml:space="preserve"> (ISF rural ≈ 6,0 vs 4,1 urbain, DHS Nigeria 2018).</w:t>
      </w:r>
    </w:p>
    <w:p w14:paraId="661B4953" w14:textId="77777777" w:rsidR="00062B64" w:rsidRDefault="00DE029E">
      <w:pPr>
        <w:pStyle w:val="Corpsdetexte"/>
      </w:pPr>
      <w:r>
        <w:rPr>
          <w:b/>
          <w:bCs/>
        </w:rPr>
        <w:t>Sexe</w:t>
      </w:r>
      <w:r>
        <w:t xml:space="preserve"> : Pas de différence signific</w:t>
      </w:r>
      <w:r>
        <w:t>ative de répartition par sexe selon le milieu (p = 0,4). Le sex-ratio est biologiquement stable dans tous les milieux.</w:t>
      </w:r>
    </w:p>
    <w:p w14:paraId="3FD8D536" w14:textId="77777777" w:rsidR="00062B64" w:rsidRDefault="00DE029E">
      <w:pPr>
        <w:pStyle w:val="Corpsdetexte"/>
      </w:pPr>
      <w:r>
        <w:rPr>
          <w:b/>
          <w:bCs/>
        </w:rPr>
        <w:t>Taille du ménage</w:t>
      </w:r>
      <w:r>
        <w:t xml:space="preserve"> : Les médianes au niveau individu (Urbain : 6, Rural : 7) sont plus élevées qu’au niveau ménage (4/5) — </w:t>
      </w:r>
      <w:r>
        <w:rPr>
          <w:b/>
          <w:bCs/>
        </w:rPr>
        <w:t xml:space="preserve">biais de taille </w:t>
      </w:r>
      <w:r>
        <w:rPr>
          <w:b/>
          <w:bCs/>
        </w:rPr>
        <w:t>de Kish (1965)</w:t>
      </w:r>
      <w:r>
        <w:t xml:space="preserve"> : les grands ménages sont surreprésentés car ils fournissent plus d’observations.</w:t>
      </w:r>
    </w:p>
    <w:p w14:paraId="7C784D35" w14:textId="77777777" w:rsidR="00062B64" w:rsidRDefault="00DE029E">
      <w:r>
        <w:br w:type="page"/>
      </w:r>
    </w:p>
    <w:p w14:paraId="2E36ED3B" w14:textId="77777777" w:rsidR="00062B64" w:rsidRDefault="00DE029E">
      <w:pPr>
        <w:pStyle w:val="Titre1"/>
      </w:pPr>
      <w:bookmarkStart w:id="67" w:name="discussion"/>
      <w:bookmarkStart w:id="68" w:name="_Toc224649959"/>
      <w:bookmarkEnd w:id="35"/>
      <w:bookmarkEnd w:id="65"/>
      <w:r>
        <w:t>4. Discussion</w:t>
      </w:r>
      <w:bookmarkEnd w:id="68"/>
    </w:p>
    <w:p w14:paraId="0C37B765" w14:textId="77777777" w:rsidR="00062B64" w:rsidRDefault="00DE029E">
      <w:pPr>
        <w:pStyle w:val="Titre2"/>
      </w:pPr>
      <w:bookmarkStart w:id="69" w:name="principaux-résultats-1"/>
      <w:bookmarkStart w:id="70" w:name="_Toc224649960"/>
      <w:r>
        <w:t>4.1 Principaux résultats</w:t>
      </w:r>
      <w:bookmarkEnd w:id="70"/>
    </w:p>
    <w:p w14:paraId="508351B1" w14:textId="77777777" w:rsidR="00062B64" w:rsidRDefault="00DE029E">
      <w:pPr>
        <w:pStyle w:val="FirstParagraph"/>
      </w:pPr>
      <w:r>
        <w:t xml:space="preserve">Cette analyse confirme que le Nigeria présente un </w:t>
      </w:r>
      <w:r>
        <w:rPr>
          <w:b/>
          <w:bCs/>
        </w:rPr>
        <w:t>profil démographique typique d’un pays en transition démographique p</w:t>
      </w:r>
      <w:r>
        <w:rPr>
          <w:b/>
          <w:bCs/>
        </w:rPr>
        <w:t>récoce</w:t>
      </w:r>
      <w:r>
        <w:t xml:space="preserve"> : population très jeune (âge médian 18 ans), fécondité élevée (enfants = 55.6% des membres), et structure pyramidale expansive.</w:t>
      </w:r>
    </w:p>
    <w:p w14:paraId="58E1CF63" w14:textId="77777777" w:rsidR="00062B64" w:rsidRDefault="00DE029E">
      <w:pPr>
        <w:pStyle w:val="Corpsdetexte"/>
      </w:pPr>
      <w:r>
        <w:t xml:space="preserve">Les </w:t>
      </w:r>
      <w:r>
        <w:rPr>
          <w:b/>
          <w:bCs/>
        </w:rPr>
        <w:t>disparités rural-urbain</w:t>
      </w:r>
      <w:r>
        <w:t xml:space="preserve"> sont réelles mais d’ampleur modeste : les ménages ruraux sont plus grands (+1 membre en média</w:t>
      </w:r>
      <w:r>
        <w:t>ne) et plus jeunes (-3 ans en médiane), mais le milieu de résidence n’explique que 1,5% de la variabilité totale de la taille des ménages.</w:t>
      </w:r>
    </w:p>
    <w:p w14:paraId="69DDEBDE" w14:textId="77777777" w:rsidR="00062B64" w:rsidRDefault="00DE029E">
      <w:pPr>
        <w:pStyle w:val="Titre2"/>
      </w:pPr>
      <w:bookmarkStart w:id="71" w:name="limites-méthodologiques"/>
      <w:bookmarkStart w:id="72" w:name="_Toc224649961"/>
      <w:bookmarkEnd w:id="69"/>
      <w:r>
        <w:t>4.2 Limites méthodologiques</w:t>
      </w:r>
      <w:bookmarkEnd w:id="72"/>
    </w:p>
    <w:p w14:paraId="01AE9ADD" w14:textId="77777777" w:rsidR="00062B64" w:rsidRDefault="00DE029E">
      <w:pPr>
        <w:pStyle w:val="Titre3"/>
      </w:pPr>
      <w:bookmarkStart w:id="73" w:name="représentativité-et-pondération"/>
      <w:bookmarkStart w:id="74" w:name="_Toc224649962"/>
      <w:r>
        <w:t>4.2.1 Représentativité et pondération</w:t>
      </w:r>
      <w:bookmarkEnd w:id="74"/>
    </w:p>
    <w:p w14:paraId="2277C363" w14:textId="77777777" w:rsidR="00062B64" w:rsidRDefault="00DE029E">
      <w:pPr>
        <w:pStyle w:val="FirstParagraph"/>
      </w:pPr>
      <w:r>
        <w:t xml:space="preserve">Le GHS Panel W4 </w:t>
      </w:r>
      <w:r>
        <w:rPr>
          <w:b/>
          <w:bCs/>
        </w:rPr>
        <w:t>surreprésente volontairement les mé</w:t>
      </w:r>
      <w:r>
        <w:rPr>
          <w:b/>
          <w:bCs/>
        </w:rPr>
        <w:t>nages ruraux</w:t>
      </w:r>
      <w:r>
        <w:t xml:space="preserve"> (71,6% de l’échantillon vs 48% de la population réelle en 2018) pour améliorer la précision des estimations agricoles. Les résultats décrivent l’</w:t>
      </w:r>
      <w:r>
        <w:rPr>
          <w:b/>
          <w:bCs/>
        </w:rPr>
        <w:t>échantillon brut</w:t>
      </w:r>
      <w:r>
        <w:t xml:space="preserve"> — ils ne sont pas extrapolables à la population nigériane sans application des po</w:t>
      </w:r>
      <w:r>
        <w:t>ids de sondage (wt_wave4 dans secta_harvestw4). La pondération sera intégrée dans les analyses ultérieures.</w:t>
      </w:r>
    </w:p>
    <w:p w14:paraId="678F8229" w14:textId="77777777" w:rsidR="00062B64" w:rsidRDefault="00DE029E">
      <w:pPr>
        <w:pStyle w:val="Titre3"/>
      </w:pPr>
      <w:bookmarkStart w:id="75" w:name="attrition-sélective"/>
      <w:bookmarkStart w:id="76" w:name="_Toc224649963"/>
      <w:bookmarkEnd w:id="73"/>
      <w:r>
        <w:t>4.2.2 Attrition sélective</w:t>
      </w:r>
      <w:bookmarkEnd w:id="76"/>
    </w:p>
    <w:p w14:paraId="07813D88" w14:textId="77777777" w:rsidR="00062B64" w:rsidRDefault="00DE029E">
      <w:pPr>
        <w:pStyle w:val="FirstParagraph"/>
      </w:pPr>
      <w:r>
        <w:t>4 570 individus (15,1%) ont quitté le ménage entre les vagues précédentes et 2018. Cette attrition sélective pourrait sous</w:t>
      </w:r>
      <w:r>
        <w:t>-estimer la migration masculine des 20-35 ans, déjà visible dans l’étranglement de la pyramide des âges.</w:t>
      </w:r>
    </w:p>
    <w:p w14:paraId="04224DB2" w14:textId="77777777" w:rsidR="00062B64" w:rsidRDefault="00DE029E">
      <w:pPr>
        <w:pStyle w:val="Titre3"/>
      </w:pPr>
      <w:bookmarkStart w:id="77" w:name="biais-de-taille-de-kish"/>
      <w:bookmarkStart w:id="78" w:name="_Toc224649964"/>
      <w:bookmarkEnd w:id="75"/>
      <w:r>
        <w:t>4.2.3 Biais de taille de Kish</w:t>
      </w:r>
      <w:bookmarkEnd w:id="78"/>
    </w:p>
    <w:p w14:paraId="330B5D7D" w14:textId="77777777" w:rsidR="00062B64" w:rsidRDefault="00DE029E">
      <w:pPr>
        <w:pStyle w:val="FirstParagraph"/>
      </w:pPr>
      <w:r>
        <w:t>Les analyses au niveau individu (tableau gtsummary) surreprésentent les grands ménages — c’est pourquoi les médianes de taille observées au niveau individu (6/7) sont systématiquement plus élevées qu’au niveau ménage (4/5).</w:t>
      </w:r>
    </w:p>
    <w:p w14:paraId="560E443F" w14:textId="77777777" w:rsidR="00062B64" w:rsidRDefault="00DE029E">
      <w:pPr>
        <w:pStyle w:val="Titre2"/>
      </w:pPr>
      <w:bookmarkStart w:id="79" w:name="X4646d9dac3743bd350cee47252e459f8fe740d2"/>
      <w:bookmarkStart w:id="80" w:name="_Toc224649965"/>
      <w:bookmarkEnd w:id="71"/>
      <w:bookmarkEnd w:id="77"/>
      <w:r>
        <w:t>4.3 Implications pour les politi</w:t>
      </w:r>
      <w:r>
        <w:t>ques publiques</w:t>
      </w:r>
      <w:bookmarkEnd w:id="80"/>
    </w:p>
    <w:p w14:paraId="7C5D1BCB" w14:textId="77777777" w:rsidR="00062B64" w:rsidRDefault="00DE029E">
      <w:pPr>
        <w:pStyle w:val="FirstParagraph"/>
      </w:pPr>
      <w:r>
        <w:t>La forte charge démographique des ménages ruraux nécessite des politiques sociales différenciées :</w:t>
      </w:r>
    </w:p>
    <w:p w14:paraId="1B004511" w14:textId="77777777" w:rsidR="00062B64" w:rsidRDefault="00DE029E">
      <w:pPr>
        <w:pStyle w:val="Compact"/>
        <w:numPr>
          <w:ilvl w:val="0"/>
          <w:numId w:val="12"/>
        </w:numPr>
      </w:pPr>
      <w:r>
        <w:rPr>
          <w:b/>
          <w:bCs/>
        </w:rPr>
        <w:t>Éducation</w:t>
      </w:r>
      <w:r>
        <w:t xml:space="preserve"> </w:t>
      </w:r>
      <w:r>
        <w:t>: renforcement des infrastructures scolaires rurales pour absorber la cohorte des 0-14 ans (46% de la population rurale)</w:t>
      </w:r>
    </w:p>
    <w:p w14:paraId="74665CA3" w14:textId="77777777" w:rsidR="00062B64" w:rsidRDefault="00DE029E">
      <w:pPr>
        <w:pStyle w:val="Compact"/>
        <w:numPr>
          <w:ilvl w:val="0"/>
          <w:numId w:val="12"/>
        </w:numPr>
      </w:pPr>
      <w:r>
        <w:rPr>
          <w:b/>
          <w:bCs/>
        </w:rPr>
        <w:t>Santé</w:t>
      </w:r>
      <w:r>
        <w:t xml:space="preserve"> : extension de la couverture sanitaire maternelle et infantile en zone rurale (mortalité infantile = 69‰ en 2018)</w:t>
      </w:r>
    </w:p>
    <w:p w14:paraId="15FCD3A7" w14:textId="77777777" w:rsidR="00062B64" w:rsidRDefault="00DE029E">
      <w:pPr>
        <w:pStyle w:val="Compact"/>
        <w:numPr>
          <w:ilvl w:val="0"/>
          <w:numId w:val="12"/>
        </w:numPr>
      </w:pPr>
      <w:r>
        <w:rPr>
          <w:b/>
          <w:bCs/>
        </w:rPr>
        <w:t>Alimentation</w:t>
      </w:r>
      <w:r>
        <w:t xml:space="preserve"> : </w:t>
      </w:r>
      <w:r>
        <w:t>programmes de sécurité alimentaire ciblés sur les grands ménages ruraux polygames</w:t>
      </w:r>
    </w:p>
    <w:p w14:paraId="1F5059A7" w14:textId="77777777" w:rsidR="00062B64" w:rsidRDefault="00DE029E">
      <w:r>
        <w:br w:type="page"/>
      </w:r>
    </w:p>
    <w:p w14:paraId="688C270B" w14:textId="77777777" w:rsidR="00062B64" w:rsidRDefault="00DE029E">
      <w:pPr>
        <w:pStyle w:val="Titre1"/>
      </w:pPr>
      <w:bookmarkStart w:id="81" w:name="conclusion"/>
      <w:bookmarkStart w:id="82" w:name="_Toc224649966"/>
      <w:bookmarkEnd w:id="67"/>
      <w:bookmarkEnd w:id="79"/>
      <w:r>
        <w:t>5. Conclusion</w:t>
      </w:r>
      <w:bookmarkEnd w:id="82"/>
    </w:p>
    <w:p w14:paraId="63C2C6DB" w14:textId="77777777" w:rsidR="00062B64" w:rsidRDefault="00DE029E">
      <w:pPr>
        <w:pStyle w:val="FirstParagraph"/>
      </w:pPr>
      <w:r>
        <w:t xml:space="preserve">Le </w:t>
      </w:r>
      <w:r>
        <w:rPr>
          <w:b/>
          <w:bCs/>
        </w:rPr>
        <w:t>Nigeria General Household Survey Panel Wave 4</w:t>
      </w:r>
      <w:r>
        <w:t xml:space="preserve"> révèle une population nigériane très jeune (âge médian 18 ans), dominée par les enfants (55.6% des membres) e</w:t>
      </w:r>
      <w:r>
        <w:t>t structurée selon un modèle expansif caractéristique des pays à forte fécondité.</w:t>
      </w:r>
    </w:p>
    <w:p w14:paraId="4253B50C" w14:textId="77777777" w:rsidR="00062B64" w:rsidRDefault="00DE029E">
      <w:pPr>
        <w:pStyle w:val="Corpsdetexte"/>
      </w:pPr>
      <w:r>
        <w:t>Les ménages ruraux sont significativement plus grands (+1 membre en médiane) et plus jeunes (-3 ans en médiane) que les ménages urbains, mais cette différence, bien que stati</w:t>
      </w:r>
      <w:r>
        <w:t>stiquement robuste (p &lt; 0,001), est d’ampleur modeste (r = 0.121). Le milieu de résidence seul n’explique que 1.5% de la variabilité de la taille des ménages.</w:t>
      </w:r>
    </w:p>
    <w:p w14:paraId="20556002" w14:textId="77777777" w:rsidR="00062B64" w:rsidRDefault="00DE029E">
      <w:pPr>
        <w:pStyle w:val="Corpsdetexte"/>
      </w:pPr>
      <w:r>
        <w:t>La méthodologie adoptée — tests non paramétriques adaptés à la non-normalité, mesures de taille d</w:t>
      </w:r>
      <w:r>
        <w:t>’effet, intervalles de confiance exacts de Clopper-Pearson, reproductibilité garantie par renv — constitue un socle rigoureux pour les analyses thématiques suivantes : éducation et alphabétisation (TP2), accès aux soins et dépenses de santé (TP3).</w:t>
      </w:r>
    </w:p>
    <w:p w14:paraId="0650ED9E" w14:textId="77777777" w:rsidR="00062B64" w:rsidRDefault="00DE029E">
      <w:r>
        <w:br w:type="page"/>
      </w:r>
    </w:p>
    <w:p w14:paraId="69B88569" w14:textId="77777777" w:rsidR="00062B64" w:rsidRDefault="00DE029E">
      <w:pPr>
        <w:pStyle w:val="Titre1"/>
      </w:pPr>
      <w:bookmarkStart w:id="83" w:name="références"/>
      <w:bookmarkStart w:id="84" w:name="_Toc224649967"/>
      <w:bookmarkEnd w:id="81"/>
      <w:r>
        <w:t>Référe</w:t>
      </w:r>
      <w:r>
        <w:t>nces</w:t>
      </w:r>
      <w:bookmarkEnd w:id="84"/>
    </w:p>
    <w:p w14:paraId="66E30421" w14:textId="77777777" w:rsidR="00062B64" w:rsidRPr="00D162EC" w:rsidRDefault="00DE029E">
      <w:pPr>
        <w:rPr>
          <w:lang w:val="en-US"/>
        </w:rPr>
      </w:pPr>
      <w:bookmarkStart w:id="85" w:name="ref-Campbell2021"/>
      <w:bookmarkStart w:id="86" w:name="refs"/>
      <w:proofErr w:type="spellStart"/>
      <w:r w:rsidRPr="00D162EC">
        <w:rPr>
          <w:lang w:val="en-US"/>
        </w:rPr>
        <w:t>Jombart</w:t>
      </w:r>
      <w:proofErr w:type="spellEnd"/>
      <w:r w:rsidRPr="00D162EC">
        <w:rPr>
          <w:lang w:val="en-US"/>
        </w:rPr>
        <w:t xml:space="preserve">, T., Schumacher, D., Harper, M., &amp; </w:t>
      </w:r>
      <w:proofErr w:type="spellStart"/>
      <w:r w:rsidRPr="00D162EC">
        <w:rPr>
          <w:lang w:val="en-US"/>
        </w:rPr>
        <w:t>Kamvar</w:t>
      </w:r>
      <w:proofErr w:type="spellEnd"/>
      <w:r w:rsidRPr="00D162EC">
        <w:rPr>
          <w:lang w:val="en-US"/>
        </w:rPr>
        <w:t xml:space="preserve">, Z. N. (2021). </w:t>
      </w:r>
      <w:proofErr w:type="spellStart"/>
      <w:r w:rsidRPr="00D162EC">
        <w:rPr>
          <w:i/>
          <w:iCs/>
          <w:lang w:val="en-US"/>
        </w:rPr>
        <w:t>apyramid</w:t>
      </w:r>
      <w:proofErr w:type="spellEnd"/>
      <w:r w:rsidRPr="00D162EC">
        <w:rPr>
          <w:i/>
          <w:iCs/>
          <w:lang w:val="en-US"/>
        </w:rPr>
        <w:t>: Age Pyramids in ggplot2</w:t>
      </w:r>
      <w:r w:rsidRPr="00D162EC">
        <w:rPr>
          <w:lang w:val="en-US"/>
        </w:rPr>
        <w:t xml:space="preserve">. </w:t>
      </w:r>
      <w:hyperlink r:id="rId13">
        <w:r w:rsidRPr="00D162EC">
          <w:rPr>
            <w:lang w:val="en-US"/>
          </w:rPr>
          <w:t>https://CRAN.R-project.org/package=apyramid</w:t>
        </w:r>
      </w:hyperlink>
    </w:p>
    <w:p w14:paraId="2E2250EA" w14:textId="77777777" w:rsidR="00062B64" w:rsidRPr="00D162EC" w:rsidRDefault="00DE029E">
      <w:pPr>
        <w:rPr>
          <w:lang w:val="en-US"/>
        </w:rPr>
      </w:pPr>
      <w:bookmarkStart w:id="87" w:name="ref-Kassambara2023"/>
      <w:bookmarkEnd w:id="85"/>
      <w:proofErr w:type="spellStart"/>
      <w:r w:rsidRPr="00D162EC">
        <w:rPr>
          <w:lang w:val="en-US"/>
        </w:rPr>
        <w:t>Kassambara</w:t>
      </w:r>
      <w:proofErr w:type="spellEnd"/>
      <w:r w:rsidRPr="00D162EC">
        <w:rPr>
          <w:lang w:val="en-US"/>
        </w:rPr>
        <w:t xml:space="preserve">, A. (2023). </w:t>
      </w:r>
      <w:proofErr w:type="spellStart"/>
      <w:r w:rsidRPr="00D162EC">
        <w:rPr>
          <w:i/>
          <w:iCs/>
          <w:lang w:val="en-US"/>
        </w:rPr>
        <w:t>rstatix</w:t>
      </w:r>
      <w:proofErr w:type="spellEnd"/>
      <w:r w:rsidRPr="00D162EC">
        <w:rPr>
          <w:i/>
          <w:iCs/>
          <w:lang w:val="en-US"/>
        </w:rPr>
        <w:t>: Pipe-Friendl</w:t>
      </w:r>
      <w:r w:rsidRPr="00D162EC">
        <w:rPr>
          <w:i/>
          <w:iCs/>
          <w:lang w:val="en-US"/>
        </w:rPr>
        <w:t>y Framework for Basic Statistical Tests</w:t>
      </w:r>
      <w:r w:rsidRPr="00D162EC">
        <w:rPr>
          <w:lang w:val="en-US"/>
        </w:rPr>
        <w:t xml:space="preserve">. </w:t>
      </w:r>
      <w:hyperlink r:id="rId14">
        <w:r w:rsidRPr="00D162EC">
          <w:rPr>
            <w:lang w:val="en-US"/>
          </w:rPr>
          <w:t>https://CRAN.R-project.org/package=rstatix</w:t>
        </w:r>
      </w:hyperlink>
    </w:p>
    <w:p w14:paraId="7586DC33" w14:textId="77777777" w:rsidR="00062B64" w:rsidRPr="00D162EC" w:rsidRDefault="00DE029E">
      <w:pPr>
        <w:rPr>
          <w:lang w:val="en-US"/>
        </w:rPr>
      </w:pPr>
      <w:bookmarkStart w:id="88" w:name="ref-R2024"/>
      <w:bookmarkEnd w:id="87"/>
      <w:r w:rsidRPr="00D162EC">
        <w:rPr>
          <w:lang w:val="en-US"/>
        </w:rPr>
        <w:t xml:space="preserve">R Core Team. (2024). </w:t>
      </w:r>
      <w:r w:rsidRPr="00D162EC">
        <w:rPr>
          <w:i/>
          <w:iCs/>
          <w:lang w:val="en-US"/>
        </w:rPr>
        <w:t>R: A Language and Environment for Statistical Computing</w:t>
      </w:r>
      <w:r w:rsidRPr="00D162EC">
        <w:rPr>
          <w:lang w:val="en-US"/>
        </w:rPr>
        <w:t>. R Foundation for Statistical Com</w:t>
      </w:r>
      <w:r w:rsidRPr="00D162EC">
        <w:rPr>
          <w:lang w:val="en-US"/>
        </w:rPr>
        <w:t xml:space="preserve">puting. </w:t>
      </w:r>
      <w:hyperlink r:id="rId15">
        <w:r w:rsidRPr="00D162EC">
          <w:rPr>
            <w:lang w:val="en-US"/>
          </w:rPr>
          <w:t>https://www.R-project.org/</w:t>
        </w:r>
      </w:hyperlink>
    </w:p>
    <w:p w14:paraId="51BA7D66" w14:textId="77777777" w:rsidR="00062B64" w:rsidRPr="00D162EC" w:rsidRDefault="00DE029E">
      <w:pPr>
        <w:rPr>
          <w:lang w:val="en-US"/>
        </w:rPr>
      </w:pPr>
      <w:bookmarkStart w:id="89" w:name="ref-Sjoberg2021"/>
      <w:bookmarkEnd w:id="88"/>
      <w:r w:rsidRPr="00D162EC">
        <w:rPr>
          <w:lang w:val="en-US"/>
        </w:rPr>
        <w:t xml:space="preserve">Sjoberg, D. D., Whiting, K., Curry, M., </w:t>
      </w:r>
      <w:proofErr w:type="spellStart"/>
      <w:r w:rsidRPr="00D162EC">
        <w:rPr>
          <w:lang w:val="en-US"/>
        </w:rPr>
        <w:t>Lavery</w:t>
      </w:r>
      <w:proofErr w:type="spellEnd"/>
      <w:r w:rsidRPr="00D162EC">
        <w:rPr>
          <w:lang w:val="en-US"/>
        </w:rPr>
        <w:t xml:space="preserve">, J. A., &amp; </w:t>
      </w:r>
      <w:proofErr w:type="spellStart"/>
      <w:r w:rsidRPr="00D162EC">
        <w:rPr>
          <w:lang w:val="en-US"/>
        </w:rPr>
        <w:t>Larmarange</w:t>
      </w:r>
      <w:proofErr w:type="spellEnd"/>
      <w:r w:rsidRPr="00D162EC">
        <w:rPr>
          <w:lang w:val="en-US"/>
        </w:rPr>
        <w:t xml:space="preserve">, J. (2021). Reproducible Summary Tables with the </w:t>
      </w:r>
      <w:proofErr w:type="spellStart"/>
      <w:r w:rsidRPr="00D162EC">
        <w:rPr>
          <w:lang w:val="en-US"/>
        </w:rPr>
        <w:t>gtsummary</w:t>
      </w:r>
      <w:proofErr w:type="spellEnd"/>
      <w:r w:rsidRPr="00D162EC">
        <w:rPr>
          <w:lang w:val="en-US"/>
        </w:rPr>
        <w:t xml:space="preserve"> Package. </w:t>
      </w:r>
      <w:r w:rsidRPr="00D162EC">
        <w:rPr>
          <w:i/>
          <w:iCs/>
          <w:lang w:val="en-US"/>
        </w:rPr>
        <w:t>The R Journal</w:t>
      </w:r>
      <w:r w:rsidRPr="00D162EC">
        <w:rPr>
          <w:lang w:val="en-US"/>
        </w:rPr>
        <w:t xml:space="preserve">, </w:t>
      </w:r>
      <w:r w:rsidRPr="00D162EC">
        <w:rPr>
          <w:i/>
          <w:iCs/>
          <w:lang w:val="en-US"/>
        </w:rPr>
        <w:t>13</w:t>
      </w:r>
      <w:r w:rsidRPr="00D162EC">
        <w:rPr>
          <w:lang w:val="en-US"/>
        </w:rPr>
        <w:t xml:space="preserve">(1), 570‑580. </w:t>
      </w:r>
      <w:hyperlink r:id="rId16">
        <w:r w:rsidRPr="00D162EC">
          <w:rPr>
            <w:lang w:val="en-US"/>
          </w:rPr>
          <w:t>https://doi.org/10.32614/RJ-2021-053</w:t>
        </w:r>
      </w:hyperlink>
    </w:p>
    <w:p w14:paraId="7A69890B" w14:textId="77777777" w:rsidR="00062B64" w:rsidRPr="00D162EC" w:rsidRDefault="00DE029E">
      <w:pPr>
        <w:rPr>
          <w:lang w:val="en-US"/>
        </w:rPr>
      </w:pPr>
      <w:bookmarkStart w:id="90" w:name="ref-Sullivan2012"/>
      <w:bookmarkEnd w:id="89"/>
      <w:r w:rsidRPr="00D162EC">
        <w:rPr>
          <w:lang w:val="en-US"/>
        </w:rPr>
        <w:t xml:space="preserve">Sullivan, G. M., &amp; </w:t>
      </w:r>
      <w:proofErr w:type="spellStart"/>
      <w:r w:rsidRPr="00D162EC">
        <w:rPr>
          <w:lang w:val="en-US"/>
        </w:rPr>
        <w:t>Feinn</w:t>
      </w:r>
      <w:proofErr w:type="spellEnd"/>
      <w:r w:rsidRPr="00D162EC">
        <w:rPr>
          <w:lang w:val="en-US"/>
        </w:rPr>
        <w:t xml:space="preserve">, R. (2012). Using Effect Size—or Why the P Value Is Not Enough. </w:t>
      </w:r>
      <w:r w:rsidRPr="00D162EC">
        <w:rPr>
          <w:i/>
          <w:iCs/>
          <w:lang w:val="en-US"/>
        </w:rPr>
        <w:t>Journal of Graduate Medical Education</w:t>
      </w:r>
      <w:r w:rsidRPr="00D162EC">
        <w:rPr>
          <w:lang w:val="en-US"/>
        </w:rPr>
        <w:t xml:space="preserve">, </w:t>
      </w:r>
      <w:r w:rsidRPr="00D162EC">
        <w:rPr>
          <w:i/>
          <w:iCs/>
          <w:lang w:val="en-US"/>
        </w:rPr>
        <w:t>4</w:t>
      </w:r>
      <w:r w:rsidRPr="00D162EC">
        <w:rPr>
          <w:lang w:val="en-US"/>
        </w:rPr>
        <w:t xml:space="preserve">(3), 279‑282. </w:t>
      </w:r>
      <w:hyperlink r:id="rId17">
        <w:r w:rsidRPr="00D162EC">
          <w:rPr>
            <w:lang w:val="en-US"/>
          </w:rPr>
          <w:t>https://doi.org/10.4300/JGME-D-12-00156.1</w:t>
        </w:r>
      </w:hyperlink>
    </w:p>
    <w:p w14:paraId="3DBB66C7" w14:textId="77777777" w:rsidR="00062B64" w:rsidRDefault="00DE029E">
      <w:bookmarkStart w:id="91" w:name="ref-Tierney2021"/>
      <w:bookmarkEnd w:id="90"/>
      <w:r w:rsidRPr="00D162EC">
        <w:rPr>
          <w:lang w:val="en-US"/>
        </w:rPr>
        <w:t xml:space="preserve">Tierney, N., Cook, D., McBain, M., &amp; Fay, C. (2021). </w:t>
      </w:r>
      <w:proofErr w:type="spellStart"/>
      <w:r w:rsidRPr="00D162EC">
        <w:rPr>
          <w:i/>
          <w:iCs/>
          <w:lang w:val="en-US"/>
        </w:rPr>
        <w:t>naniar</w:t>
      </w:r>
      <w:proofErr w:type="spellEnd"/>
      <w:r w:rsidRPr="00D162EC">
        <w:rPr>
          <w:i/>
          <w:iCs/>
          <w:lang w:val="en-US"/>
        </w:rPr>
        <w:t xml:space="preserve">: Data Structures, Summaries, and </w:t>
      </w:r>
      <w:proofErr w:type="spellStart"/>
      <w:r w:rsidRPr="00D162EC">
        <w:rPr>
          <w:i/>
          <w:iCs/>
          <w:lang w:val="en-US"/>
        </w:rPr>
        <w:t>Visualisations</w:t>
      </w:r>
      <w:proofErr w:type="spellEnd"/>
      <w:r w:rsidRPr="00D162EC">
        <w:rPr>
          <w:i/>
          <w:iCs/>
          <w:lang w:val="en-US"/>
        </w:rPr>
        <w:t xml:space="preserve"> for Missing Data</w:t>
      </w:r>
      <w:r w:rsidRPr="00D162EC">
        <w:rPr>
          <w:lang w:val="en-US"/>
        </w:rPr>
        <w:t xml:space="preserve">. </w:t>
      </w:r>
      <w:hyperlink r:id="rId18">
        <w:r>
          <w:t>https://CRAN.R-project.org/package=naniar</w:t>
        </w:r>
      </w:hyperlink>
    </w:p>
    <w:p w14:paraId="5962BCD4" w14:textId="77777777" w:rsidR="00062B64" w:rsidRDefault="00DE029E">
      <w:bookmarkStart w:id="92" w:name="ref-Ushey2024"/>
      <w:bookmarkEnd w:id="91"/>
      <w:r>
        <w:t xml:space="preserve">Ushey, K., &amp; Wickham, H. (2024). </w:t>
      </w:r>
      <w:r>
        <w:rPr>
          <w:i/>
          <w:iCs/>
        </w:rPr>
        <w:t>renv: Project Environments</w:t>
      </w:r>
      <w:r>
        <w:t xml:space="preserve">. </w:t>
      </w:r>
      <w:hyperlink r:id="rId19">
        <w:r>
          <w:t>https://CRAN.R-project.org/package=renv</w:t>
        </w:r>
      </w:hyperlink>
    </w:p>
    <w:p w14:paraId="3BF2F75E" w14:textId="77777777" w:rsidR="00062B64" w:rsidRPr="00D162EC" w:rsidRDefault="00DE029E">
      <w:pPr>
        <w:rPr>
          <w:lang w:val="en-US"/>
        </w:rPr>
      </w:pPr>
      <w:bookmarkStart w:id="93" w:name="ref-Wickham2019"/>
      <w:bookmarkEnd w:id="92"/>
      <w:r w:rsidRPr="00D162EC">
        <w:rPr>
          <w:lang w:val="en-US"/>
        </w:rPr>
        <w:t xml:space="preserve">Wickham, H., </w:t>
      </w:r>
      <w:proofErr w:type="spellStart"/>
      <w:r w:rsidRPr="00D162EC">
        <w:rPr>
          <w:lang w:val="en-US"/>
        </w:rPr>
        <w:t>Averick</w:t>
      </w:r>
      <w:proofErr w:type="spellEnd"/>
      <w:r w:rsidRPr="00D162EC">
        <w:rPr>
          <w:lang w:val="en-US"/>
        </w:rPr>
        <w:t xml:space="preserve">, M., Bryan, J., Chang, W., </w:t>
      </w:r>
      <w:r w:rsidRPr="00D162EC">
        <w:rPr>
          <w:lang w:val="en-US"/>
        </w:rPr>
        <w:t xml:space="preserve">McGowan, L. D., François, R., </w:t>
      </w:r>
      <w:proofErr w:type="spellStart"/>
      <w:r w:rsidRPr="00D162EC">
        <w:rPr>
          <w:lang w:val="en-US"/>
        </w:rPr>
        <w:t>Grolemund</w:t>
      </w:r>
      <w:proofErr w:type="spellEnd"/>
      <w:r w:rsidRPr="00D162EC">
        <w:rPr>
          <w:lang w:val="en-US"/>
        </w:rPr>
        <w:t xml:space="preserve">, G., Hayes, A., Henry, L., Hester, J., Kuhn, M., Pedersen, T. L., Miller, E., Bache, S. M., Müller, K., </w:t>
      </w:r>
      <w:proofErr w:type="spellStart"/>
      <w:r w:rsidRPr="00D162EC">
        <w:rPr>
          <w:lang w:val="en-US"/>
        </w:rPr>
        <w:t>Ooms</w:t>
      </w:r>
      <w:proofErr w:type="spellEnd"/>
      <w:r w:rsidRPr="00D162EC">
        <w:rPr>
          <w:lang w:val="en-US"/>
        </w:rPr>
        <w:t xml:space="preserve">, J., Robinson, D., Seidel, D. P., </w:t>
      </w:r>
      <w:proofErr w:type="spellStart"/>
      <w:r w:rsidRPr="00D162EC">
        <w:rPr>
          <w:lang w:val="en-US"/>
        </w:rPr>
        <w:t>Spinu</w:t>
      </w:r>
      <w:proofErr w:type="spellEnd"/>
      <w:r w:rsidRPr="00D162EC">
        <w:rPr>
          <w:lang w:val="en-US"/>
        </w:rPr>
        <w:t xml:space="preserve">, V., … </w:t>
      </w:r>
      <w:proofErr w:type="spellStart"/>
      <w:r>
        <w:t>Yutani</w:t>
      </w:r>
      <w:proofErr w:type="spellEnd"/>
      <w:r>
        <w:t xml:space="preserve">, H. (2019). </w:t>
      </w:r>
      <w:r w:rsidRPr="00D162EC">
        <w:rPr>
          <w:lang w:val="en-US"/>
        </w:rPr>
        <w:t xml:space="preserve">Welcome to the </w:t>
      </w:r>
      <w:proofErr w:type="spellStart"/>
      <w:r w:rsidRPr="00D162EC">
        <w:rPr>
          <w:lang w:val="en-US"/>
        </w:rPr>
        <w:t>tidyverse</w:t>
      </w:r>
      <w:proofErr w:type="spellEnd"/>
      <w:r w:rsidRPr="00D162EC">
        <w:rPr>
          <w:lang w:val="en-US"/>
        </w:rPr>
        <w:t xml:space="preserve">. </w:t>
      </w:r>
      <w:r w:rsidRPr="00D162EC">
        <w:rPr>
          <w:i/>
          <w:iCs/>
          <w:lang w:val="en-US"/>
        </w:rPr>
        <w:t xml:space="preserve">Journal of </w:t>
      </w:r>
      <w:proofErr w:type="gramStart"/>
      <w:r w:rsidRPr="00D162EC">
        <w:rPr>
          <w:i/>
          <w:iCs/>
          <w:lang w:val="en-US"/>
        </w:rPr>
        <w:t>Open</w:t>
      </w:r>
      <w:r w:rsidRPr="00D162EC">
        <w:rPr>
          <w:i/>
          <w:iCs/>
          <w:lang w:val="en-US"/>
        </w:rPr>
        <w:t xml:space="preserve"> Source</w:t>
      </w:r>
      <w:proofErr w:type="gramEnd"/>
      <w:r w:rsidRPr="00D162EC">
        <w:rPr>
          <w:i/>
          <w:iCs/>
          <w:lang w:val="en-US"/>
        </w:rPr>
        <w:t xml:space="preserve"> Software</w:t>
      </w:r>
      <w:r w:rsidRPr="00D162EC">
        <w:rPr>
          <w:lang w:val="en-US"/>
        </w:rPr>
        <w:t xml:space="preserve">, </w:t>
      </w:r>
      <w:r w:rsidRPr="00D162EC">
        <w:rPr>
          <w:i/>
          <w:iCs/>
          <w:lang w:val="en-US"/>
        </w:rPr>
        <w:t>4</w:t>
      </w:r>
      <w:r w:rsidRPr="00D162EC">
        <w:rPr>
          <w:lang w:val="en-US"/>
        </w:rPr>
        <w:t xml:space="preserve">(43), 1686. </w:t>
      </w:r>
      <w:hyperlink r:id="rId20">
        <w:r w:rsidRPr="00D162EC">
          <w:rPr>
            <w:lang w:val="en-US"/>
          </w:rPr>
          <w:t>https://doi.org/10.21105/joss.01686</w:t>
        </w:r>
      </w:hyperlink>
    </w:p>
    <w:p w14:paraId="7308AFA1" w14:textId="77777777" w:rsidR="00062B64" w:rsidRDefault="00DE029E">
      <w:bookmarkStart w:id="94" w:name="ref-WorldBank2018"/>
      <w:bookmarkEnd w:id="93"/>
      <w:r w:rsidRPr="00D162EC">
        <w:rPr>
          <w:lang w:val="en-US"/>
        </w:rPr>
        <w:t xml:space="preserve">World Bank. (2018). </w:t>
      </w:r>
      <w:r w:rsidRPr="00D162EC">
        <w:rPr>
          <w:i/>
          <w:iCs/>
          <w:lang w:val="en-US"/>
        </w:rPr>
        <w:t>Nigeria General Household Survey Panel (GHS-Panel) 2018-2019, Wave 4</w:t>
      </w:r>
      <w:r w:rsidRPr="00D162EC">
        <w:rPr>
          <w:lang w:val="en-US"/>
        </w:rPr>
        <w:t xml:space="preserve">. World Bank Living Standards Measurement Study - Integrated Surveys on Agriculture (LSMS-ISA). </w:t>
      </w:r>
      <w:hyperlink r:id="rId21">
        <w:r>
          <w:t>https://microdata.</w:t>
        </w:r>
        <w:r>
          <w:t>worldbank.org/index.php/catalog/3557</w:t>
        </w:r>
      </w:hyperlink>
      <w:bookmarkEnd w:id="83"/>
      <w:bookmarkEnd w:id="86"/>
      <w:bookmarkEnd w:id="94"/>
    </w:p>
    <w:sectPr w:rsidR="00062B64">
      <w:headerReference w:type="default" r:id="rId22"/>
      <w:footerReference w:type="default" r:id="rId23"/>
      <w:pgSz w:w="11906" w:h="16838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E38E2" w14:textId="77777777" w:rsidR="00DE029E" w:rsidRDefault="00DE029E">
      <w:pPr>
        <w:spacing w:after="0" w:line="240" w:lineRule="auto"/>
      </w:pPr>
      <w:r>
        <w:separator/>
      </w:r>
    </w:p>
  </w:endnote>
  <w:endnote w:type="continuationSeparator" w:id="0">
    <w:p w14:paraId="02383C05" w14:textId="77777777" w:rsidR="00DE029E" w:rsidRDefault="00DE0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7AE2F" w14:textId="77777777" w:rsidR="0051048F" w:rsidRDefault="001A11E9">
    <w:pPr>
      <w:pBdr>
        <w:top w:val="single" w:sz="6" w:space="4" w:color="A8D060"/>
      </w:pBdr>
      <w:tabs>
        <w:tab w:val="right" w:pos="9638"/>
      </w:tabs>
    </w:pPr>
    <w:r>
      <w:rPr>
        <w:color w:val="888888"/>
        <w:sz w:val="16"/>
        <w:szCs w:val="16"/>
      </w:rPr>
      <w:t xml:space="preserve">Analyse statistique </w:t>
    </w:r>
    <w:r w:rsidR="008458F9">
      <w:rPr>
        <w:color w:val="888888"/>
        <w:sz w:val="16"/>
        <w:szCs w:val="16"/>
      </w:rPr>
      <w:t>à</w:t>
    </w:r>
    <w:r w:rsidR="008458F9" w:rsidRPr="008458F9">
      <w:rPr>
        <w:color w:val="888888"/>
        <w:sz w:val="16"/>
        <w:szCs w:val="16"/>
      </w:rPr>
      <w:t xml:space="preserve"> partir du </w:t>
    </w:r>
    <w:r>
      <w:rPr>
        <w:color w:val="888888"/>
        <w:sz w:val="16"/>
        <w:szCs w:val="16"/>
      </w:rPr>
      <w:t>Nigeria GHS Panel</w:t>
    </w:r>
    <w:r>
      <w:rPr>
        <w:sz w:val="16"/>
      </w:rPr>
      <w:tab/>
    </w:r>
    <w:r w:rsidRPr="008827A8">
      <w:rPr>
        <w:b/>
        <w:color w:val="0070C0"/>
        <w:sz w:val="16"/>
        <w:szCs w:val="16"/>
      </w:rPr>
      <w:t xml:space="preserve">Page </w:t>
    </w:r>
    <w:r w:rsidRPr="008827A8">
      <w:rPr>
        <w:b/>
        <w:color w:val="0070C0"/>
        <w:sz w:val="16"/>
        <w:szCs w:val="16"/>
      </w:rPr>
      <w:fldChar w:fldCharType="begin"/>
    </w:r>
    <w:r w:rsidRPr="008827A8">
      <w:rPr>
        <w:b/>
        <w:color w:val="0070C0"/>
        <w:sz w:val="16"/>
        <w:szCs w:val="16"/>
      </w:rPr>
      <w:instrText>PAGE</w:instrText>
    </w:r>
    <w:r w:rsidRPr="008827A8">
      <w:rPr>
        <w:b/>
        <w:color w:val="0070C0"/>
        <w:sz w:val="16"/>
        <w:szCs w:val="16"/>
      </w:rPr>
      <w:fldChar w:fldCharType="separate"/>
    </w:r>
    <w:r w:rsidR="002365F0" w:rsidRPr="008827A8">
      <w:rPr>
        <w:b/>
        <w:noProof/>
        <w:color w:val="0070C0"/>
        <w:sz w:val="16"/>
        <w:szCs w:val="16"/>
      </w:rPr>
      <w:t>1</w:t>
    </w:r>
    <w:r w:rsidRPr="008827A8">
      <w:rPr>
        <w:b/>
        <w:color w:val="0070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36130" w14:textId="77777777" w:rsidR="00DE029E" w:rsidRDefault="00DE029E">
      <w:pPr>
        <w:spacing w:after="0" w:line="240" w:lineRule="auto"/>
      </w:pPr>
      <w:r>
        <w:separator/>
      </w:r>
    </w:p>
  </w:footnote>
  <w:footnote w:type="continuationSeparator" w:id="0">
    <w:p w14:paraId="527A5C3E" w14:textId="77777777" w:rsidR="00DE029E" w:rsidRDefault="00DE02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BA14" w14:textId="77777777" w:rsidR="0051048F" w:rsidRPr="008827A8" w:rsidRDefault="001A11E9">
    <w:pPr>
      <w:pBdr>
        <w:bottom w:val="single" w:sz="6" w:space="4" w:color="A8D060"/>
      </w:pBdr>
      <w:tabs>
        <w:tab w:val="right" w:pos="9638"/>
      </w:tabs>
      <w:rPr>
        <w:color w:val="0070C0"/>
      </w:rPr>
    </w:pPr>
    <w:r w:rsidRPr="008827A8">
      <w:rPr>
        <w:color w:val="0070C0"/>
        <w:sz w:val="16"/>
        <w:szCs w:val="16"/>
      </w:rPr>
      <w:t>| Nigeria GHS Panel</w:t>
    </w:r>
    <w:r w:rsidRPr="008827A8">
      <w:rPr>
        <w:color w:val="0070C0"/>
        <w:sz w:val="16"/>
      </w:rPr>
      <w:tab/>
    </w:r>
    <w:r w:rsidRPr="008827A8">
      <w:rPr>
        <w:b/>
        <w:color w:val="0070C0"/>
        <w:sz w:val="16"/>
        <w:szCs w:val="16"/>
      </w:rPr>
      <w:t>Projet Statistique</w:t>
    </w:r>
    <w:r w:rsidR="00C44BB0" w:rsidRPr="008827A8">
      <w:rPr>
        <w:b/>
        <w:color w:val="0070C0"/>
        <w:sz w:val="16"/>
        <w:szCs w:val="16"/>
      </w:rPr>
      <w:t xml:space="preserve"> avec 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8E6E5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68E5C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AA3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48F"/>
    <w:rsid w:val="00062B64"/>
    <w:rsid w:val="001A11E9"/>
    <w:rsid w:val="002365F0"/>
    <w:rsid w:val="0032762E"/>
    <w:rsid w:val="0051048F"/>
    <w:rsid w:val="008458F9"/>
    <w:rsid w:val="008827A8"/>
    <w:rsid w:val="00C44BB0"/>
    <w:rsid w:val="00D162EC"/>
    <w:rsid w:val="00DE029E"/>
    <w:rsid w:val="00EA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6429AD"/>
  <w15:docId w15:val="{BFE91563-994C-4739-8806-E0052EC83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Book Antiqua" w:hAnsi="Book Antiqua" w:cs="Book Antiqua"/>
        <w:color w:val="000000"/>
        <w:lang w:val="fr" w:eastAsia="fr-FR" w:bidi="ar-SA"/>
      </w:rPr>
    </w:rPrDefault>
    <w:pPrDefault>
      <w:pPr>
        <w:spacing w:after="120" w:line="34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008827A8"/>
    <w:pPr>
      <w:spacing w:before="400" w:line="360" w:lineRule="auto"/>
      <w:outlineLvl w:val="0"/>
    </w:pPr>
    <w:rPr>
      <w:b/>
      <w:color w:val="0070C0"/>
      <w:sz w:val="26"/>
      <w:szCs w:val="26"/>
    </w:rPr>
  </w:style>
  <w:style w:type="paragraph" w:styleId="Titre2">
    <w:name w:val="heading 2"/>
    <w:basedOn w:val="Normal"/>
    <w:next w:val="Normal"/>
    <w:uiPriority w:val="9"/>
    <w:unhideWhenUsed/>
    <w:qFormat/>
    <w:rsid w:val="008827A8"/>
    <w:pPr>
      <w:spacing w:before="280" w:after="80"/>
      <w:outlineLvl w:val="1"/>
    </w:pPr>
    <w:rPr>
      <w:b/>
      <w:color w:val="00B0F0"/>
      <w:sz w:val="22"/>
      <w:szCs w:val="22"/>
    </w:rPr>
  </w:style>
  <w:style w:type="paragraph" w:styleId="Titre3">
    <w:name w:val="heading 3"/>
    <w:basedOn w:val="Normal"/>
    <w:next w:val="Normal"/>
    <w:uiPriority w:val="9"/>
    <w:unhideWhenUsed/>
    <w:qFormat/>
    <w:pPr>
      <w:spacing w:before="200" w:after="60"/>
      <w:outlineLvl w:val="2"/>
    </w:pPr>
    <w:rPr>
      <w:b/>
      <w:i/>
      <w:color w:val="44444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irstParagraph">
    <w:name w:val="First Paragraph"/>
    <w:basedOn w:val="Normal"/>
    <w:next w:val="Corpsdetexte"/>
  </w:style>
  <w:style w:type="paragraph" w:styleId="Corpsdetexte">
    <w:name w:val="Body Text"/>
    <w:basedOn w:val="Normal"/>
  </w:style>
  <w:style w:type="paragraph" w:customStyle="1" w:styleId="ImageCaption">
    <w:name w:val="Image Caption"/>
    <w:basedOn w:val="Normal"/>
    <w:next w:val="Normal"/>
    <w:pPr>
      <w:spacing w:before="40" w:after="160" w:line="280" w:lineRule="auto"/>
    </w:pPr>
    <w:rPr>
      <w:i/>
      <w:color w:val="888888"/>
      <w:sz w:val="17"/>
      <w:szCs w:val="17"/>
    </w:rPr>
  </w:style>
  <w:style w:type="paragraph" w:styleId="Lgende">
    <w:name w:val="caption"/>
    <w:basedOn w:val="Normal"/>
    <w:next w:val="Normal"/>
    <w:pPr>
      <w:spacing w:before="40" w:after="160" w:line="280" w:lineRule="auto"/>
    </w:pPr>
    <w:rPr>
      <w:i/>
      <w:color w:val="888888"/>
      <w:sz w:val="17"/>
      <w:szCs w:val="17"/>
    </w:rPr>
  </w:style>
  <w:style w:type="paragraph" w:customStyle="1" w:styleId="TableCaption">
    <w:name w:val="Table Caption"/>
    <w:basedOn w:val="Lgende"/>
    <w:next w:val="Normal"/>
  </w:style>
  <w:style w:type="paragraph" w:customStyle="1" w:styleId="Compact">
    <w:name w:val="Compact"/>
    <w:basedOn w:val="Normal"/>
    <w:next w:val="Normal"/>
    <w:pPr>
      <w:spacing w:after="40" w:line="280" w:lineRule="auto"/>
    </w:pPr>
    <w:rPr>
      <w:sz w:val="18"/>
      <w:szCs w:val="18"/>
    </w:rPr>
  </w:style>
  <w:style w:type="paragraph" w:styleId="Normalcentr">
    <w:name w:val="Block Text"/>
    <w:basedOn w:val="Normal"/>
    <w:next w:val="Normal"/>
    <w:pPr>
      <w:spacing w:before="120" w:line="320" w:lineRule="auto"/>
      <w:ind w:left="600" w:right="600"/>
    </w:pPr>
    <w:rPr>
      <w:i/>
      <w:color w:val="444444"/>
      <w:sz w:val="19"/>
      <w:szCs w:val="19"/>
    </w:rPr>
  </w:style>
  <w:style w:type="paragraph" w:customStyle="1" w:styleId="SourceCode">
    <w:name w:val="Source Code"/>
    <w:basedOn w:val="Normal"/>
    <w:next w:val="Normal"/>
    <w:pPr>
      <w:spacing w:before="60" w:after="60" w:line="280" w:lineRule="auto"/>
    </w:pPr>
    <w:rPr>
      <w:rFonts w:ascii="Courier New" w:hAnsi="Courier New" w:cs="Courier New"/>
      <w:color w:val="444444"/>
      <w:sz w:val="17"/>
      <w:szCs w:val="17"/>
    </w:rPr>
  </w:style>
  <w:style w:type="paragraph" w:styleId="Notedebasdepage">
    <w:name w:val="footnote text"/>
    <w:basedOn w:val="Normal"/>
    <w:next w:val="Normal"/>
    <w:pPr>
      <w:spacing w:after="60" w:line="280" w:lineRule="auto"/>
    </w:pPr>
    <w:rPr>
      <w:color w:val="888888"/>
      <w:sz w:val="16"/>
      <w:szCs w:val="16"/>
    </w:rPr>
  </w:style>
  <w:style w:type="paragraph" w:styleId="Paragraphedeliste">
    <w:name w:val="List Paragraph"/>
    <w:basedOn w:val="Normal"/>
    <w:pPr>
      <w:spacing w:before="40" w:after="40" w:line="300" w:lineRule="auto"/>
      <w:ind w:left="600" w:hanging="300"/>
    </w:pPr>
  </w:style>
  <w:style w:type="paragraph" w:styleId="Titre">
    <w:name w:val="Title"/>
    <w:basedOn w:val="Normal"/>
    <w:next w:val="Normal"/>
    <w:uiPriority w:val="10"/>
    <w:qFormat/>
    <w:pPr>
      <w:spacing w:before="2880" w:after="360" w:line="400" w:lineRule="auto"/>
      <w:jc w:val="center"/>
    </w:pPr>
    <w:rPr>
      <w:b/>
      <w:color w:val="1CABE2"/>
      <w:sz w:val="52"/>
      <w:szCs w:val="52"/>
    </w:rPr>
  </w:style>
  <w:style w:type="paragraph" w:styleId="Sous-titre">
    <w:name w:val="Subtitle"/>
    <w:basedOn w:val="Normal"/>
    <w:next w:val="Normal"/>
    <w:pPr>
      <w:spacing w:before="120" w:after="360" w:line="320" w:lineRule="auto"/>
      <w:jc w:val="center"/>
    </w:pPr>
    <w:rPr>
      <w:i/>
      <w:color w:val="6C757D"/>
      <w:sz w:val="22"/>
      <w:szCs w:val="22"/>
    </w:rPr>
  </w:style>
  <w:style w:type="paragraph" w:customStyle="1" w:styleId="Author">
    <w:name w:val="Author"/>
    <w:basedOn w:val="Normal"/>
    <w:next w:val="Normal"/>
    <w:pPr>
      <w:spacing w:before="5760" w:line="320" w:lineRule="auto"/>
      <w:jc w:val="center"/>
    </w:pPr>
    <w:rPr>
      <w:b/>
      <w:color w:val="374EA2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45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458F9"/>
  </w:style>
  <w:style w:type="paragraph" w:styleId="Pieddepage">
    <w:name w:val="footer"/>
    <w:basedOn w:val="Normal"/>
    <w:link w:val="PieddepageCar"/>
    <w:uiPriority w:val="99"/>
    <w:unhideWhenUsed/>
    <w:rsid w:val="008458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458F9"/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Pr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Pr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Pr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Pr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Pr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rPr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rPr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  <w:style w:type="paragraph" w:styleId="TM1">
    <w:name w:val="toc 1"/>
    <w:basedOn w:val="Normal"/>
    <w:next w:val="Normal"/>
    <w:autoRedefine/>
    <w:uiPriority w:val="39"/>
    <w:unhideWhenUsed/>
    <w:rsid w:val="00D162EC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162EC"/>
    <w:pPr>
      <w:spacing w:after="100"/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D162EC"/>
    <w:pPr>
      <w:spacing w:after="100"/>
      <w:ind w:left="400"/>
    </w:pPr>
  </w:style>
  <w:style w:type="character" w:styleId="Lienhypertexte">
    <w:name w:val="Hyperlink"/>
    <w:basedOn w:val="Policepardfaut"/>
    <w:uiPriority w:val="99"/>
    <w:unhideWhenUsed/>
    <w:rsid w:val="00D162EC"/>
    <w:rPr>
      <w:color w:val="0563C1" w:themeColor="hyperlink"/>
      <w:u w:val="single"/>
    </w:rPr>
  </w:style>
  <w:style w:type="table" w:styleId="TableauGrille1Clair-Accentuation1">
    <w:name w:val="Grid Table 1 Light Accent 1"/>
    <w:basedOn w:val="TableauNormal"/>
    <w:uiPriority w:val="46"/>
    <w:rsid w:val="00D162E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D162EC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outputs/figures/fig01_histogramme_age.png" TargetMode="External"/><Relationship Id="rId13" Type="http://schemas.openxmlformats.org/officeDocument/2006/relationships/hyperlink" Target="https://CRAN.R-project.org/package=apyramid" TargetMode="External"/><Relationship Id="rId18" Type="http://schemas.openxmlformats.org/officeDocument/2006/relationships/hyperlink" Target="https://CRAN.R-project.org/package=nania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icrodata.worldbank.org/index.php/catalog/3557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oi.org/10.4300/JGME-D-12-00156.1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doi.org/10.32614/RJ-2021-053" TargetMode="External"/><Relationship Id="rId20" Type="http://schemas.openxmlformats.org/officeDocument/2006/relationships/hyperlink" Target="https://doi.org/10.21105/joss.0168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R-project.org/" TargetMode="External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https://CRAN.R-project.org/package=renv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CRAN.R-project.org/package=rstatix" TargetMode="External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16</Pages>
  <Words>3293</Words>
  <Characters>18113</Characters>
  <Application>Microsoft Office Word</Application>
  <DocSecurity>0</DocSecurity>
  <Lines>150</Lines>
  <Paragraphs>42</Paragraphs>
  <ScaleCrop>false</ScaleCrop>
  <Company/>
  <LinksUpToDate>false</LinksUpToDate>
  <CharactersWithSpaces>21364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Profil démographique des ménages nigérians</dc:title>
  <dc:creator>Keita L.; Nkwa Tsamo L.</dc:creator>
  <cp:keywords/>
  <cp:lastModifiedBy>Leslye Nkwa</cp:lastModifiedBy>
  <cp:revision>2</cp:revision>
  <dcterms:created xsi:type="dcterms:W3CDTF">2026-03-17T14:22:00Z</dcterms:created>
  <dcterms:modified xsi:type="dcterms:W3CDTF">2026-03-17T14:35:00Z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csl">
    <vt:lpwstr>https://raw.githubusercontent.com/citation-style-language/styles/master/apa.csl</vt:lpwstr>
  </property>
  <property fmtid="{D5CDD505-2E9C-101B-9397-08002B2CF9AE}" pid="7" name="date">
    <vt:lpwstr>17 mars 2026</vt:lpwstr>
  </property>
  <property fmtid="{D5CDD505-2E9C-101B-9397-08002B2CF9AE}" pid="8" name="date-format">
    <vt:lpwstr>D MMMM YYYY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Analyse du Nigeria General Household Survey Panel Wave 4 (2018-2019)</vt:lpwstr>
  </property>
  <property fmtid="{D5CDD505-2E9C-101B-9397-08002B2CF9AE}" pid="14" name="toc-title">
    <vt:lpwstr>Table des matières</vt:lpwstr>
  </property>
</Properties>
</file>