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TP1 – Profil démographique des ménages nigérians</w:t>
      </w:r>
    </w:p>
    <w:p>
      <w:pPr>
        <w:pStyle w:val="Subtitle"/>
      </w:pPr>
      <w:r>
        <w:t xml:space="preserve">Nigeria General Household Survey Panel (W1-W4, 2010-2018)</w:t>
      </w:r>
    </w:p>
    <w:p>
      <w:pPr>
        <w:pStyle w:val="Author"/>
      </w:pPr>
      <w:r>
        <w:t xml:space="preserve">Cheikh Ahmadou Bamba FALL</w:t>
      </w:r>
    </w:p>
    <w:p>
      <w:pPr>
        <w:pStyle w:val="Author"/>
      </w:pPr>
      <w:r>
        <w:t xml:space="preserve">Cheikh Omar TRAORE</w:t>
      </w:r>
    </w:p>
    <w:p>
      <w:pPr>
        <w:pStyle w:val="Date"/>
      </w:pPr>
      <w:r>
        <w:t xml:space="preserve">2026-03-25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TP1 réalisé dans le cadre du cours de</w:t>
      </w:r>
      <w:r>
        <w:t xml:space="preserve"> </w:t>
      </w:r>
      <w:r>
        <w:t xml:space="preserve">Statistique Descriptive à l’École Nationale de la Statistique et de l’Analyse</w:t>
      </w:r>
      <w:r>
        <w:t xml:space="preserve"> </w:t>
      </w:r>
      <w:r>
        <w:t xml:space="preserve">Économique Pierre Ndiaye (ENSAE). L’objectif est de décrire le profil</w:t>
      </w:r>
      <w:r>
        <w:t xml:space="preserve"> </w:t>
      </w:r>
      <w:r>
        <w:t xml:space="preserve">démographique des ménages nigérians à partir du Nigeria General Household</w:t>
      </w:r>
      <w:r>
        <w:t xml:space="preserve"> </w:t>
      </w:r>
      <w:r>
        <w:t xml:space="preserve">Survey (GHS) Panel, enquête longitudinale en quatre vagues (2010, 2012, 2015,</w:t>
      </w:r>
      <w:r>
        <w:t xml:space="preserve"> </w:t>
      </w:r>
      <w:r>
        <w:t xml:space="preserve">2018) financée par la Banque Mondiale.</w:t>
      </w:r>
    </w:p>
    <w:p>
      <w:pPr>
        <w:pStyle w:val="BodyText"/>
      </w:pPr>
      <w:r>
        <w:t xml:space="preserve">Les analyses portent principalement sur la</w:t>
      </w:r>
      <w:r>
        <w:t xml:space="preserve"> </w:t>
      </w:r>
      <w:r>
        <w:rPr>
          <w:b/>
          <w:bCs/>
        </w:rPr>
        <w:t xml:space="preserve">vague 4 (2018)</w:t>
      </w:r>
      <w:r>
        <w:t xml:space="preserve"> </w:t>
      </w:r>
      <w:r>
        <w:t xml:space="preserve">et couvrent :</w:t>
      </w:r>
    </w:p>
    <w:p>
      <w:pPr>
        <w:pStyle w:val="Compact"/>
        <w:numPr>
          <w:ilvl w:val="0"/>
          <w:numId w:val="1001"/>
        </w:numPr>
      </w:pPr>
      <w:r>
        <w:t xml:space="preserve">La structure par âge des membres des ménages</w:t>
      </w:r>
    </w:p>
    <w:p>
      <w:pPr>
        <w:pStyle w:val="Compact"/>
        <w:numPr>
          <w:ilvl w:val="0"/>
          <w:numId w:val="1001"/>
        </w:numPr>
      </w:pPr>
      <w:r>
        <w:t xml:space="preserve">La répartition par sexe</w:t>
      </w:r>
    </w:p>
    <w:p>
      <w:pPr>
        <w:pStyle w:val="Compact"/>
        <w:numPr>
          <w:ilvl w:val="0"/>
          <w:numId w:val="1001"/>
        </w:numPr>
      </w:pPr>
      <w:r>
        <w:t xml:space="preserve">Le lien de parenté avec le chef de ménage</w:t>
      </w:r>
    </w:p>
    <w:p>
      <w:pPr>
        <w:pStyle w:val="Compact"/>
        <w:numPr>
          <w:ilvl w:val="0"/>
          <w:numId w:val="1001"/>
        </w:numPr>
      </w:pPr>
      <w:r>
        <w:t xml:space="preserve">La taille des ménages selon le milieu de résidence</w:t>
      </w:r>
    </w:p>
    <w:p>
      <w:pPr>
        <w:pStyle w:val="FirstParagraph"/>
      </w:pPr>
      <w:r>
        <w:t xml:space="preserve">Toutes les statistiques sont</w:t>
      </w:r>
      <w:r>
        <w:t xml:space="preserve"> </w:t>
      </w:r>
      <w:r>
        <w:rPr>
          <w:b/>
          <w:bCs/>
        </w:rPr>
        <w:t xml:space="preserve">pondérées</w:t>
      </w:r>
      <w:r>
        <w:t xml:space="preserve"> </w:t>
      </w:r>
      <w:r>
        <w:t xml:space="preserve">par le poids de sondage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issu de</w:t>
      </w:r>
      <w:r>
        <w:t xml:space="preserve"> </w:t>
      </w:r>
      <w:r>
        <w:rPr>
          <w:rStyle w:val="VerbatimChar"/>
        </w:rPr>
        <w:t xml:space="preserve">secta_harvestw4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données-et-méthodologi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Données et Méthodologie</w:t>
      </w:r>
    </w:p>
    <w:bookmarkStart w:id="21" w:name="source-des-donné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Source des données</w:t>
      </w:r>
    </w:p>
    <w:p>
      <w:pPr>
        <w:pStyle w:val="FirstParagraph"/>
      </w:pPr>
      <w:r>
        <w:t xml:space="preserve">Les données proviennent du programme</w:t>
      </w:r>
      <w:r>
        <w:t xml:space="preserve"> </w:t>
      </w:r>
      <w:r>
        <w:rPr>
          <w:b/>
          <w:bCs/>
        </w:rPr>
        <w:t xml:space="preserve">LSMS-ISA (Living Standards 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Study – Integrated Surveys on Agriculture)</w:t>
      </w:r>
      <w:r>
        <w:t xml:space="preserve"> </w:t>
      </w:r>
      <w:r>
        <w:t xml:space="preserve">de la Banque Mondiale. Le GHS Panel</w:t>
      </w:r>
      <w:r>
        <w:t xml:space="preserve"> </w:t>
      </w:r>
      <w:r>
        <w:t xml:space="preserve">nigérian couvre 4 vagues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</w:tbl>
    <w:bookmarkEnd w:id="21"/>
    <w:bookmarkStart w:id="22" w:name="fichiers-utilisé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Fichiers utilisés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sect1_harvestw4.dta</w:t>
      </w:r>
      <w:r>
        <w:t xml:space="preserve"> </w:t>
      </w:r>
      <w:r>
        <w:t xml:space="preserve">: composition du ménage (âge, sexe, lien de parenté)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secta_harvestw4.dta</w:t>
      </w:r>
      <w:r>
        <w:t xml:space="preserve"> </w:t>
      </w:r>
      <w:r>
        <w:t xml:space="preserve">: zone rurale/urbaine (</w:t>
      </w:r>
      <w:r>
        <w:rPr>
          <w:rStyle w:val="VerbatimChar"/>
        </w:rPr>
        <w:t xml:space="preserve">sector</w:t>
      </w:r>
      <w:r>
        <w:t xml:space="preserve">), État, LGA, poids</w:t>
      </w:r>
      <w:r>
        <w:t xml:space="preserve"> </w:t>
      </w:r>
      <w:r>
        <w:rPr>
          <w:rStyle w:val="VerbatimChar"/>
        </w:rPr>
        <w:t xml:space="preserve">wt_wave4</w:t>
      </w:r>
    </w:p>
    <w:bookmarkEnd w:id="22"/>
    <w:bookmarkStart w:id="23" w:name="nettoyage-des-donné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Nettoyage des données</w:t>
      </w:r>
    </w:p>
    <w:p>
      <w:pPr>
        <w:pStyle w:val="SourceCode"/>
      </w:pPr>
      <w:r>
        <w:rPr>
          <w:rStyle w:val="NormalTok"/>
        </w:rPr>
        <w:t xml:space="preserve">sect1_w4_clean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"sect1_w4_clean.rds"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secta_w4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charger_dta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"secta_harvest"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sector_hh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secta_w4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(hhid, sector, wt_wave4)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(hhid,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Les étapes de nettoyage ont consisté à :</w:t>
      </w:r>
    </w:p>
    <w:p>
      <w:pPr>
        <w:pStyle w:val="Compact"/>
        <w:numPr>
          <w:ilvl w:val="0"/>
          <w:numId w:val="1003"/>
        </w:numPr>
      </w:pPr>
      <w:r>
        <w:t xml:space="preserve">Vérifier et supprimer les doublons sur</w:t>
      </w:r>
      <w:r>
        <w:t xml:space="preserve"> </w:t>
      </w:r>
      <w:r>
        <w:rPr>
          <w:rStyle w:val="VerbatimChar"/>
        </w:rPr>
        <w:t xml:space="preserve">hhid + indiv</w:t>
      </w:r>
    </w:p>
    <w:p>
      <w:pPr>
        <w:pStyle w:val="Compact"/>
        <w:numPr>
          <w:ilvl w:val="0"/>
          <w:numId w:val="1003"/>
        </w:numPr>
      </w:pPr>
      <w:r>
        <w:t xml:space="preserve">Filtrer les âges aberrants (valeurs hors [0, 120])</w:t>
      </w:r>
    </w:p>
    <w:p>
      <w:pPr>
        <w:pStyle w:val="Compact"/>
        <w:numPr>
          <w:ilvl w:val="0"/>
          <w:numId w:val="1003"/>
        </w:numPr>
      </w:pPr>
      <w:r>
        <w:t xml:space="preserve">Joindre le poids</w:t>
      </w:r>
      <w:r>
        <w:t xml:space="preserve"> </w:t>
      </w:r>
      <w:r>
        <w:rPr>
          <w:rStyle w:val="VerbatimChar"/>
        </w:rPr>
        <w:t xml:space="preserve">wt_wave4</w:t>
      </w:r>
      <w:r>
        <w:t xml:space="preserve"> </w:t>
      </w:r>
      <w:r>
        <w:t xml:space="preserve">et la variable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 </w:t>
      </w:r>
      <w:r>
        <w:t xml:space="preserve">(rural/urbain)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secta_harvestw4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hhid</w:t>
      </w:r>
    </w:p>
    <w:p>
      <w:pPr>
        <w:pStyle w:val="Compact"/>
        <w:numPr>
          <w:ilvl w:val="0"/>
          <w:numId w:val="1003"/>
        </w:numPr>
      </w:pPr>
      <w:r>
        <w:t xml:space="preserve">Exclure les individus sans poids valide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6" w:name="résulta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Résultats</w:t>
      </w:r>
    </w:p>
    <w:bookmarkStart w:id="25" w:name="Xcb545b0d4116b92996ed7bcf9d3f9d84db4357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Exploration et qualité des données (Question 1)</w:t>
      </w:r>
    </w:p>
    <w:p>
      <w:pPr>
        <w:pStyle w:val="SourceCode"/>
      </w:pPr>
      <w:r>
        <w:rPr>
          <w:rStyle w:val="VerbatimChar"/>
        </w:rPr>
        <w:t xml:space="preserve">## Dimensions du fichier : 30311 individus, 62 variables</w:t>
      </w:r>
    </w:p>
    <w:p>
      <w:pPr>
        <w:pStyle w:val="SourceCode"/>
      </w:pPr>
      <w:r>
        <w:rPr>
          <w:rStyle w:val="VerbatimChar"/>
        </w:rPr>
        <w:t xml:space="preserve">## Valeurs manquantes par variable :</w:t>
      </w:r>
    </w:p>
    <w:p>
      <w:pPr>
        <w:pStyle w:val="SourceCode"/>
      </w:pPr>
      <w:r>
        <w:rPr>
          <w:rStyle w:val="VerbatimChar"/>
        </w:rPr>
        <w:t xml:space="preserve">##       zone    state.x        lga   sector.x         ea       hhid      indiv </w:t>
      </w:r>
      <w:r>
        <w:br/>
      </w:r>
      <w:r>
        <w:rPr>
          <w:rStyle w:val="VerbatimChar"/>
        </w:rPr>
        <w:t xml:space="preserve">##          0          0          0          0          0          0          0 </w:t>
      </w:r>
      <w:r>
        <w:br/>
      </w:r>
      <w:r>
        <w:rPr>
          <w:rStyle w:val="VerbatimChar"/>
        </w:rPr>
        <w:t xml:space="preserve">##      s1q4a       s1q2       s1q3    s1q3_os       s1q4      s1q5a      s1q5b </w:t>
      </w:r>
      <w:r>
        <w:br/>
      </w:r>
      <w:r>
        <w:rPr>
          <w:rStyle w:val="VerbatimChar"/>
        </w:rPr>
        <w:t xml:space="preserve">##        789       3779       3779          0       3779      24830      28531 </w:t>
      </w:r>
      <w:r>
        <w:br/>
      </w:r>
      <w:r>
        <w:rPr>
          <w:rStyle w:val="VerbatimChar"/>
        </w:rPr>
        <w:t xml:space="preserve">##   s1q6_day s1q6_month  s1q6_year      s1q8a      s1q8b      s1q8c       s1q7 </w:t>
      </w:r>
      <w:r>
        <w:br/>
      </w:r>
      <w:r>
        <w:rPr>
          <w:rStyle w:val="VerbatimChar"/>
        </w:rPr>
        <w:t xml:space="preserve">##      24830      24830      22705       3779       3779      12495      12979 </w:t>
      </w:r>
      <w:r>
        <w:br/>
      </w:r>
      <w:r>
        <w:rPr>
          <w:rStyle w:val="VerbatimChar"/>
        </w:rPr>
        <w:t xml:space="preserve">##      s1q11    s1q12_1    s1q12_2    s1q12_3    s1q12_4   s1q13a_1   s1q13a_2 </w:t>
      </w:r>
      <w:r>
        <w:br/>
      </w:r>
      <w:r>
        <w:rPr>
          <w:rStyle w:val="VerbatimChar"/>
        </w:rPr>
        <w:t xml:space="preserve">##      21942      22239      29696      30213      30297      22241      29696 </w:t>
      </w:r>
      <w:r>
        <w:br/>
      </w:r>
      <w:r>
        <w:rPr>
          <w:rStyle w:val="VerbatimChar"/>
        </w:rPr>
        <w:t xml:space="preserve">##   s1q13a_3   s1q13a_4     s1q13b     s1q13c      s1q13      s1q15      s1q16 </w:t>
      </w:r>
      <w:r>
        <w:br/>
      </w:r>
      <w:r>
        <w:rPr>
          <w:rStyle w:val="VerbatimChar"/>
        </w:rPr>
        <w:t xml:space="preserve">##      30213      30297      21942      29826       3779      29522      29522 </w:t>
      </w:r>
      <w:r>
        <w:br/>
      </w:r>
      <w:r>
        <w:rPr>
          <w:rStyle w:val="VerbatimChar"/>
        </w:rPr>
        <w:t xml:space="preserve">##   s1q16_os      s1q17   s1q17_os      s1q18      s1q19      s1q20      s1q21 </w:t>
      </w:r>
      <w:r>
        <w:br/>
      </w:r>
      <w:r>
        <w:rPr>
          <w:rStyle w:val="VerbatimChar"/>
        </w:rPr>
        <w:t xml:space="preserve">##          0      28751          0      25341      27910      27750      27750 </w:t>
      </w:r>
      <w:r>
        <w:br/>
      </w:r>
      <w:r>
        <w:rPr>
          <w:rStyle w:val="VerbatimChar"/>
        </w:rPr>
        <w:t xml:space="preserve">##      s1q22  s1q22_oth      s1q23      s1q24      s1q25      s1q26      s1q27 </w:t>
      </w:r>
      <w:r>
        <w:br/>
      </w:r>
      <w:r>
        <w:rPr>
          <w:rStyle w:val="VerbatimChar"/>
        </w:rPr>
        <w:t xml:space="preserve">##      27750          0      25341      27422      28230      28230      28230 </w:t>
      </w:r>
      <w:r>
        <w:br/>
      </w:r>
      <w:r>
        <w:rPr>
          <w:rStyle w:val="VerbatimChar"/>
        </w:rPr>
        <w:t xml:space="preserve">##   s1q27_os      s1q28   s1q28_os      s1q29      s1q30     s1q31d      s1q31 </w:t>
      </w:r>
      <w:r>
        <w:br/>
      </w:r>
      <w:r>
        <w:rPr>
          <w:rStyle w:val="VerbatimChar"/>
        </w:rPr>
        <w:t xml:space="preserve">##          0      26535          0      26776      26778      26821      26821 </w:t>
      </w:r>
      <w:r>
        <w:br/>
      </w:r>
      <w:r>
        <w:rPr>
          <w:rStyle w:val="VerbatimChar"/>
        </w:rPr>
        <w:t xml:space="preserve">##     s1q31b      s1q32      s1q33   sector.y    state.y   wt_wave4 </w:t>
      </w:r>
      <w:r>
        <w:br/>
      </w:r>
      <w:r>
        <w:rPr>
          <w:rStyle w:val="VerbatimChar"/>
        </w:rPr>
        <w:t xml:space="preserve">##      27387      30268      30268          0          0          0</w:t>
      </w:r>
    </w:p>
    <w:p>
      <w:pPr>
        <w:pStyle w:val="SourceCode"/>
      </w:pPr>
      <w:r>
        <w:rPr>
          <w:rStyle w:val="VerbatimChar"/>
        </w:rPr>
        <w:t xml:space="preserve">## Somme totale des poids : 166411972</w:t>
      </w:r>
    </w:p>
    <w:bookmarkEnd w:id="25"/>
    <w:bookmarkStart w:id="32" w:name="X0416ac275087a0ea9405650b8285027b013872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Analyse univariée de l’âge pondérée (Question 2)</w:t>
      </w:r>
    </w:p>
    <w:p>
      <w:pPr>
        <w:pStyle w:val="FirstParagraph"/>
      </w:pPr>
      <w:r>
        <w:t xml:space="preserve">La distribution de l’âge est analysée à travers des statistiques pondérées</w:t>
      </w:r>
      <w:r>
        <w:t xml:space="preserve"> </w:t>
      </w:r>
      <w:r>
        <w:t xml:space="preserve">(</w:t>
      </w:r>
      <w:r>
        <w:rPr>
          <w:rStyle w:val="VerbatimChar"/>
        </w:rPr>
        <w:t xml:space="preserve">Hmisc::wtd.mean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Hmisc::wtd.quantile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Hmisc::wtd.var</w:t>
      </w:r>
      <w:r>
        <w:t xml:space="preserve">).</w:t>
      </w:r>
    </w:p>
    <w:p>
      <w:pPr>
        <w:pStyle w:val="TableCaption"/>
      </w:pPr>
      <w:r>
        <w:t xml:space="preserve">Statistiques pondérées de l’âge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ques pondérées de l’âge – W4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Moyenne pondérée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Médiane pondérée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pondéré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pondéré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Asymétrie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</w:tbl>
    <w:p>
      <w:pPr>
        <w:pStyle w:val="CaptionedFigure"/>
      </w:pPr>
      <w:r>
        <w:drawing>
          <wp:inline>
            <wp:extent cx="5334000" cy="3733799"/>
            <wp:effectExtent b="0" l="0" r="0" t="0"/>
            <wp:docPr descr="Distribution pondérée de l’âge des membres – W4" title="" id="27" name="Picture"/>
            <a:graphic>
              <a:graphicData uri="http://schemas.openxmlformats.org/drawingml/2006/picture">
                <pic:pic>
                  <pic:nvPicPr>
                    <pic:cNvPr descr="../output/figures/T2_histogramme_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pondérée de l’âge des membres – W4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Boîte à moustaches de l’âge – W4" title="" id="30" name="Picture"/>
            <a:graphic>
              <a:graphicData uri="http://schemas.openxmlformats.org/drawingml/2006/picture">
                <pic:pic>
                  <pic:nvPicPr>
                    <pic:cNvPr descr="../output/figures/T2_boxplot_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Boîte à moustaches de l’âge – W4</w:t>
      </w:r>
    </w:p>
    <w:p>
      <w:pPr>
        <w:pStyle w:val="BodyText"/>
      </w:pPr>
      <w:r>
        <w:rPr>
          <w:b/>
          <w:bCs/>
        </w:rPr>
        <w:t xml:space="preserve">Test de normalité de Shapiro-Wilk :</w:t>
      </w:r>
    </w:p>
    <w:p>
      <w:pPr>
        <w:pStyle w:val="SourceCode"/>
      </w:pPr>
      <w:r>
        <w:rPr>
          <w:rStyle w:val="VerbatimChar"/>
        </w:rPr>
        <w:t xml:space="preserve">## Statistique W = 0.903</w:t>
      </w:r>
    </w:p>
    <w:p>
      <w:pPr>
        <w:pStyle w:val="SourceCode"/>
      </w:pPr>
      <w:r>
        <w:rPr>
          <w:rStyle w:val="VerbatimChar"/>
        </w:rPr>
        <w:t xml:space="preserve">## p-valeur = 1.05e-48</w:t>
      </w:r>
    </w:p>
    <w:p>
      <w:pPr>
        <w:pStyle w:val="SourceCode"/>
      </w:pPr>
      <w:r>
        <w:rPr>
          <w:rStyle w:val="VerbatimChar"/>
        </w:rPr>
        <w:t xml:space="preserve">## Conclusion : La distribution de l'âge n'est PAS normale (p &lt; 0.05).</w:t>
      </w:r>
    </w:p>
    <w:bookmarkEnd w:id="32"/>
    <w:bookmarkStart w:id="36" w:name="pyramide-des-âges-pondérée-question-3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Pyramide des âges pondérée (Question 3)</w:t>
      </w:r>
    </w:p>
    <w:p>
      <w:pPr>
        <w:pStyle w:val="CaptionedFigure"/>
      </w:pPr>
      <w:r>
        <w:drawing>
          <wp:inline>
            <wp:extent cx="5334000" cy="6400799"/>
            <wp:effectExtent b="0" l="0" r="0" t="0"/>
            <wp:docPr descr="Pyramide des âges pondérée – Nigeria GHS Panel W4 (2018)" title="" id="34" name="Picture"/>
            <a:graphic>
              <a:graphicData uri="http://schemas.openxmlformats.org/drawingml/2006/picture">
                <pic:pic>
                  <pic:nvPicPr>
                    <pic:cNvPr descr="../output/figures/T3_pyramide_ages_W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Pyramide des âges pondérée – Nigeria GHS Panel W4 (2018)</w:t>
      </w:r>
    </w:p>
    <w:p>
      <w:pPr>
        <w:pStyle w:val="BodyText"/>
      </w:pPr>
      <w:r>
        <w:t xml:space="preserve">La pyramide des âges révèle une structure démographique typiquement jeune.</w:t>
      </w:r>
      <w:r>
        <w:t xml:space="preserve"> </w:t>
      </w:r>
      <w:r>
        <w:t xml:space="preserve">Les proportions sont calculées à partir des effectifs pondérés (</w:t>
      </w:r>
      <w:r>
        <w:rPr>
          <w:rStyle w:val="VerbatimChar"/>
        </w:rPr>
        <w:t xml:space="preserve">wt_wave4</w:t>
      </w:r>
      <w:r>
        <w:t xml:space="preserve">),</w:t>
      </w:r>
      <w:r>
        <w:t xml:space="preserve"> </w:t>
      </w:r>
      <w:r>
        <w:t xml:space="preserve">ce qui garantit la représentativité de la population nigériane couverte par le GHS.</w:t>
      </w:r>
    </w:p>
    <w:bookmarkEnd w:id="36"/>
    <w:bookmarkStart w:id="40" w:name="lien-de-parenté-question-4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Lien de parenté (Question 4)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Répartition pondérée des membres par lien de parenté – W4" title="" id="38" name="Picture"/>
            <a:graphic>
              <a:graphicData uri="http://schemas.openxmlformats.org/drawingml/2006/picture">
                <pic:pic>
                  <pic:nvPicPr>
                    <pic:cNvPr descr="../output/figures/T4_lien_paren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Répartition pondérée des membres par lien de parenté – W4</w:t>
      </w:r>
    </w:p>
    <w:p>
      <w:pPr>
        <w:pStyle w:val="TableCaption"/>
      </w:pPr>
      <w:r>
        <w:t xml:space="preserve">Fréquences pondérées du lien de parenté avec IC à 95% – W4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réquences pondérées du lien de parenté avec IC à 95% – W4"/>
      </w:tblPr>
      <w:tblGrid>
        <w:gridCol w:w="1784"/>
        <w:gridCol w:w="1896"/>
        <w:gridCol w:w="1673"/>
        <w:gridCol w:w="1227"/>
        <w:gridCol w:w="13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Lien de parenté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 pondéré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Bas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Haut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30068834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ménage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26954602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Conjoint(e)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24025955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85362581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</w:t>
            </w:r>
          </w:p>
        </w:tc>
      </w:tr>
    </w:tbl>
    <w:bookmarkEnd w:id="40"/>
    <w:bookmarkStart w:id="44" w:name="X17da5d53ee3ac8a2baf39e745c13d6df6d3b1bf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Taille des ménages selon la zone (Question 5)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aille pondérée des ménages par zone – W4" title="" id="42" name="Picture"/>
            <a:graphic>
              <a:graphicData uri="http://schemas.openxmlformats.org/drawingml/2006/picture">
                <pic:pic>
                  <pic:nvPicPr>
                    <pic:cNvPr descr="../output/figures/T5_boxplot_taille_zo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Taille pondérée des ménages par zone – W4</w:t>
      </w:r>
    </w:p>
    <w:p>
      <w:pPr>
        <w:pStyle w:val="SourceCode"/>
      </w:pPr>
      <w:r>
        <w:rPr>
          <w:rStyle w:val="VerbatimChar"/>
        </w:rPr>
        <w:t xml:space="preserve">## Test de Wilcoxon pondéré (svyranktest)</w:t>
      </w:r>
    </w:p>
    <w:p>
      <w:pPr>
        <w:pStyle w:val="SourceCode"/>
      </w:pPr>
      <w:r>
        <w:rPr>
          <w:rStyle w:val="VerbatimChar"/>
        </w:rPr>
        <w:t xml:space="preserve">## p-valeur = 5.153e-13</w:t>
      </w:r>
    </w:p>
    <w:p>
      <w:pPr>
        <w:pStyle w:val="SourceCode"/>
      </w:pPr>
      <w:r>
        <w:rPr>
          <w:rStyle w:val="VerbatimChar"/>
        </w:rPr>
        <w:t xml:space="preserve">## Taille d'effet r = 0.102</w:t>
      </w:r>
    </w:p>
    <w:p>
      <w:pPr>
        <w:pStyle w:val="SourceCode"/>
      </w:pPr>
      <w:r>
        <w:rPr>
          <w:rStyle w:val="VerbatimChar"/>
        </w:rPr>
        <w:t xml:space="preserve">## Conclusion : Différence significative entre rural et urbain (p &lt; 0.05).</w:t>
      </w:r>
    </w:p>
    <w:bookmarkEnd w:id="44"/>
    <w:bookmarkStart w:id="45" w:name="tableau-récapitulatif-pondéré-question-6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Tableau récapitulatif pondéré (Question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980"/>
        <w:gridCol w:w="1848"/>
        <w:gridCol w:w="1848"/>
        <w:gridCol w:w="8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Overall</w:t>
            </w:r>
            <w:r>
              <w:t xml:space="preserve"> </w:t>
            </w:r>
            <w:r>
              <w:t xml:space="preserve">N = 166,411,972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Rural</w:t>
            </w:r>
            <w:r>
              <w:t xml:space="preserve"> </w:t>
            </w:r>
            <w:r>
              <w:t xml:space="preserve">N = 120,766,215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Urbain</w:t>
            </w:r>
            <w:r>
              <w:t xml:space="preserve"> </w:t>
            </w:r>
            <w:r>
              <w:t xml:space="preserve">N = 45,645,757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Âge (années)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 (19)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17,397,484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12,222,337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5,175,147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Sexe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Féminin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13,356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9,531 (51%)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3,825 (50%)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13,176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9,457 (49%)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3,719 (50%)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17,397,484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12,222,337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5,175,147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Taille du ménage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Conclusion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Structure par âge</w:t>
      </w:r>
      <w:r>
        <w:t xml:space="preserve"> </w:t>
      </w:r>
      <w:r>
        <w:t xml:space="preserve">: La moyenne pondérée est inférieure à 25 ans. Le test</w:t>
      </w:r>
      <w:r>
        <w:t xml:space="preserve"> </w:t>
      </w:r>
      <w:r>
        <w:t xml:space="preserve">de Shapiro-Wilk confirme une distribution non normale.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Pyramide des âges</w:t>
      </w:r>
      <w:r>
        <w:t xml:space="preserve"> </w:t>
      </w:r>
      <w:r>
        <w:t xml:space="preserve">: La structure en pyramide large à la base, obtenue</w:t>
      </w:r>
      <w:r>
        <w:t xml:space="preserve"> </w:t>
      </w:r>
      <w:r>
        <w:t xml:space="preserve">à partir des effectifs pondérés, confirme le profil jeune de la population</w:t>
      </w:r>
      <w:r>
        <w:t xml:space="preserve"> </w:t>
      </w:r>
      <w:r>
        <w:t xml:space="preserve">nigériane.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Lien de parenté</w:t>
      </w:r>
      <w:r>
        <w:t xml:space="preserve"> </w:t>
      </w:r>
      <w:r>
        <w:t xml:space="preserve">: Les enfants constituent la catégorie la plus représentée</w:t>
      </w:r>
      <w:r>
        <w:t xml:space="preserve"> </w:t>
      </w:r>
      <w:r>
        <w:t xml:space="preserve">selon les proportions pondérées, suivis des chefs de ménage et de leurs conjoints.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Taille des ménages</w:t>
      </w:r>
      <w:r>
        <w:t xml:space="preserve"> </w:t>
      </w:r>
      <w:r>
        <w:t xml:space="preserve">: Le test de rang pondéré (</w:t>
      </w:r>
      <w:r>
        <w:rPr>
          <w:rStyle w:val="VerbatimChar"/>
        </w:rPr>
        <w:t xml:space="preserve">svyranktest</w:t>
      </w:r>
      <w:r>
        <w:t xml:space="preserve">) confirme que</w:t>
      </w:r>
      <w:r>
        <w:t xml:space="preserve"> </w:t>
      </w:r>
      <w:r>
        <w:t xml:space="preserve">les ménages ruraux sont significativement plus grands que les ménages urbains.</w:t>
      </w:r>
    </w:p>
    <w:p>
      <w:r>
        <w:pict>
          <v:rect style="width:0;height:1.5pt" o:hralign="center" o:hrstd="t" o:hr="t"/>
        </w:pict>
      </w:r>
    </w:p>
    <w:bookmarkEnd w:id="47"/>
    <w:bookmarkStart w:id="49" w:name="réfé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Références</w:t>
      </w:r>
    </w:p>
    <w:p>
      <w:pPr>
        <w:pStyle w:val="Compact"/>
        <w:numPr>
          <w:ilvl w:val="0"/>
          <w:numId w:val="1005"/>
        </w:numPr>
      </w:pPr>
      <w:r>
        <w:t xml:space="preserve">World Bank LSMS-ISA.</w:t>
      </w:r>
      <w:r>
        <w:t xml:space="preserve"> </w:t>
      </w:r>
      <w:r>
        <w:rPr>
          <w:i/>
          <w:iCs/>
        </w:rPr>
        <w:t xml:space="preserve">Nigeria General Household Survey Panel 2010-2018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https://microdata.worldbank.org</w:t>
        </w:r>
      </w:hyperlink>
    </w:p>
    <w:p>
      <w:pPr>
        <w:pStyle w:val="Compact"/>
        <w:numPr>
          <w:ilvl w:val="0"/>
          <w:numId w:val="1005"/>
        </w:numPr>
      </w:pPr>
      <w:r>
        <w:t xml:space="preserve">R Core Team (2025).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Wickham H. et al. (2019).</w:t>
      </w:r>
      <w:r>
        <w:t xml:space="preserve"> </w:t>
      </w:r>
      <w:r>
        <w:rPr>
          <w:i/>
          <w:iCs/>
        </w:rPr>
        <w:t xml:space="preserve">Welcome to the tidyverse</w:t>
      </w:r>
      <w:r>
        <w:t xml:space="preserve">. Journal of Open Source Software.</w:t>
      </w:r>
    </w:p>
    <w:p>
      <w:pPr>
        <w:pStyle w:val="Compact"/>
        <w:numPr>
          <w:ilvl w:val="0"/>
          <w:numId w:val="1005"/>
        </w:numPr>
      </w:pPr>
      <w:r>
        <w:t xml:space="preserve">Lumley T. (2023).</w:t>
      </w:r>
      <w:r>
        <w:t xml:space="preserve"> </w:t>
      </w:r>
      <w:r>
        <w:rPr>
          <w:i/>
          <w:iCs/>
        </w:rPr>
        <w:t xml:space="preserve">survey: analysis of complex survey samples</w:t>
      </w:r>
      <w:r>
        <w:t xml:space="preserve">. R package.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hyperlink" Id="rId48" Target="https://micro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cro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– Profil démographique des ménages nigérians</dc:title>
  <dc:creator>Cheikh Ahmadou Bamba FALL; Cheikh Omar TRAORE</dc:creator>
  <dc:language>fr</dc:language>
  <cp:keywords/>
  <dcterms:created xsi:type="dcterms:W3CDTF">2026-03-25T17:44:37Z</dcterms:created>
  <dcterms:modified xsi:type="dcterms:W3CDTF">2026-03-25T17:44:37Z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  <property fmtid="{D5CDD505-2E9C-101B-9397-08002B2CF9AE}" pid="3" name="output">
    <vt:lpwstr/>
  </property>
  <property fmtid="{D5CDD505-2E9C-101B-9397-08002B2CF9AE}" pid="4" name="subtitle">
    <vt:lpwstr>Nigeria General Household Survey Panel (W1-W4, 2010-2018)</vt:lpwstr>
  </property>
</Properties>
</file>