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Agence Nationale de la Statistique et de la Démographie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République du Sénégal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École Nationale de la Statistique et de l’Analyse Économique Pierre Ndiaye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Année académique</w:t>
      </w:r>
      <w:r>
        <w:t xml:space="preserve"> </w:t>
      </w:r>
      <w:r>
        <w:rPr>
          <w:b/>
          <w:bCs/>
        </w:rPr>
        <w:t xml:space="preserve">2025–2026</w:t>
      </w:r>
    </w:p>
    <w:p>
      <w:pPr>
        <w:pStyle w:val="BodyText"/>
      </w:pPr>
      <w:r>
        <w:t xml:space="preserve">Cours :</w:t>
      </w:r>
      <w:r>
        <w:t xml:space="preserve"> </w:t>
      </w:r>
      <w:r>
        <w:rPr>
          <w:b/>
          <w:bCs/>
        </w:rPr>
        <w:t xml:space="preserve">Projet Statistique sous R et Python</w:t>
      </w:r>
      <w:r>
        <w:t xml:space="preserve"> </w:t>
      </w:r>
      <w:r>
        <w:t xml:space="preserve">| Enseignant :</w:t>
      </w:r>
      <w:r>
        <w:t xml:space="preserve"> </w:t>
      </w:r>
      <w:r>
        <w:rPr>
          <w:b/>
          <w:bCs/>
        </w:rPr>
        <w:t xml:space="preserve">Aboubacar HEMA</w:t>
      </w:r>
    </w:p>
    <w:p>
      <w:r>
        <w:pict>
          <v:rect style="width:0;height:1.5pt" o:hralign="center" o:hrstd="t" o:hr="t"/>
        </w:pict>
      </w:r>
    </w:p>
    <w:bookmarkStart w:id="20" w:name="travaux-pratiques-séance-1"/>
    <w:p>
      <w:pPr>
        <w:pStyle w:val="Heading3"/>
      </w:pPr>
      <w:r>
        <w:t xml:space="preserve">Travaux Pratiques — Séance 1</w:t>
      </w:r>
    </w:p>
    <w:p>
      <w:pPr>
        <w:pStyle w:val="FirstParagraph"/>
      </w:pPr>
      <w:r>
        <w:rPr>
          <w:i/>
          <w:iCs/>
        </w:rPr>
        <w:t xml:space="preserve">Analyse sociodémographique des ménages nigérians</w:t>
      </w:r>
    </w:p>
    <w:p>
      <w:pPr>
        <w:pStyle w:val="BodyText"/>
      </w:pPr>
      <w:r>
        <w:rPr>
          <w:i/>
          <w:iCs/>
        </w:rPr>
        <w:t xml:space="preserve">Nigeria General Household Survey-Panel Wave 4 (NBS, 2018/19)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Groupe 4</w:t>
      </w:r>
    </w:p>
    <w:p>
      <w:pPr>
        <w:pStyle w:val="BodyText"/>
      </w:pPr>
      <w:r>
        <w:t xml:space="preserve">TEVOEDJRE Michel — ISE1-CL</w:t>
      </w:r>
    </w:p>
    <w:p>
      <w:pPr>
        <w:pStyle w:val="BodyText"/>
      </w:pPr>
      <w:r>
        <w:t xml:space="preserve">DICKO Hamadou — ISE-MATHS</w:t>
      </w:r>
    </w:p>
    <w:p>
      <w:r>
        <w:br w:type="page"/>
      </w:r>
    </w:p>
    <w:bookmarkEnd w:id="20"/>
    <w:bookmarkStart w:id="21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Ce rapport présente les résultats du premier travail pratique du cours de</w:t>
      </w:r>
      <w:r>
        <w:t xml:space="preserve"> </w:t>
      </w:r>
      <w:r>
        <w:rPr>
          <w:b/>
          <w:bCs/>
        </w:rPr>
        <w:t xml:space="preserve">Projet Statistique sous R et Python</w:t>
      </w:r>
      <w:r>
        <w:t xml:space="preserve">. L’objectif est de mettre en œuvre une démarche complète d’analyse statistique à partir d’une enquête ménage de grande envergure : le</w:t>
      </w:r>
      <w:r>
        <w:t xml:space="preserve"> </w:t>
      </w:r>
      <w:r>
        <w:rPr>
          <w:b/>
          <w:bCs/>
        </w:rPr>
        <w:t xml:space="preserve">Nigeria General Household Survey-Panel Wave 4 (GHSP-W4)</w:t>
      </w:r>
      <w:r>
        <w:t xml:space="preserve">, collecté par le National Bureau of Statistics (NBS) du Nigeria sur la période 2018/2019.</w:t>
      </w:r>
    </w:p>
    <w:p>
      <w:pPr>
        <w:pStyle w:val="BodyText"/>
      </w:pPr>
      <w:r>
        <w:t xml:space="preserve">La section exploitée (</w:t>
      </w:r>
      <w:r>
        <w:rPr>
          <w:rStyle w:val="VerbatimChar"/>
        </w:rPr>
        <w:t xml:space="preserve">sect1_harvestw4.dta</w:t>
      </w:r>
      <w:r>
        <w:t xml:space="preserve">) renseigne sur les caractéristiques individuelles des membres des ménages : âge, sexe, lien de parenté avec le chef de ménage, secteur de résidence (urbain/rural) et zone géographique. Les poids de sondage (</w:t>
      </w:r>
      <w:r>
        <w:rPr>
          <w:rStyle w:val="VerbatimChar"/>
        </w:rPr>
        <w:t xml:space="preserve">wt_wave4</w:t>
      </w:r>
      <w:r>
        <w:t xml:space="preserve">) issus de</w:t>
      </w:r>
      <w:r>
        <w:t xml:space="preserve"> </w:t>
      </w:r>
      <w:r>
        <w:rPr>
          <w:rStyle w:val="VerbatimChar"/>
        </w:rPr>
        <w:t xml:space="preserve">secta_harvestw4.dta</w:t>
      </w:r>
      <w:r>
        <w:t xml:space="preserve"> </w:t>
      </w:r>
      <w:r>
        <w:t xml:space="preserve">ont été intégrés à toutes les analyses afin que les résultats soient représentatifs de la</w:t>
      </w:r>
      <w:r>
        <w:t xml:space="preserve"> </w:t>
      </w:r>
      <w:r>
        <w:rPr>
          <w:b/>
          <w:bCs/>
        </w:rPr>
        <w:t xml:space="preserve">population nigériane</w:t>
      </w:r>
      <w:r>
        <w:t xml:space="preserve"> </w:t>
      </w:r>
      <w:r>
        <w:t xml:space="preserve">couverte par la vague 4. La population totale estimée par les poids est de</w:t>
      </w:r>
      <w:r>
        <w:t xml:space="preserve"> </w:t>
      </w:r>
      <w:r>
        <w:rPr>
          <w:b/>
          <w:bCs/>
        </w:rPr>
        <w:t xml:space="preserve">166 414 422 individus</w:t>
      </w:r>
      <w:r>
        <w:t xml:space="preserve">.</w:t>
      </w:r>
    </w:p>
    <w:p>
      <w:pPr>
        <w:pStyle w:val="BodyText"/>
      </w:pPr>
      <w:r>
        <w:t xml:space="preserve">Le travail est structuré en quatre parties :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préparation et contrôle qualité des données,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analyse univariée de l’âge,</w:t>
      </w:r>
      <w:r>
        <w:t xml:space="preserve"> </w:t>
      </w:r>
      <w:r>
        <w:rPr>
          <w:b/>
          <w:bCs/>
        </w:rPr>
        <w:t xml:space="preserve">(iii)</w:t>
      </w:r>
      <w:r>
        <w:t xml:space="preserve"> </w:t>
      </w:r>
      <w:r>
        <w:t xml:space="preserve">étude du lien de parenté avec intervalles de confiance, et</w:t>
      </w:r>
      <w:r>
        <w:t xml:space="preserve"> </w:t>
      </w:r>
      <w:r>
        <w:rPr>
          <w:b/>
          <w:bCs/>
        </w:rPr>
        <w:t xml:space="preserve">(iv)</w:t>
      </w:r>
      <w:r>
        <w:t xml:space="preserve"> </w:t>
      </w:r>
      <w:r>
        <w:t xml:space="preserve">comparaison de la taille des ménages urbains et ruraux par un test non paramétrique.</w:t>
      </w:r>
    </w:p>
    <w:p>
      <w:r>
        <w:pict>
          <v:rect style="width:0;height:1.5pt" o:hralign="center" o:hrstd="t" o:hr="t"/>
        </w:pict>
      </w:r>
    </w:p>
    <w:bookmarkEnd w:id="21"/>
    <w:bookmarkStart w:id="27" w:name="préparation-et-qualité-des-donné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Préparation et qualité des données</w:t>
      </w:r>
    </w:p>
    <w:bookmarkStart w:id="22" w:name="structure-de-la-bas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Structure de la base</w:t>
      </w:r>
    </w:p>
    <w:p>
      <w:pPr>
        <w:pStyle w:val="FirstParagraph"/>
      </w:pPr>
      <w:r>
        <w:t xml:space="preserve">La base contient</w:t>
      </w:r>
      <w:r>
        <w:t xml:space="preserve"> </w:t>
      </w:r>
      <w:r>
        <w:rPr>
          <w:b/>
          <w:bCs/>
        </w:rPr>
        <w:t xml:space="preserve">30 337 individus</w:t>
      </w:r>
      <w:r>
        <w:t xml:space="preserve"> </w:t>
      </w:r>
      <w:r>
        <w:t xml:space="preserve">répartis en</w:t>
      </w:r>
      <w:r>
        <w:t xml:space="preserve"> </w:t>
      </w:r>
      <w:r>
        <w:rPr>
          <w:b/>
          <w:bCs/>
        </w:rPr>
        <w:t xml:space="preserve">4 980 ménages</w:t>
      </w:r>
      <w:r>
        <w:t xml:space="preserve">, décrits par</w:t>
      </w:r>
      <w:r>
        <w:t xml:space="preserve"> </w:t>
      </w:r>
      <w:r>
        <w:rPr>
          <w:b/>
          <w:bCs/>
        </w:rPr>
        <w:t xml:space="preserve">70 variables</w:t>
      </w:r>
      <w:r>
        <w:t xml:space="preserve">. Les variables clés retenues sont : l’âge (</w:t>
      </w:r>
      <w:r>
        <w:rPr>
          <w:rStyle w:val="VerbatimChar"/>
        </w:rPr>
        <w:t xml:space="preserve">s1q4</w:t>
      </w:r>
      <w:r>
        <w:t xml:space="preserve">), le sexe (</w:t>
      </w:r>
      <w:r>
        <w:rPr>
          <w:rStyle w:val="VerbatimChar"/>
        </w:rPr>
        <w:t xml:space="preserve">s1q2</w:t>
      </w:r>
      <w:r>
        <w:t xml:space="preserve">), le lien de parenté (</w:t>
      </w:r>
      <w:r>
        <w:rPr>
          <w:rStyle w:val="VerbatimChar"/>
        </w:rPr>
        <w:t xml:space="preserve">s1q3</w:t>
      </w:r>
      <w:r>
        <w:t xml:space="preserve">), le secteur de résidence (</w:t>
      </w:r>
      <w:r>
        <w:rPr>
          <w:rStyle w:val="VerbatimChar"/>
        </w:rPr>
        <w:t xml:space="preserve">sector</w:t>
      </w:r>
      <w:r>
        <w:t xml:space="preserve">) et la zone géographique (</w:t>
      </w:r>
      <w:r>
        <w:rPr>
          <w:rStyle w:val="VerbatimChar"/>
        </w:rPr>
        <w:t xml:space="preserve">zone</w:t>
      </w:r>
      <w:r>
        <w:t xml:space="preserve">). Le poids de sondage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(base</w:t>
      </w:r>
      <w:r>
        <w:t xml:space="preserve"> </w:t>
      </w:r>
      <w:r>
        <w:rPr>
          <w:rStyle w:val="VerbatimChar"/>
        </w:rPr>
        <w:t xml:space="preserve">secta_harvestw4.dta</w:t>
      </w:r>
      <w:r>
        <w:t xml:space="preserve">) a été joint à chaque individu via l’identifiant ménage</w:t>
      </w:r>
      <w:r>
        <w:t xml:space="preserve"> </w:t>
      </w:r>
      <w:r>
        <w:rPr>
          <w:rStyle w:val="VerbatimChar"/>
        </w:rPr>
        <w:t xml:space="preserve">hhid</w:t>
      </w:r>
      <w:r>
        <w:t xml:space="preserve">.</w:t>
      </w:r>
    </w:p>
    <w:p>
      <w:pPr>
        <w:pStyle w:val="BodyText"/>
      </w:pPr>
      <w:r>
        <w:t xml:space="preserve">Un identifiant unique ménage x individu a été construit afin de détecter les doublons. L’inspection révèle</w:t>
      </w:r>
      <w:r>
        <w:t xml:space="preserve"> </w:t>
      </w:r>
      <w:r>
        <w:rPr>
          <w:b/>
          <w:bCs/>
        </w:rPr>
        <w:t xml:space="preserve">0 doublon(s)</w:t>
      </w:r>
      <w:r>
        <w:t xml:space="preserve">, ce qui confirme l’intégrité de la structure individuelle de la base.</w:t>
      </w:r>
    </w:p>
    <w:bookmarkEnd w:id="22"/>
    <w:bookmarkStart w:id="26" w:name="contrôle-des-valeurs-manquant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Contrôle des valeurs manquantes</w:t>
      </w:r>
    </w:p>
    <w:p>
      <w:pPr>
        <w:pStyle w:val="CaptionedFigure"/>
      </w:pPr>
      <w:r>
        <w:drawing>
          <wp:inline>
            <wp:extent cx="4487418" cy="1987285"/>
            <wp:effectExtent b="0" l="0" r="0" t="0"/>
            <wp:docPr descr="Carte des valeurs manquantes sur les variables clés" title="" id="24" name="Picture"/>
            <a:graphic>
              <a:graphicData uri="http://schemas.openxmlformats.org/drawingml/2006/picture">
                <pic:pic>
                  <pic:nvPicPr>
                    <pic:cNvPr descr="../outputs/fig00_vis_mis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18" cy="198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Carte des valeurs manquantes sur les variables clés</w:t>
      </w:r>
    </w:p>
    <w:p>
      <w:pPr>
        <w:pStyle w:val="TableCaption"/>
      </w:pPr>
      <w:r>
        <w:t xml:space="preserve">Valeurs manquantes par variable clé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leurs manquantes par variable clé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Manquants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Âge (s1q4)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Sexe (s1q2)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 de parenté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 géographique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Les valeurs manquantes sont négligeables sur les variables essentielles, ce qui garantit la robustesse des analyses ultérieures.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1" w:name="analyse-univariée-de-lâg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Analyse univariée de l’âge</w:t>
      </w:r>
    </w:p>
    <w:bookmarkStart w:id="28" w:name="statistiques-descriptives-pondéré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Statistiques descriptives pondérées</w:t>
      </w:r>
    </w:p>
    <w:p>
      <w:pPr>
        <w:pStyle w:val="TableCaption"/>
      </w:pPr>
      <w:r>
        <w:t xml:space="preserve">Statistiques descriptives pondérées de l’âge (en années) — estimations population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ques descriptives pondérées de l’âge (en années) — estimations population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Ec.type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</w:tr>
    </w:tbl>
    <w:p>
      <w:pPr>
        <w:pStyle w:val="BodyText"/>
      </w:pPr>
      <w:r>
        <w:t xml:space="preserve">La distribution présente une</w:t>
      </w:r>
      <w:r>
        <w:t xml:space="preserve"> </w:t>
      </w:r>
      <w:r>
        <w:rPr>
          <w:b/>
          <w:bCs/>
        </w:rPr>
        <w:t xml:space="preserve">moyenne pondérée de 23.18 ans</w:t>
      </w:r>
      <w:r>
        <w:t xml:space="preserve"> </w:t>
      </w:r>
      <w:r>
        <w:t xml:space="preserve">et une</w:t>
      </w:r>
      <w:r>
        <w:t xml:space="preserve"> </w:t>
      </w:r>
      <w:r>
        <w:rPr>
          <w:b/>
          <w:bCs/>
        </w:rPr>
        <w:t xml:space="preserve">médiane pondérée de 17 ans</w:t>
      </w:r>
      <w:r>
        <w:t xml:space="preserve">, révélant une légère asymétrie à droite typique des populations à structure jeune. L’écart-type pondéré de 19.31 ans traduit une forte dispersion. Ces chiffres reflètent la population nigériane estimée à</w:t>
      </w:r>
      <w:r>
        <w:t xml:space="preserve"> </w:t>
      </w:r>
      <w:r>
        <w:rPr>
          <w:b/>
          <w:bCs/>
        </w:rPr>
        <w:t xml:space="preserve">166 414 422 personnes</w:t>
      </w:r>
      <w:r>
        <w:t xml:space="preserve">.</w:t>
      </w:r>
    </w:p>
    <w:bookmarkEnd w:id="28"/>
    <w:bookmarkStart w:id="32" w:name="histogramm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Histogramme</w:t>
      </w:r>
    </w:p>
    <w:p>
      <w:pPr>
        <w:pStyle w:val="CaptionedFigure"/>
      </w:pPr>
      <w:r>
        <w:drawing>
          <wp:inline>
            <wp:extent cx="4832604" cy="2657932"/>
            <wp:effectExtent b="0" l="0" r="0" t="0"/>
            <wp:docPr descr="Distribution pondérée de l’âge – histogramme avec moyenne pondérée (ligne pointillée)" title="" id="30" name="Picture"/>
            <a:graphic>
              <a:graphicData uri="http://schemas.openxmlformats.org/drawingml/2006/picture">
                <pic:pic>
                  <pic:nvPicPr>
                    <pic:cNvPr descr="../outputs/fig01_histogramme_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04" cy="265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pondérée de l’âge – histogramme avec moyenne pondérée (ligne pointillée)</w:t>
      </w:r>
    </w:p>
    <w:p>
      <w:pPr>
        <w:pStyle w:val="BodyText"/>
      </w:pPr>
      <w:r>
        <w:t xml:space="preserve">Les effectifs pondérés sont fortement concentrés entre 0 et 20 ans, confirmant la jeunesse de la population nigériane. La ligne pointillée indique la moyenne pondérée.</w:t>
      </w:r>
    </w:p>
    <w:bookmarkEnd w:id="32"/>
    <w:bookmarkStart w:id="36" w:name="boîte-à-moustache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Boîte à moustaches</w:t>
      </w:r>
    </w:p>
    <w:p>
      <w:pPr>
        <w:pStyle w:val="CaptionedFigure"/>
      </w:pPr>
      <w:r>
        <w:drawing>
          <wp:inline>
            <wp:extent cx="2876550" cy="3116262"/>
            <wp:effectExtent b="0" l="0" r="0" t="0"/>
            <wp:docPr descr="Boîte à moustaches de l’âge – médiane pondérée et valeurs extrêmes" title="" id="34" name="Picture"/>
            <a:graphic>
              <a:graphicData uri="http://schemas.openxmlformats.org/drawingml/2006/picture">
                <pic:pic>
                  <pic:nvPicPr>
                    <pic:cNvPr descr="../outputs/fig02_boxplot_a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116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Boîte à moustaches de l’âge – médiane pondérée et valeurs extrêmes</w:t>
      </w:r>
    </w:p>
    <w:p>
      <w:pPr>
        <w:pStyle w:val="BodyText"/>
      </w:pPr>
      <w:r>
        <w:t xml:space="preserve">La boîte à moustaches met en évidence la présence de valeurs extrêmes au-delà de 90 ans, sans remettre en cause la qualité des données.</w:t>
      </w:r>
    </w:p>
    <w:bookmarkEnd w:id="36"/>
    <w:bookmarkStart w:id="40" w:name="test-de-normalité-et-pyramide-des-âge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Test de normalité et pyramide des âges</w:t>
      </w:r>
    </w:p>
    <w:p>
      <w:pPr>
        <w:pStyle w:val="FirstParagraph"/>
      </w:pPr>
      <w:r>
        <w:t xml:space="preserve">Un test de Shapiro-Wilk appliqué sur un échantillon de 5 000 individus (graine fixée à 123) confirme que la distribution est</w:t>
      </w:r>
      <w:r>
        <w:t xml:space="preserve"> </w:t>
      </w:r>
      <w:r>
        <w:rPr>
          <w:b/>
          <w:bCs/>
        </w:rPr>
        <w:t xml:space="preserve">significativement non normale</w:t>
      </w:r>
      <w:r>
        <w:t xml:space="preserve"> </w:t>
      </w:r>
      <w:r>
        <w:t xml:space="preserve">(W = 0,937 ; p &lt; 2,2e-16). Ce résultat justifie le recours aux méthodes non paramétriques pour les comparaisons ultérieures.</w:t>
      </w:r>
    </w:p>
    <w:p>
      <w:pPr>
        <w:pStyle w:val="CaptionedFigure"/>
      </w:pPr>
      <w:r>
        <w:drawing>
          <wp:inline>
            <wp:extent cx="4832604" cy="4564126"/>
            <wp:effectExtent b="0" l="0" r="0" t="0"/>
            <wp:docPr descr="Pyramide des âges pondérée par sexe – groupes d’âge quinquennaux" title="" id="38" name="Picture"/>
            <a:graphic>
              <a:graphicData uri="http://schemas.openxmlformats.org/drawingml/2006/picture">
                <pic:pic>
                  <pic:nvPicPr>
                    <pic:cNvPr descr="../outputs/fig03_pyramide_ag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04" cy="456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Pyramide des âges pondérée par sexe – groupes d’âge quinquennaux</w:t>
      </w:r>
    </w:p>
    <w:p>
      <w:pPr>
        <w:pStyle w:val="BodyText"/>
      </w:pPr>
      <w:r>
        <w:t xml:space="preserve">La pyramide pondérée affiche une</w:t>
      </w:r>
      <w:r>
        <w:t xml:space="preserve"> </w:t>
      </w:r>
      <w:r>
        <w:rPr>
          <w:b/>
          <w:bCs/>
        </w:rPr>
        <w:t xml:space="preserve">base large et un sommet étroit</w:t>
      </w:r>
      <w:r>
        <w:t xml:space="preserve">, structure classique des pays en développement à forte natalité. Les effectifs masculins et féminins sont globalement équilibrés sur l’ensemble des groupes d’âge.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687cf6a38e5edf93c7642fe7bce5371b26bc3e3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Lien de parenté et intervalles de confiance</w:t>
      </w:r>
    </w:p>
    <w:bookmarkStart w:id="45" w:name="fréquences-pondérées-observé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Fréquences pondérées observées</w:t>
      </w:r>
    </w:p>
    <w:p>
      <w:pPr>
        <w:pStyle w:val="CaptionedFigure"/>
      </w:pPr>
      <w:r>
        <w:drawing>
          <wp:inline>
            <wp:extent cx="4832604" cy="2684780"/>
            <wp:effectExtent b="0" l="0" r="0" t="0"/>
            <wp:docPr descr="Fréquence pondérée du lien de parenté avec le chef de ménage" title="" id="43" name="Picture"/>
            <a:graphic>
              <a:graphicData uri="http://schemas.openxmlformats.org/drawingml/2006/picture">
                <pic:pic>
                  <pic:nvPicPr>
                    <pic:cNvPr descr="../outputs/fig04_lien_parent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04" cy="268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Fréquence pondérée du lien de parenté avec le chef de ménage</w:t>
      </w:r>
    </w:p>
    <w:p>
      <w:pPr>
        <w:pStyle w:val="BodyText"/>
      </w:pPr>
      <w:r>
        <w:t xml:space="preserve">Quatre catégories ont été distinguées : chef de ménage, conjoint(e), enfant et autre. Les</w:t>
      </w:r>
      <w:r>
        <w:t xml:space="preserve"> </w:t>
      </w:r>
      <w:r>
        <w:rPr>
          <w:b/>
          <w:bCs/>
        </w:rPr>
        <w:t xml:space="preserve">enfants</w:t>
      </w:r>
      <w:r>
        <w:t xml:space="preserve"> </w:t>
      </w:r>
      <w:r>
        <w:t xml:space="preserve">constituent la catégorie la plus représentée dans la population estimée, cohérent avec la pyramide des âges à base large observée précédemment.</w:t>
      </w:r>
    </w:p>
    <w:bookmarkEnd w:id="45"/>
    <w:bookmarkStart w:id="46" w:name="X31266a88e5596b8ffaa46d58c5eb5299ee973f9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Proportions pondérées avec intervalles de confiance (plan de sondage)</w:t>
      </w:r>
    </w:p>
    <w:p>
      <w:pPr>
        <w:pStyle w:val="TableCaption"/>
      </w:pPr>
      <w:r>
        <w:t xml:space="preserve">Proportions pondérées par catégorie de parenté avec IC 95% (plan de sondage)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portions pondérées par catégorie de parenté avec IC 95% (plan de sondage)"/>
      </w:tblPr>
      <w:tblGrid>
        <w:gridCol w:w="2036"/>
        <w:gridCol w:w="1131"/>
        <w:gridCol w:w="1206"/>
        <w:gridCol w:w="1131"/>
        <w:gridCol w:w="1206"/>
        <w:gridCol w:w="12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 estimé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inf. 95%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sup. 95%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lien_parenteChef de ménage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ménage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26 957 052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lien_parenteConjoint(e)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Conjoint(e)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24 025 955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lien_parenteEnfant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83 504 628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lien_parenteAutre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31 926 787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20.53</w:t>
            </w:r>
          </w:p>
        </w:tc>
      </w:tr>
    </w:tbl>
    <w:p>
      <w:pPr>
        <w:pStyle w:val="BodyText"/>
      </w:pPr>
      <w:r>
        <w:t xml:space="preserve">Les intervalles de confiance sont calculés en tenant compte du plan de sondage (strates et grappes). Les</w:t>
      </w:r>
      <w:r>
        <w:t xml:space="preserve"> </w:t>
      </w:r>
      <w:r>
        <w:rPr>
          <w:b/>
          <w:bCs/>
        </w:rPr>
        <w:t xml:space="preserve">enfants</w:t>
      </w:r>
      <w:r>
        <w:t xml:space="preserve"> </w:t>
      </w:r>
      <w:r>
        <w:t xml:space="preserve">arrivent en tête dans la population estimée, suivis des chefs de ménage, puis des conjoints.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7a9229480cbf55f95fa0c8b03f16db8bf6aef2b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Taille des ménages : comparaison Urbain/Rural</w:t>
      </w:r>
    </w:p>
    <w:bookmarkStart w:id="48" w:name="Xde3bca3c486be54ae6854c640cdf25fed27c89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Statistiques descriptives pondérées par secteur</w:t>
      </w:r>
    </w:p>
    <w:p>
      <w:pPr>
        <w:pStyle w:val="TableCaption"/>
      </w:pPr>
      <w:r>
        <w:t xml:space="preserve">Taille des ménages par secteur de résidence (statistiques pondérées)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ille des ménages par secteur de résidence (statistiques pondérées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Ec.type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</w:tbl>
    <w:p>
      <w:pPr>
        <w:pStyle w:val="BodyText"/>
      </w:pPr>
      <w:r>
        <w:t xml:space="preserve">Les ménages ruraux présentent une taille médiane pondérée supérieure à celle des ménages urbains, reflétant des différences structurelles dans les modes d’organisation familiale au Nigeria.</w:t>
      </w:r>
    </w:p>
    <w:bookmarkEnd w:id="48"/>
    <w:bookmarkStart w:id="52" w:name="test-de-wilcoxon-mann-whitney-pondéré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Test de Wilcoxon-Mann-Whitney pondéré</w:t>
      </w:r>
    </w:p>
    <w:p>
      <w:pPr>
        <w:pStyle w:val="FirstParagraph"/>
      </w:pPr>
      <w:r>
        <w:t xml:space="preserve">La non-normalité des distributions justifie l’emploi du test non paramétrique de Wilcoxon-Mann-Whitney. Les observations ont été répliquées proportionnellement aux poids de sondage pour intégrer la pondération dans le test.</w:t>
      </w:r>
    </w:p>
    <w:p>
      <w:pPr>
        <w:pStyle w:val="CaptionedFigure"/>
      </w:pPr>
      <w:r>
        <w:drawing>
          <wp:inline>
            <wp:extent cx="4947666" cy="3215982"/>
            <wp:effectExtent b="0" l="0" r="0" t="0"/>
            <wp:docPr descr="Taille des ménages par secteur – test de Wilcoxon pondéré annoté" title="" id="50" name="Picture"/>
            <a:graphic>
              <a:graphicData uri="http://schemas.openxmlformats.org/drawingml/2006/picture">
                <pic:pic>
                  <pic:nvPicPr>
                    <pic:cNvPr descr="../outputs/fig05_boxplot_menage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666" cy="321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Taille des ménages par secteur – test de Wilcoxon pondéré annoté</w:t>
      </w:r>
    </w:p>
    <w:p>
      <w:pPr>
        <w:pStyle w:val="TableCaption"/>
      </w:pPr>
      <w:r>
        <w:t xml:space="preserve">Résultats du test de Wilcoxon-Mann-Whitney pondéré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ésultats du test de Wilcoxon-Mann-Whitney pondéré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Statistique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400 899 316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p-valeur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8.3e-313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95% (différence de localisation)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[-1 ; 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Taille d’effet r de rang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Interprétation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Petit</w:t>
            </w:r>
          </w:p>
        </w:tc>
      </w:tr>
    </w:tbl>
    <w:p>
      <w:pPr>
        <w:pStyle w:val="BodyText"/>
      </w:pPr>
      <w:r>
        <w:t xml:space="preserve">La p-valeur est très inférieure à 0,05, conduisant au</w:t>
      </w:r>
      <w:r>
        <w:t xml:space="preserve"> </w:t>
      </w:r>
      <w:r>
        <w:rPr>
          <w:b/>
          <w:bCs/>
        </w:rPr>
        <w:t xml:space="preserve">rejet de l’hypothèse nulle</w:t>
      </w:r>
      <w:r>
        <w:t xml:space="preserve"> </w:t>
      </w:r>
      <w:r>
        <w:t xml:space="preserve">d’égalité des distributions. La taille d’effet r (0.1457) est jugée</w:t>
      </w:r>
      <w:r>
        <w:t xml:space="preserve"> </w:t>
      </w:r>
      <w:r>
        <w:rPr>
          <w:b/>
          <w:bCs/>
        </w:rPr>
        <w:t xml:space="preserve">petit</w:t>
      </w:r>
      <w:r>
        <w:t xml:space="preserve"> </w:t>
      </w:r>
      <w:r>
        <w:t xml:space="preserve">: la différence est hautement significative sur le plan statistique, mais d’ampleur modérée sur le plan pratique.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Conclusion</w:t>
      </w:r>
    </w:p>
    <w:p>
      <w:pPr>
        <w:pStyle w:val="FirstParagraph"/>
      </w:pPr>
      <w:r>
        <w:t xml:space="preserve">Ce travail pratique a permis de déployer une chaîne d’analyse statistique complète et</w:t>
      </w:r>
      <w:r>
        <w:t xml:space="preserve"> </w:t>
      </w:r>
      <w:r>
        <w:rPr>
          <w:b/>
          <w:bCs/>
        </w:rPr>
        <w:t xml:space="preserve">pondérée</w:t>
      </w:r>
      <w:r>
        <w:t xml:space="preserve"> </w:t>
      </w:r>
      <w:r>
        <w:t xml:space="preserve">sur les données du GHSP-Panel Wave 4 du Nigeria. Les poids de sondage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(base</w:t>
      </w:r>
      <w:r>
        <w:t xml:space="preserve"> </w:t>
      </w:r>
      <w:r>
        <w:rPr>
          <w:rStyle w:val="VerbatimChar"/>
        </w:rPr>
        <w:t xml:space="preserve">secta_harvestw4.dta</w:t>
      </w:r>
      <w:r>
        <w:t xml:space="preserve">) ont été systématiquement appliqués, permettant d’extrapoler les résultats à une population estimée de</w:t>
      </w:r>
      <w:r>
        <w:t xml:space="preserve"> </w:t>
      </w:r>
      <w:r>
        <w:rPr>
          <w:b/>
          <w:bCs/>
        </w:rPr>
        <w:t xml:space="preserve">166 414 422 individus</w:t>
      </w:r>
      <w:r>
        <w:t xml:space="preserve">. Les principaux enseignements sont les suivants :</w:t>
      </w:r>
    </w:p>
    <w:p>
      <w:pPr>
        <w:pStyle w:val="Compact"/>
        <w:numPr>
          <w:ilvl w:val="0"/>
          <w:numId w:val="1001"/>
        </w:numPr>
      </w:pPr>
      <w:r>
        <w:t xml:space="preserve">La base présente une</w:t>
      </w:r>
      <w:r>
        <w:t xml:space="preserve"> </w:t>
      </w:r>
      <w:r>
        <w:rPr>
          <w:b/>
          <w:bCs/>
        </w:rPr>
        <w:t xml:space="preserve">qualité satisfaisante</w:t>
      </w:r>
      <w:r>
        <w:t xml:space="preserve"> </w:t>
      </w:r>
      <w:r>
        <w:t xml:space="preserve">: aucun doublon et valeurs manquantes négligeables sur les variables clés.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structure démographique pondérée</w:t>
      </w:r>
      <w:r>
        <w:t xml:space="preserve"> </w:t>
      </w:r>
      <w:r>
        <w:t xml:space="preserve">est jeune, avec une pyramide à base large et une distribution d’âge significativement non normale (Shapiro-Wilk, p &lt; 2,2e-16).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enfants</w:t>
      </w:r>
      <w:r>
        <w:t xml:space="preserve"> </w:t>
      </w:r>
      <w:r>
        <w:t xml:space="preserve">forment la catégorie de parenté dominante dans la population estimée, cohérent avec la forte natalité du contexte nigérian.</w:t>
      </w:r>
    </w:p>
    <w:p>
      <w:pPr>
        <w:pStyle w:val="Compact"/>
        <w:numPr>
          <w:ilvl w:val="0"/>
          <w:numId w:val="1001"/>
        </w:numPr>
      </w:pPr>
      <w:r>
        <w:t xml:space="preserve">Les ménages</w:t>
      </w:r>
      <w:r>
        <w:t xml:space="preserve"> </w:t>
      </w:r>
      <w:r>
        <w:rPr>
          <w:b/>
          <w:bCs/>
        </w:rPr>
        <w:t xml:space="preserve">ruraux</w:t>
      </w:r>
      <w:r>
        <w:t xml:space="preserve"> </w:t>
      </w:r>
      <w:r>
        <w:t xml:space="preserve">sont significativement plus grands que les ménages urbains (Wilcoxon pondéré, p &lt; 2,2e-16), avec un effet de taille jugé petit.</w:t>
      </w:r>
    </w:p>
    <w:p>
      <w:pPr>
        <w:pStyle w:val="FirstParagraph"/>
      </w:pPr>
      <w:r>
        <w:t xml:space="preserve">Ces résultats constituent une base solide pour des études complémentaires portant sur les conditions de vie, les inégalités spatiales ou les revenus agricoles au Nigeria.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 des données : National Bureau of Statistics (NBS) Nigeria — General Household Survey-Panel Wave 4, 2018/2019. Pondérations : variable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wt_wave4</w:t>
      </w:r>
      <w:r>
        <w:rPr>
          <w:i/>
          <w:iCs/>
        </w:rPr>
        <w:t xml:space="preserve">, base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secta_harvestw4.dta</w:t>
      </w:r>
      <w:r>
        <w:rPr>
          <w:i/>
          <w:iCs/>
        </w:rPr>
        <w:t xml:space="preserve">.</w:t>
      </w:r>
    </w:p>
    <w:bookmarkEnd w:id="54"/>
    <w:sectPr>
      <w:headerReference r:id="rId9" w:type="default"/>
      <w:footerReference r:id="rId10" w:type="default"/>
      <w:pgSz w:h="16838" w:orient="portrait" w:w="11906"/>
      <w:pgMar w:bottom="1418" w:footer="708" w:gutter="0" w:header="708" w:left="1418" w:right="1418" w:top="1418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E6E6E" w:sz="4" w:space="4"/>
      </w:pBdr>
      <w:tabs>
        <w:tab w:val="right" w:pos="9026"/>
      </w:tabs>
    </w:pPr>
    <w:r>
      <w:rPr>
        <w:rFonts w:ascii="Calibri" w:cs="Calibri" w:eastAsia="Calibri" w:hAnsi="Calibri"/>
        <w:color w:val="6E6E6E"/>
        <w:sz w:val="18"/>
        <w:szCs w:val="18"/>
      </w:rPr>
      <w:t xml:space="preserve">TP1 — Projet Statistique sous R et Python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E6E6E"/>
        <w:sz w:val="18"/>
        <w:szCs w:val="18"/>
      </w:rPr>
      <w:t xml:space="preserve">Groupe 4 — ISE1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003E74" w:space="4" w:sz="6" w:val="single"/>
      </w:pBdr>
      <w:spacing w:after="120" w:before="280"/>
      <w:outlineLvl w:val="0"/>
    </w:pPr>
    <w:rPr>
      <w:rFonts w:ascii="Calibri" w:cs="Calibri" w:eastAsia="Calibri" w:hAnsi="Calibri"/>
      <w:b/>
      <w:bCs/>
      <w:color w:val="003E74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3E74"/>
      <w:sz w:val="24"/>
      <w:szCs w:val="24"/>
    </w:rPr>
  </w:style>
  <w:style w:styleId="Normal" w:type="paragraph">
    <w:name w:val="Normal"/>
    <w:pPr>
      <w:spacing w:after="100" w:line="276" w:lineRule="auto"/>
    </w:pPr>
    <w:rPr>
      <w:rFonts w:ascii="Calibri" w:cs="Calibri" w:eastAsia="Calibri" w:hAnsi="Calibri"/>
      <w:color w:val="1A1A1A"/>
      <w:sz w:val="22"/>
      <w:szCs w:val="22"/>
    </w:rPr>
  </w:style>
  <w:style w:styleId="Caption" w:type="paragraph">
    <w:name w:val="Caption"/>
    <w:basedOn w:val="Normal"/>
    <w:pPr>
      <w:spacing w:after="60" w:before="60"/>
      <w:jc w:val="center"/>
    </w:pPr>
    <w:rPr>
      <w:rFonts w:ascii="Calibri" w:cs="Calibri" w:eastAsia="Calibri" w:hAnsi="Calibri"/>
      <w:i/>
      <w:iCs/>
      <w:color w:val="6E6E6E"/>
      <w:sz w:val="18"/>
      <w:szCs w:val="18"/>
    </w:rPr>
  </w:style>
  <w:style w:styleId="TableContents" w:type="paragraph">
    <w:name w:val="Table Contents"/>
    <w:basedOn w:val="Normal"/>
    <w:pPr>
      <w:spacing w:after="60"/>
    </w:pPr>
    <w:rPr>
      <w:rFonts w:ascii="Calibri" w:cs="Calibri" w:eastAsia="Calibri" w:hAnsi="Calibri"/>
      <w:sz w:val="20"/>
      <w:szCs w:val="20"/>
    </w:rPr>
  </w:style>
  <w:style w:styleId="TOCHeading" w:type="paragraph">
    <w:name w:val="TOC Heading"/>
    <w:basedOn w:val="Normal"/>
    <w:pPr>
      <w:spacing w:after="120" w:before="0"/>
    </w:pPr>
    <w:rPr>
      <w:rFonts w:ascii="Calibri" w:cs="Calibri" w:eastAsia="Calibri" w:hAnsi="Calibri"/>
      <w:b/>
      <w:bCs/>
      <w:color w:val="003E74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9" Target="media/rId49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2026-03-23T11:47:40Z</dcterms:created>
  <dcterms:modified xsi:type="dcterms:W3CDTF">2026-03-23T11:47:40Z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