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7.png" ContentType="image/png"/>
  <Override PartName="/word/media/rId4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TP2 – Éducation et alphabétisation des membres des ménages</w:t>
      </w:r>
    </w:p>
    <w:p>
      <w:pPr>
        <w:pStyle w:val="Subtitle"/>
      </w:pPr>
      <w:r>
        <w:t xml:space="preserve">Nigeria General Household Survey Panel (W1-W4, 2010-2018)</w:t>
      </w:r>
    </w:p>
    <w:p>
      <w:pPr>
        <w:pStyle w:val="Author"/>
      </w:pPr>
      <w:r>
        <w:t xml:space="preserve">Cheikh Ahmadou Bamba FALL</w:t>
      </w:r>
    </w:p>
    <w:p>
      <w:pPr>
        <w:pStyle w:val="Author"/>
      </w:pPr>
      <w:r>
        <w:t xml:space="preserve">Cheikh Omar TRAORE</w:t>
      </w:r>
    </w:p>
    <w:p>
      <w:pPr>
        <w:pStyle w:val="Date"/>
      </w:pPr>
      <w:r>
        <w:t xml:space="preserve">2026-03-24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Ce rapport présente les résultats du TP2 réalisé dans le cadre du cours de</w:t>
      </w:r>
      <w:r>
        <w:t xml:space="preserve"> </w:t>
      </w:r>
      <w:r>
        <w:t xml:space="preserve">Statistique Descriptive à l’École Nationale de la Statistique et de l’Analyse</w:t>
      </w:r>
      <w:r>
        <w:t xml:space="preserve"> </w:t>
      </w:r>
      <w:r>
        <w:t xml:space="preserve">Économique Pierre Ndiaye (ENSAE). L’objectif est d’analyser les niveaux</w:t>
      </w:r>
      <w:r>
        <w:t xml:space="preserve"> </w:t>
      </w:r>
      <w:r>
        <w:t xml:space="preserve">d’instruction et les taux d’alphabétisation des membres des ménages nigérians</w:t>
      </w:r>
      <w:r>
        <w:t xml:space="preserve"> </w:t>
      </w:r>
      <w:r>
        <w:t xml:space="preserve">à partir des sections éducation du Nigeria General Household Survey (GHS) Panel.</w:t>
      </w:r>
    </w:p>
    <w:p>
      <w:pPr>
        <w:pStyle w:val="BodyText"/>
      </w:pPr>
      <w:r>
        <w:t xml:space="preserve">Les analyses portent principalement sur la</w:t>
      </w:r>
      <w:r>
        <w:t xml:space="preserve"> </w:t>
      </w:r>
      <w:r>
        <w:rPr>
          <w:b/>
          <w:bCs/>
        </w:rPr>
        <w:t xml:space="preserve">vague 4 (2018)</w:t>
      </w:r>
      <w:r>
        <w:t xml:space="preserve"> </w:t>
      </w:r>
      <w:r>
        <w:t xml:space="preserve">et couvrent :</w:t>
      </w:r>
    </w:p>
    <w:p>
      <w:pPr>
        <w:pStyle w:val="Compact"/>
        <w:numPr>
          <w:ilvl w:val="0"/>
          <w:numId w:val="1001"/>
        </w:numPr>
      </w:pPr>
      <w:r>
        <w:t xml:space="preserve">Les niveaux d’éducation atteints par les membres adultes</w:t>
      </w:r>
    </w:p>
    <w:p>
      <w:pPr>
        <w:pStyle w:val="Compact"/>
        <w:numPr>
          <w:ilvl w:val="0"/>
          <w:numId w:val="1001"/>
        </w:numPr>
      </w:pPr>
      <w:r>
        <w:t xml:space="preserve">Les disparités entre hommes et femmes</w:t>
      </w:r>
    </w:p>
    <w:p>
      <w:pPr>
        <w:pStyle w:val="Compact"/>
        <w:numPr>
          <w:ilvl w:val="0"/>
          <w:numId w:val="1001"/>
        </w:numPr>
      </w:pPr>
      <w:r>
        <w:t xml:space="preserve">La relation entre âge et niveau d’éducation</w:t>
      </w:r>
    </w:p>
    <w:p>
      <w:pPr>
        <w:pStyle w:val="Compact"/>
        <w:numPr>
          <w:ilvl w:val="0"/>
          <w:numId w:val="1001"/>
        </w:numPr>
      </w:pPr>
      <w:r>
        <w:t xml:space="preserve">Les taux de scolarisation des enfants selon la zone de résidence</w:t>
      </w:r>
    </w:p>
    <w:p>
      <w:pPr>
        <w:pStyle w:val="Compact"/>
        <w:numPr>
          <w:ilvl w:val="0"/>
          <w:numId w:val="1001"/>
        </w:numPr>
      </w:pPr>
      <w:r>
        <w:t xml:space="preserve">Les disparités géographiques par État</w:t>
      </w:r>
    </w:p>
    <w:p>
      <w:r>
        <w:pict>
          <v:rect style="width:0;height:1.5pt" o:hralign="center" o:hrstd="t" o:hr="t"/>
        </w:pict>
      </w:r>
    </w:p>
    <w:bookmarkEnd w:id="20"/>
    <w:bookmarkStart w:id="24" w:name="données-et-méthodologi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Données et Méthodologie</w:t>
      </w:r>
    </w:p>
    <w:bookmarkStart w:id="21" w:name="source-des-donnée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Source des données</w:t>
      </w:r>
    </w:p>
    <w:p>
      <w:pPr>
        <w:pStyle w:val="FirstParagraph"/>
      </w:pPr>
      <w:r>
        <w:t xml:space="preserve">Les données proviennent du programme</w:t>
      </w:r>
      <w:r>
        <w:t xml:space="preserve"> </w:t>
      </w:r>
      <w:r>
        <w:rPr>
          <w:b/>
          <w:bCs/>
        </w:rPr>
        <w:t xml:space="preserve">LSMS-ISA</w:t>
      </w:r>
      <w:r>
        <w:t xml:space="preserve"> </w:t>
      </w:r>
      <w:r>
        <w:t xml:space="preserve">de la Banque Mondiale.</w:t>
      </w:r>
      <w:r>
        <w:t xml:space="preserve"> </w:t>
      </w:r>
      <w:r>
        <w:t xml:space="preserve">À partir de la vague 3, les modules éducation ont été fusionnés en un seul</w:t>
      </w:r>
      <w:r>
        <w:t xml:space="preserve"> </w:t>
      </w:r>
      <w:r>
        <w:t xml:space="preserve">fichier</w:t>
      </w:r>
      <w:r>
        <w:t xml:space="preserve"> </w:t>
      </w:r>
      <w:r>
        <w:rPr>
          <w:rStyle w:val="VerbatimChar"/>
        </w:rPr>
        <w:t xml:space="preserve">sect2_harvestwX</w:t>
      </w:r>
      <w:r>
        <w:t xml:space="preserve"> </w:t>
      </w:r>
      <w:r>
        <w:t xml:space="preserve">regroupant l’ensemble des individus de 3 ans et plus.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Vague</w:t>
            </w:r>
          </w:p>
        </w:tc>
        <w:tc>
          <w:tcPr/>
          <w:p>
            <w:pPr>
              <w:pStyle w:val="Compact"/>
            </w:pPr>
            <w:r>
              <w:t xml:space="preserve">Fichier éducation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sect2a + sect2b</w:t>
            </w:r>
          </w:p>
        </w:tc>
        <w:tc>
          <w:tcPr/>
          <w:p>
            <w:pPr>
              <w:pStyle w:val="Compact"/>
            </w:pPr>
            <w:r>
              <w:t xml:space="preserve">Deux fichiers séparés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t xml:space="preserve">sect2a + sect2b</w:t>
            </w:r>
          </w:p>
        </w:tc>
        <w:tc>
          <w:tcPr/>
          <w:p>
            <w:pPr>
              <w:pStyle w:val="Compact"/>
            </w:pPr>
            <w:r>
              <w:t xml:space="preserve">Deux fichiers séparés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t xml:space="preserve">sect2_harvestw3</w:t>
            </w:r>
          </w:p>
        </w:tc>
        <w:tc>
          <w:tcPr/>
          <w:p>
            <w:pPr>
              <w:pStyle w:val="Compact"/>
            </w:pPr>
            <w:r>
              <w:t xml:space="preserve">Fichier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t xml:space="preserve">sect2_harvestw4</w:t>
            </w:r>
          </w:p>
        </w:tc>
        <w:tc>
          <w:tcPr/>
          <w:p>
            <w:pPr>
              <w:pStyle w:val="Compact"/>
            </w:pPr>
            <w:r>
              <w:t xml:space="preserve">Fichier unique</w:t>
            </w:r>
          </w:p>
        </w:tc>
      </w:tr>
    </w:tbl>
    <w:bookmarkEnd w:id="21"/>
    <w:bookmarkStart w:id="22" w:name="fichiers-utilisé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Fichiers utilisés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sect2_harvestw4.dta</w:t>
      </w:r>
      <w:r>
        <w:t xml:space="preserve"> </w:t>
      </w:r>
      <w:r>
        <w:t xml:space="preserve">: niveau d’éducation, scolarisation (variable</w:t>
      </w:r>
      <w:r>
        <w:t xml:space="preserve"> </w:t>
      </w:r>
      <w:r>
        <w:rPr>
          <w:rStyle w:val="VerbatimChar"/>
        </w:rPr>
        <w:t xml:space="preserve">s2aq9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sect1_harvestw4.dta</w:t>
      </w:r>
      <w:r>
        <w:t xml:space="preserve"> </w:t>
      </w:r>
      <w:r>
        <w:t xml:space="preserve">: sexe (</w:t>
      </w:r>
      <w:r>
        <w:rPr>
          <w:rStyle w:val="VerbatimChar"/>
        </w:rPr>
        <w:t xml:space="preserve">s1q2</w:t>
      </w:r>
      <w:r>
        <w:t xml:space="preserve">), âge (</w:t>
      </w:r>
      <w:r>
        <w:rPr>
          <w:rStyle w:val="VerbatimChar"/>
        </w:rPr>
        <w:t xml:space="preserve">s1q4</w:t>
      </w:r>
      <w:r>
        <w:t xml:space="preserve">) pour jointure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secta_harvestw4.dta</w:t>
      </w:r>
      <w:r>
        <w:t xml:space="preserve"> </w:t>
      </w:r>
      <w:r>
        <w:t xml:space="preserve">: zone rurale/urbaine, État</w:t>
      </w:r>
    </w:p>
    <w:bookmarkEnd w:id="22"/>
    <w:bookmarkStart w:id="23" w:name="nettoyage-des-donnée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Nettoyage des données</w:t>
      </w:r>
    </w:p>
    <w:p>
      <w:pPr>
        <w:pStyle w:val="SourceCode"/>
      </w:pPr>
      <w:r>
        <w:rPr>
          <w:rStyle w:val="CommentTok"/>
        </w:rPr>
        <w:t xml:space="preserve"># Chargement des données jointes</w:t>
      </w:r>
      <w:r>
        <w:br/>
      </w:r>
      <w:r>
        <w:rPr>
          <w:rStyle w:val="NormalTok"/>
        </w:rPr>
        <w:t xml:space="preserve">df_education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"processed"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"df_education_w4.rds"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secta_w4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charger_dta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"secta_harvest"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La jointure entre</w:t>
      </w:r>
      <w:r>
        <w:t xml:space="preserve"> </w:t>
      </w:r>
      <w:r>
        <w:rPr>
          <w:rStyle w:val="VerbatimChar"/>
        </w:rPr>
        <w:t xml:space="preserve">sect2_harvestw4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sect1_harvestw4</w:t>
      </w:r>
      <w:r>
        <w:t xml:space="preserve"> </w:t>
      </w:r>
      <w:r>
        <w:t xml:space="preserve">a été réalisée sur</w:t>
      </w:r>
      <w:r>
        <w:t xml:space="preserve"> </w:t>
      </w:r>
      <w:r>
        <w:t xml:space="preserve">les clés</w:t>
      </w:r>
      <w:r>
        <w:t xml:space="preserve"> </w:t>
      </w:r>
      <w:r>
        <w:rPr>
          <w:rStyle w:val="VerbatimChar"/>
        </w:rPr>
        <w:t xml:space="preserve">hhid + indiv</w:t>
      </w:r>
      <w:r>
        <w:t xml:space="preserve">. La variable</w:t>
      </w:r>
      <w:r>
        <w:t xml:space="preserve"> </w:t>
      </w:r>
      <w:r>
        <w:rPr>
          <w:rStyle w:val="VerbatimChar"/>
        </w:rPr>
        <w:t xml:space="preserve">niveau_educ</w:t>
      </w:r>
      <w:r>
        <w:t xml:space="preserve"> </w:t>
      </w:r>
      <w:r>
        <w:t xml:space="preserve">a été construite en 5</w:t>
      </w:r>
      <w:r>
        <w:t xml:space="preserve"> </w:t>
      </w:r>
      <w:r>
        <w:t xml:space="preserve">catégories ordonnées à partir de</w:t>
      </w:r>
      <w:r>
        <w:t xml:space="preserve"> </w:t>
      </w:r>
      <w:r>
        <w:rPr>
          <w:rStyle w:val="VerbatimChar"/>
        </w:rPr>
        <w:t xml:space="preserve">s2aq9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5" w:name="résultat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Résultats</w:t>
      </w:r>
    </w:p>
    <w:bookmarkStart w:id="28" w:name="Xe08a85c0aeca2a60cc564a0097ba6614e6ee3b2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Niveau d’éducation : distribution et fréquences (Question 8)</w:t>
      </w:r>
    </w:p>
    <w:p>
      <w:pPr>
        <w:pStyle w:val="TableCaption"/>
      </w:pPr>
      <w:r>
        <w:t xml:space="preserve">Distribution du niveau d’éducation – W4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istribution du niveau d’éducation – W4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Niveau d’éducation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Effectif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Proportion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Primaire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Junior Secondary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Secondary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Tertiaire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</w:t>
            </w:r>
          </w:p>
        </w:tc>
      </w:tr>
    </w:tbl>
    <w:p>
      <w:pPr>
        <w:pStyle w:val="CaptionedFigure"/>
      </w:pPr>
      <w:r>
        <w:drawing>
          <wp:inline>
            <wp:extent cx="5334000" cy="3733799"/>
            <wp:effectExtent b="0" l="0" r="0" t="0"/>
            <wp:docPr descr="Niveau d’éducation des membres – W4" title="" id="26" name="Picture"/>
            <a:graphic>
              <a:graphicData uri="http://schemas.openxmlformats.org/drawingml/2006/picture">
                <pic:pic>
                  <pic:nvPicPr>
                    <pic:cNvPr descr="../output/figures/Q8_barplot_niveau_educ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Niveau d’éducation des membres – W4</w:t>
      </w:r>
    </w:p>
    <w:p>
      <w:pPr>
        <w:pStyle w:val="BodyText"/>
      </w:pPr>
      <w:r>
        <w:t xml:space="preserve">La majorité des membres ont un niveau d’éducation primaire ou aucune instruction,</w:t>
      </w:r>
      <w:r>
        <w:t xml:space="preserve"> </w:t>
      </w:r>
      <w:r>
        <w:t xml:space="preserve">ce qui reflète les défis persistants du système éducatif nigérian.</w:t>
      </w:r>
    </w:p>
    <w:bookmarkEnd w:id="28"/>
    <w:bookmarkStart w:id="32" w:name="niveau-déducation-par-sexe-question-9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Niveau d’éducation par sexe (Question 9)</w:t>
      </w:r>
    </w:p>
    <w:p>
      <w:pPr>
        <w:pStyle w:val="CaptionedFigure"/>
      </w:pPr>
      <w:r>
        <w:drawing>
          <wp:inline>
            <wp:extent cx="5334000" cy="3733799"/>
            <wp:effectExtent b="0" l="0" r="0" t="0"/>
            <wp:docPr descr="Niveau d’éducation par sexe (adultes 18+) – W4" title="" id="30" name="Picture"/>
            <a:graphic>
              <a:graphicData uri="http://schemas.openxmlformats.org/drawingml/2006/picture">
                <pic:pic>
                  <pic:nvPicPr>
                    <pic:cNvPr descr="../output/figures/Q9_barplot_educ_sex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Niveau d’éducation par sexe (adultes 18+) – W4</w:t>
      </w:r>
    </w:p>
    <w:p>
      <w:pPr>
        <w:pStyle w:val="SourceCode"/>
      </w:pPr>
      <w:r>
        <w:rPr>
          <w:rStyle w:val="VerbatimChar"/>
        </w:rPr>
        <w:t xml:space="preserve">## Test du chi-deux</w:t>
      </w:r>
    </w:p>
    <w:p>
      <w:pPr>
        <w:pStyle w:val="SourceCode"/>
      </w:pPr>
      <w:r>
        <w:rPr>
          <w:rStyle w:val="VerbatimChar"/>
        </w:rPr>
        <w:t xml:space="preserve">## Chi2 = 80.741</w:t>
      </w:r>
    </w:p>
    <w:p>
      <w:pPr>
        <w:pStyle w:val="SourceCode"/>
      </w:pPr>
      <w:r>
        <w:rPr>
          <w:rStyle w:val="VerbatimChar"/>
        </w:rPr>
        <w:t xml:space="preserve">## p-valeur = 1.213e-16</w:t>
      </w:r>
    </w:p>
    <w:p>
      <w:pPr>
        <w:pStyle w:val="SourceCode"/>
      </w:pPr>
      <w:r>
        <w:rPr>
          <w:rStyle w:val="VerbatimChar"/>
        </w:rPr>
        <w:t xml:space="preserve">## V de Cramér = 0.088</w:t>
      </w:r>
    </w:p>
    <w:p>
      <w:pPr>
        <w:pStyle w:val="SourceCode"/>
      </w:pPr>
      <w:r>
        <w:rPr>
          <w:rStyle w:val="VerbatimChar"/>
        </w:rPr>
        <w:t xml:space="preserve">## Conclusion : Association significative entre sexe et niveau d'éducation (p &lt; 0.05).</w:t>
      </w:r>
    </w:p>
    <w:bookmarkEnd w:id="32"/>
    <w:bookmarkStart w:id="36" w:name="Xf0d11aa81a2ccd861973d68909e37bbf905195a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Niveau d’éducation par groupe d’âge (Question 10)</w:t>
      </w:r>
    </w:p>
    <w:p>
      <w:pPr>
        <w:pStyle w:val="CaptionedFigure"/>
      </w:pPr>
      <w:r>
        <w:drawing>
          <wp:inline>
            <wp:extent cx="5334000" cy="3733799"/>
            <wp:effectExtent b="0" l="0" r="0" t="0"/>
            <wp:docPr descr="Niveau d’éducation par groupe d’âge – W4" title="" id="34" name="Picture"/>
            <a:graphic>
              <a:graphicData uri="http://schemas.openxmlformats.org/drawingml/2006/picture">
                <pic:pic>
                  <pic:nvPicPr>
                    <pic:cNvPr descr="../output/figures/Q10_boxplot_age_educ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Niveau d’éducation par groupe d’âge – W4</w:t>
      </w:r>
    </w:p>
    <w:p>
      <w:pPr>
        <w:pStyle w:val="SourceCode"/>
      </w:pPr>
      <w:r>
        <w:rPr>
          <w:rStyle w:val="VerbatimChar"/>
        </w:rPr>
        <w:t xml:space="preserve">## Test de Kruskal-Wallis</w:t>
      </w:r>
    </w:p>
    <w:p>
      <w:pPr>
        <w:pStyle w:val="SourceCode"/>
      </w:pPr>
      <w:r>
        <w:rPr>
          <w:rStyle w:val="VerbatimChar"/>
        </w:rPr>
        <w:t xml:space="preserve">## Chi2 = 121.01</w:t>
      </w:r>
    </w:p>
    <w:p>
      <w:pPr>
        <w:pStyle w:val="SourceCode"/>
      </w:pPr>
      <w:r>
        <w:rPr>
          <w:rStyle w:val="VerbatimChar"/>
        </w:rPr>
        <w:t xml:space="preserve">## p-valeur = 4.677e-26</w:t>
      </w:r>
    </w:p>
    <w:p>
      <w:pPr>
        <w:pStyle w:val="SourceCode"/>
      </w:pPr>
      <w:r>
        <w:rPr>
          <w:rStyle w:val="VerbatimChar"/>
        </w:rPr>
        <w:t xml:space="preserve">## Conclusion : Différence significative entre groupes d'âge (p &lt; 0.05).</w:t>
      </w:r>
    </w:p>
    <w:p>
      <w:pPr>
        <w:pStyle w:val="TableCaption"/>
      </w:pPr>
      <w:r>
        <w:t xml:space="preserve">Test post-hoc de Dunn (correction Bonferroni) – W4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st post-hoc de Dunn (correction Bonferroni) – W4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ajustée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31-45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0.0036151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46-60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31-45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46-60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0.0020224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31-45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46-60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</w:tr>
    </w:tbl>
    <w:bookmarkEnd w:id="36"/>
    <w:bookmarkStart w:id="40" w:name="X6fb00630a9ea7e39ab1d788f10c9934951962f4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Taux de scolarisation 6-17 ans par zone (Question 11)</w:t>
      </w:r>
    </w:p>
    <w:p>
      <w:pPr>
        <w:pStyle w:val="CaptionedFigure"/>
      </w:pPr>
      <w:r>
        <w:drawing>
          <wp:inline>
            <wp:extent cx="5334000" cy="3733799"/>
            <wp:effectExtent b="0" l="0" r="0" t="0"/>
            <wp:docPr descr="Taux de scolarisation (6-17 ans) par zone – W4" title="" id="38" name="Picture"/>
            <a:graphic>
              <a:graphicData uri="http://schemas.openxmlformats.org/drawingml/2006/picture">
                <pic:pic>
                  <pic:nvPicPr>
                    <pic:cNvPr descr="../output/figures/Q11_scolarisation_zon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Taux de scolarisation (6-17 ans) par zone – W4</w:t>
      </w:r>
    </w:p>
    <w:p>
      <w:pPr>
        <w:pStyle w:val="SourceCode"/>
      </w:pPr>
      <w:r>
        <w:rPr>
          <w:rStyle w:val="VerbatimChar"/>
        </w:rPr>
        <w:t xml:space="preserve">## Test du chi-deux</w:t>
      </w:r>
    </w:p>
    <w:p>
      <w:pPr>
        <w:pStyle w:val="SourceCode"/>
      </w:pPr>
      <w:r>
        <w:rPr>
          <w:rStyle w:val="VerbatimChar"/>
        </w:rPr>
        <w:t xml:space="preserve">## Chi2 = 10.999</w:t>
      </w:r>
    </w:p>
    <w:p>
      <w:pPr>
        <w:pStyle w:val="SourceCode"/>
      </w:pPr>
      <w:r>
        <w:rPr>
          <w:rStyle w:val="VerbatimChar"/>
        </w:rPr>
        <w:t xml:space="preserve">## p-valeur = 0.0009114</w:t>
      </w:r>
    </w:p>
    <w:p>
      <w:pPr>
        <w:pStyle w:val="SourceCode"/>
      </w:pPr>
      <w:r>
        <w:rPr>
          <w:rStyle w:val="VerbatimChar"/>
        </w:rPr>
        <w:t xml:space="preserve">## Conclusion : Différence significative de scolarisation entre rural et urbain (p &lt; 0.05).</w:t>
      </w:r>
    </w:p>
    <w:bookmarkEnd w:id="40"/>
    <w:bookmarkStart w:id="44" w:name="Xe2846b07900de86d962ce7a7799d61c1b76bbcb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Heatmap des taux d’analphabétisme par État (Question 12)</w:t>
      </w:r>
    </w:p>
    <w:p>
      <w:pPr>
        <w:pStyle w:val="CaptionedFigure"/>
      </w:pPr>
      <w:r>
        <w:drawing>
          <wp:inline>
            <wp:extent cx="5334000" cy="8000999"/>
            <wp:effectExtent b="0" l="0" r="0" t="0"/>
            <wp:docPr descr="Part d’adultes sans instruction par État – W4" title="" id="42" name="Picture"/>
            <a:graphic>
              <a:graphicData uri="http://schemas.openxmlformats.org/drawingml/2006/picture">
                <pic:pic>
                  <pic:nvPicPr>
                    <pic:cNvPr descr="../output/figures/Q12_heatmap_etat_educ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Part d’adultes sans instruction par État – W4</w:t>
      </w:r>
    </w:p>
    <w:p>
      <w:pPr>
        <w:pStyle w:val="TableCaption"/>
      </w:pPr>
      <w:r>
        <w:t xml:space="preserve">Top 10 États avec le plus fort taux d’analphabétisme – W4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p 10 États avec le plus fort taux d’analphabétisme – W4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État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sans instruction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Quintile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6" w:name="conclusion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Conclusion</w:t>
      </w:r>
    </w:p>
    <w:p>
      <w:pPr>
        <w:pStyle w:val="FirstParagraph"/>
      </w:pPr>
      <w:r>
        <w:t xml:space="preserve">Cette analyse des niveaux d’éducation des ménages nigérians révèle 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Niveau d’éducation</w:t>
      </w:r>
      <w:r>
        <w:t xml:space="preserve"> </w:t>
      </w:r>
      <w:r>
        <w:t xml:space="preserve">: Une part importante des adultes n’a aucune instruction</w:t>
      </w:r>
      <w:r>
        <w:t xml:space="preserve"> </w:t>
      </w:r>
      <w:r>
        <w:t xml:space="preserve">ou s’est arrêtée au niveau primaire, ce qui traduit des inégalités persistantes</w:t>
      </w:r>
      <w:r>
        <w:t xml:space="preserve"> </w:t>
      </w:r>
      <w:r>
        <w:t xml:space="preserve">dans l’accès à l’éducation.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Disparités de genre</w:t>
      </w:r>
      <w:r>
        <w:t xml:space="preserve"> </w:t>
      </w:r>
      <w:r>
        <w:t xml:space="preserve">: Le test du chi-deux confirme une association</w:t>
      </w:r>
      <w:r>
        <w:t xml:space="preserve"> </w:t>
      </w:r>
      <w:r>
        <w:t xml:space="preserve">significative entre le sexe et le niveau d’éducation. Les femmes sont</w:t>
      </w:r>
      <w:r>
        <w:t xml:space="preserve"> </w:t>
      </w:r>
      <w:r>
        <w:t xml:space="preserve">surreprésentées dans les catégories</w:t>
      </w:r>
      <w:r>
        <w:t xml:space="preserve"> </w:t>
      </w:r>
      <w:r>
        <w:t xml:space="preserve">“Aucun”</w:t>
      </w:r>
      <w:r>
        <w:t xml:space="preserve"> </w:t>
      </w:r>
      <w:r>
        <w:t xml:space="preserve">et</w:t>
      </w:r>
      <w:r>
        <w:t xml:space="preserve"> </w:t>
      </w:r>
      <w:r>
        <w:t xml:space="preserve">“Primaire”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Effet de l’âge</w:t>
      </w:r>
      <w:r>
        <w:t xml:space="preserve"> </w:t>
      </w:r>
      <w:r>
        <w:t xml:space="preserve">: Le test de Kruskal-Wallis montre des différences</w:t>
      </w:r>
      <w:r>
        <w:t xml:space="preserve"> </w:t>
      </w:r>
      <w:r>
        <w:t xml:space="preserve">significatives entre groupes d’âge. Les jeunes adultes (18-30 ans) ont en</w:t>
      </w:r>
      <w:r>
        <w:t xml:space="preserve"> </w:t>
      </w:r>
      <w:r>
        <w:t xml:space="preserve">moyenne un niveau d’éducation plus élevé que les générations plus anciennes.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Scolarisation</w:t>
      </w:r>
      <w:r>
        <w:t xml:space="preserve"> </w:t>
      </w:r>
      <w:r>
        <w:t xml:space="preserve">: Les enfants urbains sont significativement plus</w:t>
      </w:r>
      <w:r>
        <w:t xml:space="preserve"> </w:t>
      </w:r>
      <w:r>
        <w:t xml:space="preserve">scolarisés que les enfants ruraux, soulignant des inégalités d’accès</w:t>
      </w:r>
      <w:r>
        <w:t xml:space="preserve"> </w:t>
      </w:r>
      <w:r>
        <w:t xml:space="preserve">à l’école selon le milieu de résidence.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Disparités géographiques</w:t>
      </w:r>
      <w:r>
        <w:t xml:space="preserve"> </w:t>
      </w:r>
      <w:r>
        <w:t xml:space="preserve">: La heatmap révèle de fortes disparités</w:t>
      </w:r>
      <w:r>
        <w:t xml:space="preserve"> </w:t>
      </w:r>
      <w:r>
        <w:t xml:space="preserve">entre États, avec certains États du Nord affichant des taux d’analphabétisme</w:t>
      </w:r>
      <w:r>
        <w:t xml:space="preserve"> </w:t>
      </w:r>
      <w:r>
        <w:t xml:space="preserve">particulièrement élevés.</w:t>
      </w:r>
    </w:p>
    <w:p>
      <w:r>
        <w:pict>
          <v:rect style="width:0;height:1.5pt" o:hralign="center" o:hrstd="t" o:hr="t"/>
        </w:pict>
      </w:r>
    </w:p>
    <w:bookmarkEnd w:id="46"/>
    <w:bookmarkStart w:id="48" w:name="référence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Références</w:t>
      </w:r>
    </w:p>
    <w:p>
      <w:pPr>
        <w:pStyle w:val="Compact"/>
        <w:numPr>
          <w:ilvl w:val="0"/>
          <w:numId w:val="1004"/>
        </w:numPr>
      </w:pPr>
      <w:r>
        <w:t xml:space="preserve">World Bank LSMS-ISA.</w:t>
      </w:r>
      <w:r>
        <w:t xml:space="preserve"> </w:t>
      </w:r>
      <w:r>
        <w:rPr>
          <w:i/>
          <w:iCs/>
        </w:rPr>
        <w:t xml:space="preserve">Nigeria General Household Survey Panel 2010-2018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https://microdata.worldbank.org</w:t>
        </w:r>
      </w:hyperlink>
    </w:p>
    <w:p>
      <w:pPr>
        <w:pStyle w:val="Compact"/>
        <w:numPr>
          <w:ilvl w:val="0"/>
          <w:numId w:val="1004"/>
        </w:numPr>
      </w:pPr>
      <w:r>
        <w:t xml:space="preserve">R Core Team (2025).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Wickham H. et al. (2019).</w:t>
      </w:r>
      <w:r>
        <w:t xml:space="preserve"> </w:t>
      </w:r>
      <w:r>
        <w:rPr>
          <w:i/>
          <w:iCs/>
        </w:rPr>
        <w:t xml:space="preserve">Welcome to the tidyverse</w:t>
      </w:r>
      <w:r>
        <w:t xml:space="preserve">. Journal of Open Source Software.</w:t>
      </w:r>
    </w:p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47" Target="https://microdata.worldbank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microdata.worldbank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 – Éducation et alphabétisation des membres des ménages</dc:title>
  <dc:creator>Cheikh Ahmadou Bamba FALL; Cheikh Omar TRAORE</dc:creator>
  <dc:language>fr</dc:language>
  <cp:keywords/>
  <dcterms:created xsi:type="dcterms:W3CDTF">2026-03-24T18:34:42Z</dcterms:created>
  <dcterms:modified xsi:type="dcterms:W3CDTF">2026-03-24T18:34:42Z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2026-03-24</vt:lpwstr>
  </property>
  <property fmtid="{D5CDD505-2E9C-101B-9397-08002B2CF9AE}" pid="3" name="output">
    <vt:lpwstr/>
  </property>
  <property fmtid="{D5CDD505-2E9C-101B-9397-08002B2CF9AE}" pid="4" name="subtitle">
    <vt:lpwstr>Nigeria General Household Survey Panel (W1-W4, 2010-2018)</vt:lpwstr>
  </property>
</Properties>
</file>