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7.png" ContentType="image/png"/>
  <Override PartName="/word/media/rId33.png" ContentType="image/png"/>
  <Override PartName="/word/media/rId38.png" ContentType="image/png"/>
  <Override PartName="/word/media/rId43.png" ContentType="image/png"/>
  <Override PartName="/word/media/rId48.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TP3 — Accès aux Soins de Santé &amp; Chocs Sanitaires</w:t>
      </w:r>
    </w:p>
    <w:p>
      <w:pPr>
        <w:pStyle w:val="Subtitle"/>
      </w:pPr>
      <w:r>
        <w:t xml:space="preserve">Nigeria GHS Panel — Wave 4 (2018)</w:t>
      </w:r>
    </w:p>
    <w:p>
      <w:pPr>
        <w:pStyle w:val="Author"/>
      </w:pPr>
      <w:r>
        <w:t xml:space="preserve">Ahmed Firhoun OUMAROU SOULEYE &amp; Gérald Guerngué ADDJITA</w:t>
      </w:r>
    </w:p>
    <w:p>
      <w:pPr>
        <w:pStyle w:val="Date"/>
      </w:pPr>
      <w:r>
        <w:t xml:space="preserve">24 mars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0" w:name="introduction"/>
    <w:p>
      <w:pPr>
        <w:pStyle w:val="Heading1"/>
      </w:pPr>
      <w:r>
        <w:rPr>
          <w:rStyle w:val="SectionNumber"/>
        </w:rPr>
        <w:t xml:space="preserve">1</w:t>
      </w:r>
      <w:r>
        <w:tab/>
      </w:r>
      <w:r>
        <w:t xml:space="preserve">Introduction</w:t>
      </w:r>
    </w:p>
    <w:p>
      <w:pPr>
        <w:pStyle w:val="FirstParagraph"/>
      </w:pPr>
      <w:r>
        <w:t xml:space="preserve">Ce rapport présente les résultats du</w:t>
      </w:r>
      <w:r>
        <w:t xml:space="preserve"> </w:t>
      </w:r>
      <w:r>
        <w:rPr>
          <w:b/>
          <w:bCs/>
        </w:rPr>
        <w:t xml:space="preserve">TP3</w:t>
      </w:r>
      <w:r>
        <w:t xml:space="preserve"> </w:t>
      </w:r>
      <w:r>
        <w:t xml:space="preserve">portant sur l’accès aux soins de santé et les chocs sanitaires au Nigeria, à partir des données du</w:t>
      </w:r>
      <w:r>
        <w:t xml:space="preserve"> </w:t>
      </w:r>
      <w:r>
        <w:rPr>
          <w:b/>
          <w:bCs/>
        </w:rPr>
        <w:t xml:space="preserve">GHS Panel Wave 4 (2018)</w:t>
      </w:r>
      <w:r>
        <w:t xml:space="preserve"> </w:t>
      </w:r>
      <w:r>
        <w:t xml:space="preserve">(General Household Survey, World Bank LSMS-ISA).</w:t>
      </w:r>
    </w:p>
    <w:p>
      <w:pPr>
        <w:pStyle w:val="BodyText"/>
      </w:pPr>
      <w:r>
        <w:t xml:space="preserve">Les analyses portent sur :</w:t>
      </w:r>
    </w:p>
    <w:p>
      <w:pPr>
        <w:pStyle w:val="Compact"/>
        <w:numPr>
          <w:ilvl w:val="0"/>
          <w:numId w:val="1001"/>
        </w:numPr>
      </w:pPr>
      <w:r>
        <w:t xml:space="preserve">La</w:t>
      </w:r>
      <w:r>
        <w:t xml:space="preserve"> </w:t>
      </w:r>
      <w:r>
        <w:rPr>
          <w:b/>
          <w:bCs/>
        </w:rPr>
        <w:t xml:space="preserve">morbidité</w:t>
      </w:r>
      <w:r>
        <w:t xml:space="preserve"> </w:t>
      </w:r>
      <w:r>
        <w:t xml:space="preserve">déclarée (maladies et blessures sur les 4 dernières semaines)</w:t>
      </w:r>
    </w:p>
    <w:p>
      <w:pPr>
        <w:pStyle w:val="Compact"/>
        <w:numPr>
          <w:ilvl w:val="0"/>
          <w:numId w:val="1001"/>
        </w:numPr>
      </w:pPr>
      <w:r>
        <w:t xml:space="preserve">Les</w:t>
      </w:r>
      <w:r>
        <w:t xml:space="preserve"> </w:t>
      </w:r>
      <w:r>
        <w:rPr>
          <w:b/>
          <w:bCs/>
        </w:rPr>
        <w:t xml:space="preserve">types d’affections</w:t>
      </w:r>
      <w:r>
        <w:t xml:space="preserve"> </w:t>
      </w:r>
      <w:r>
        <w:t xml:space="preserve">les plus fréquentes</w:t>
      </w:r>
    </w:p>
    <w:p>
      <w:pPr>
        <w:pStyle w:val="Compact"/>
        <w:numPr>
          <w:ilvl w:val="0"/>
          <w:numId w:val="1001"/>
        </w:numPr>
      </w:pPr>
      <w:r>
        <w:t xml:space="preserve">Le</w:t>
      </w:r>
      <w:r>
        <w:t xml:space="preserve"> </w:t>
      </w:r>
      <w:r>
        <w:rPr>
          <w:b/>
          <w:bCs/>
        </w:rPr>
        <w:t xml:space="preserve">recours aux soins</w:t>
      </w:r>
      <w:r>
        <w:t xml:space="preserve"> </w:t>
      </w:r>
      <w:r>
        <w:t xml:space="preserve">par type de prestataire</w:t>
      </w:r>
    </w:p>
    <w:p>
      <w:pPr>
        <w:pStyle w:val="Compact"/>
        <w:numPr>
          <w:ilvl w:val="0"/>
          <w:numId w:val="1001"/>
        </w:numPr>
      </w:pPr>
      <w:r>
        <w:t xml:space="preserve">La</w:t>
      </w:r>
      <w:r>
        <w:t xml:space="preserve"> </w:t>
      </w:r>
      <w:r>
        <w:rPr>
          <w:b/>
          <w:bCs/>
        </w:rPr>
        <w:t xml:space="preserve">distribution des dépenses de santé</w:t>
      </w:r>
    </w:p>
    <w:p>
      <w:pPr>
        <w:pStyle w:val="Compact"/>
        <w:numPr>
          <w:ilvl w:val="0"/>
          <w:numId w:val="1001"/>
        </w:numPr>
      </w:pPr>
      <w:r>
        <w:t xml:space="preserve">Le lien entre</w:t>
      </w:r>
      <w:r>
        <w:t xml:space="preserve"> </w:t>
      </w:r>
      <w:r>
        <w:rPr>
          <w:b/>
          <w:bCs/>
        </w:rPr>
        <w:t xml:space="preserve">richesse du ménage</w:t>
      </w:r>
      <w:r>
        <w:t xml:space="preserve"> </w:t>
      </w:r>
      <w:r>
        <w:t xml:space="preserve">et recours aux soins</w:t>
      </w:r>
    </w:p>
    <w:p>
      <w:pPr>
        <w:pStyle w:val="Compact"/>
        <w:numPr>
          <w:ilvl w:val="0"/>
          <w:numId w:val="1001"/>
        </w:numPr>
      </w:pPr>
      <w:r>
        <w:t xml:space="preserve">La comparaison des dépenses selon le</w:t>
      </w:r>
      <w:r>
        <w:t xml:space="preserve"> </w:t>
      </w:r>
      <w:r>
        <w:rPr>
          <w:b/>
          <w:bCs/>
        </w:rPr>
        <w:t xml:space="preserve">milieu de résidence</w:t>
      </w:r>
    </w:p>
    <w:p>
      <w:pPr>
        <w:pStyle w:val="FirstParagraph"/>
      </w:pPr>
      <w:r>
        <w:rPr>
          <w:b/>
          <w:bCs/>
        </w:rPr>
        <w:t xml:space="preserve">Bases de données utilisées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Base</w:t>
            </w:r>
          </w:p>
        </w:tc>
        <w:tc>
          <w:tcPr/>
          <w:p>
            <w:pPr>
              <w:pStyle w:val="Compact"/>
            </w:pPr>
            <w:r>
              <w:t xml:space="preserve">Description</w:t>
            </w:r>
          </w:p>
        </w:tc>
        <w:tc>
          <w:tcPr/>
          <w:p>
            <w:pPr>
              <w:pStyle w:val="Compact"/>
            </w:pPr>
            <w:r>
              <w:t xml:space="preserve">Unité</w:t>
            </w:r>
          </w:p>
        </w:tc>
      </w:tr>
      <w:tr>
        <w:tc>
          <w:tcPr/>
          <w:p>
            <w:pPr>
              <w:pStyle w:val="Compact"/>
            </w:pPr>
            <w:r>
              <w:rPr>
                <w:rStyle w:val="VerbatimChar"/>
              </w:rPr>
              <w:t xml:space="preserve">sect4a_harvestw4.dta</w:t>
            </w:r>
          </w:p>
        </w:tc>
        <w:tc>
          <w:tcPr/>
          <w:p>
            <w:pPr>
              <w:pStyle w:val="Compact"/>
            </w:pPr>
            <w:r>
              <w:t xml:space="preserve">Module santé (variables s4aq*)</w:t>
            </w:r>
          </w:p>
        </w:tc>
        <w:tc>
          <w:tcPr/>
          <w:p>
            <w:pPr>
              <w:pStyle w:val="Compact"/>
            </w:pPr>
            <w:r>
              <w:t xml:space="preserve">Individu</w:t>
            </w:r>
          </w:p>
        </w:tc>
      </w:tr>
      <w:tr>
        <w:tc>
          <w:tcPr/>
          <w:p>
            <w:pPr>
              <w:pStyle w:val="Compact"/>
            </w:pPr>
            <w:r>
              <w:rPr>
                <w:rStyle w:val="VerbatimChar"/>
              </w:rPr>
              <w:t xml:space="preserve">sect1_harvestw4.dta</w:t>
            </w:r>
          </w:p>
        </w:tc>
        <w:tc>
          <w:tcPr/>
          <w:p>
            <w:pPr>
              <w:pStyle w:val="Compact"/>
            </w:pPr>
            <w:r>
              <w:t xml:space="preserve">Démographie (sexe, âge)</w:t>
            </w:r>
          </w:p>
        </w:tc>
        <w:tc>
          <w:tcPr/>
          <w:p>
            <w:pPr>
              <w:pStyle w:val="Compact"/>
            </w:pPr>
            <w:r>
              <w:t xml:space="preserve">Individu</w:t>
            </w:r>
          </w:p>
        </w:tc>
      </w:tr>
      <w:tr>
        <w:tc>
          <w:tcPr/>
          <w:p>
            <w:pPr>
              <w:pStyle w:val="Compact"/>
            </w:pPr>
            <w:r>
              <w:rPr>
                <w:rStyle w:val="VerbatimChar"/>
              </w:rPr>
              <w:t xml:space="preserve">totcons_final.dta</w:t>
            </w:r>
          </w:p>
        </w:tc>
        <w:tc>
          <w:tcPr/>
          <w:p>
            <w:pPr>
              <w:pStyle w:val="Compact"/>
            </w:pPr>
            <w:r>
              <w:t xml:space="preserve">Poids d’enquête &amp; consommation</w:t>
            </w:r>
          </w:p>
        </w:tc>
        <w:tc>
          <w:tcPr/>
          <w:p>
            <w:pPr>
              <w:pStyle w:val="Compact"/>
            </w:pPr>
            <w:r>
              <w:t xml:space="preserve">Ménage</w:t>
            </w:r>
          </w:p>
        </w:tc>
      </w:tr>
    </w:tbl>
    <w:p>
      <w:r>
        <w:pict>
          <v:rect style="width:0;height:1.5pt" o:hralign="center" o:hrstd="t" o:hr="t"/>
        </w:pict>
      </w:r>
    </w:p>
    <w:bookmarkEnd w:id="20"/>
    <w:bookmarkStart w:id="32" w:name="Xa09b478f9e2010c64670558e249483d4e33c403"/>
    <w:p>
      <w:pPr>
        <w:pStyle w:val="Heading1"/>
      </w:pPr>
      <w:r>
        <w:rPr>
          <w:rStyle w:val="SectionNumber"/>
        </w:rPr>
        <w:t xml:space="preserve">2</w:t>
      </w:r>
      <w:r>
        <w:tab/>
      </w:r>
      <w:r>
        <w:t xml:space="preserve">Tâche 13 — Structure des bases &amp; Taux de morbidité</w:t>
      </w:r>
    </w:p>
    <w:bookmarkStart w:id="21" w:name="structure-des-bases"/>
    <w:p>
      <w:pPr>
        <w:pStyle w:val="Heading2"/>
      </w:pPr>
      <w:r>
        <w:rPr>
          <w:rStyle w:val="SectionNumber"/>
        </w:rPr>
        <w:t xml:space="preserve">2.1</w:t>
      </w:r>
      <w:r>
        <w:tab/>
      </w:r>
      <w:r>
        <w:t xml:space="preserve">Structure des bases</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Tableau 1 — Dimensions des bases de données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2AABB7"/>
              <w:top w:val="single" w:sz="12" w:space="0" w:color="2AABB7"/>
              <w:left w:val="single" w:sz="12" w:space="0" w:color="2AABB7"/>
              <w:right w:val="none" w:sz="0" w:space="0" w:color="000000"/>
            </w:tcBorders>
            <w:shd w:val="clear" w:color="auto" w:fill="1C1C2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FFFFFF"/>
              </w:rPr>
              <w:t xml:space="preserve">Base</w:t>
            </w:r>
          </w:p>
        </w:tc>
        <w:tc>
          <w:tcPr>
            <w:tcBorders>
              <w:bottom w:val="single" w:sz="12" w:space="0" w:color="2AABB7"/>
              <w:top w:val="single" w:sz="12" w:space="0" w:color="2AABB7"/>
              <w:left w:val="none" w:sz="0" w:space="0" w:color="000000"/>
              <w:right w:val="none" w:sz="0" w:space="0" w:color="000000"/>
            </w:tcBorders>
            <w:shd w:val="clear" w:color="auto" w:fill="1C1C2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FFFFFF"/>
              </w:rPr>
              <w:t xml:space="preserve">Observations</w:t>
            </w:r>
          </w:p>
        </w:tc>
        <w:tc>
          <w:tcPr>
            <w:tcBorders>
              <w:bottom w:val="single" w:sz="12" w:space="0" w:color="2AABB7"/>
              <w:top w:val="single" w:sz="12" w:space="0" w:color="2AABB7"/>
              <w:left w:val="none" w:sz="0" w:space="0" w:color="000000"/>
              <w:right w:val="single" w:sz="12" w:space="0" w:color="2AABB7"/>
            </w:tcBorders>
            <w:shd w:val="clear" w:color="auto" w:fill="1C1C2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FFFFFF"/>
              </w:rPr>
              <w:t xml:space="preserve">Variables</w:t>
            </w:r>
          </w:p>
        </w:tc>
      </w:tr>
      <w:tr>
        <w:trPr>
          <w:trHeight w:val="360" w:hRule="auto"/>
        </w:trPr>
        <w:tc>
          <w:tcPr>
            <w:tcBorders>
              <w:bottom w:val="single" w:sz="4" w:space="0" w:color="DDDDDD"/>
              <w:top w:val="single" w:sz="12" w:space="0" w:color="2AABB7"/>
              <w:left w:val="single" w:sz="12" w:space="0" w:color="2AABB7"/>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sect4a_harvestw4</w:t>
            </w:r>
          </w:p>
        </w:tc>
        <w:tc>
          <w:tcPr>
            <w:tcBorders>
              <w:bottom w:val="single" w:sz="4" w:space="0" w:color="DDDDDD"/>
              <w:top w:val="single" w:sz="12" w:space="0" w:color="2AABB7"/>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26,556</w:t>
            </w:r>
          </w:p>
        </w:tc>
        <w:tc>
          <w:tcPr>
            <w:tcBorders>
              <w:bottom w:val="single" w:sz="4" w:space="0" w:color="DDDDDD"/>
              <w:top w:val="single" w:sz="12" w:space="0" w:color="2AABB7"/>
              <w:left w:val="none" w:sz="0" w:space="0" w:color="000000"/>
              <w:right w:val="single" w:sz="12" w:space="0" w:color="2AABB7"/>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69</w:t>
            </w:r>
          </w:p>
        </w:tc>
      </w:tr>
      <w:tr>
        <w:trPr>
          <w:trHeight w:val="360" w:hRule="auto"/>
        </w:trPr>
        <w:tc>
          <w:tcPr>
            <w:tcBorders>
              <w:bottom w:val="single" w:sz="4" w:space="0" w:color="DDDDDD"/>
              <w:top w:val="single" w:sz="4" w:space="0" w:color="DDDDDD"/>
              <w:left w:val="single" w:sz="12" w:space="0" w:color="2AABB7"/>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sect1_harvestw4</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30,337</w:t>
            </w:r>
          </w:p>
        </w:tc>
        <w:tc>
          <w:tcPr>
            <w:tcBorders>
              <w:bottom w:val="single" w:sz="4" w:space="0" w:color="DDDDDD"/>
              <w:top w:val="single" w:sz="4" w:space="0" w:color="DDDDDD"/>
              <w:left w:val="none" w:sz="0" w:space="0" w:color="000000"/>
              <w:right w:val="single" w:sz="12" w:space="0" w:color="2AABB7"/>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59</w:t>
            </w:r>
          </w:p>
        </w:tc>
      </w:tr>
      <w:tr>
        <w:trPr>
          <w:trHeight w:val="360" w:hRule="auto"/>
        </w:trPr>
        <w:tc>
          <w:tcPr>
            <w:tcBorders>
              <w:bottom w:val="single" w:sz="4" w:space="0" w:color="DDDDDD"/>
              <w:top w:val="single" w:sz="4" w:space="0" w:color="DDDDDD"/>
              <w:left w:val="single" w:sz="12" w:space="0" w:color="2AABB7"/>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totcons_final</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4,976</w:t>
            </w:r>
          </w:p>
        </w:tc>
        <w:tc>
          <w:tcPr>
            <w:tcBorders>
              <w:bottom w:val="single" w:sz="4" w:space="0" w:color="DDDDDD"/>
              <w:top w:val="single" w:sz="4" w:space="0" w:color="DDDDDD"/>
              <w:left w:val="none" w:sz="0" w:space="0" w:color="000000"/>
              <w:right w:val="single" w:sz="12" w:space="0" w:color="2AABB7"/>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64</w:t>
            </w:r>
          </w:p>
        </w:tc>
      </w:tr>
      <w:tr>
        <w:trPr>
          <w:trHeight w:val="360" w:hRule="auto"/>
        </w:trPr>
        <w:tc>
          <w:tcPr>
            <w:tcBorders>
              <w:bottom w:val="single" w:sz="12" w:space="0" w:color="2AABB7"/>
              <w:top w:val="single" w:sz="4" w:space="0" w:color="DDDDDD"/>
              <w:left w:val="single" w:sz="12" w:space="0" w:color="2AABB7"/>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Après jointure</w:t>
            </w:r>
          </w:p>
        </w:tc>
        <w:tc>
          <w:tcPr>
            <w:tcBorders>
              <w:bottom w:val="single" w:sz="12" w:space="0" w:color="2AABB7"/>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26,556</w:t>
            </w:r>
          </w:p>
        </w:tc>
        <w:tc>
          <w:tcPr>
            <w:tcBorders>
              <w:bottom w:val="single" w:sz="12" w:space="0" w:color="2AABB7"/>
              <w:top w:val="single" w:sz="4" w:space="0" w:color="DDDDDD"/>
              <w:left w:val="none" w:sz="0" w:space="0" w:color="000000"/>
              <w:right w:val="single" w:sz="12" w:space="0" w:color="2AABB7"/>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84</w:t>
            </w:r>
          </w:p>
        </w:tc>
      </w:tr>
    </w:tbl>
    <w:p>
      <w:pPr>
        <w:pStyle w:val="FirstParagraph"/>
      </w:pPr>
      <w:r>
        <w:t xml:space="preserve">L’intégration des différentes bases de données aboutit à un fichier analytique de 26 556 observations et 84 variables à l’échelle individuelle. Cette fusion permet de combiner les informations démographiques, sanitaires et socio-économiques nécessaires à l’analyse du recours aux soins.</w:t>
      </w:r>
    </w:p>
    <w:p>
      <w:pPr>
        <w:pStyle w:val="BodyText"/>
      </w:pPr>
      <w:r>
        <w:t xml:space="preserve">L’examen de la complétude des variables clés révèle une très bonne qualité des données pour les variables démographiques et structurelles. Le sexe, l’âge et le milieu de résidence sont renseignés pour l’ensemble des individus, tandis que la variable de pondération d’enquête et le quintile de richesse présentent un taux de validité supérieur à 99,9 %. Ces résultats indiquent que l’échantillon est exploitable pour produire des estimations représentatives de la population étudiée.</w:t>
      </w:r>
    </w:p>
    <w:p>
      <w:pPr>
        <w:pStyle w:val="BodyText"/>
      </w:pPr>
      <w:r>
        <w:t xml:space="preserve">En revanche, certaines variables liées aux soins de santé présentent une proportion importante de valeurs manquantes, notamment le type de prestataire et le type de maladie. Cette situation s’explique principalement par la structure conditionnelle du questionnaire : ces variables ne sont renseignées que pour les individus ayant déclaré un épisode de maladie ou de blessure. Les valeurs manquantes doivent donc être interprétées comme des observations non applicables plutôt que comme un problème de qualité des données.</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Tableau 2 — Complétude des variables clés après jointure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2AABB7"/>
              <w:top w:val="single" w:sz="12" w:space="0" w:color="2AABB7"/>
              <w:left w:val="single" w:sz="12" w:space="0" w:color="2AABB7"/>
              <w:right w:val="none" w:sz="0" w:space="0" w:color="000000"/>
            </w:tcBorders>
            <w:shd w:val="clear" w:color="auto" w:fill="1C1C2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FFFFFF"/>
              </w:rPr>
              <w:t xml:space="preserve">Variable</w:t>
            </w:r>
          </w:p>
        </w:tc>
        <w:tc>
          <w:tcPr>
            <w:tcBorders>
              <w:bottom w:val="single" w:sz="12" w:space="0" w:color="2AABB7"/>
              <w:top w:val="single" w:sz="12" w:space="0" w:color="2AABB7"/>
              <w:left w:val="none" w:sz="0" w:space="0" w:color="000000"/>
              <w:right w:val="none" w:sz="0" w:space="0" w:color="000000"/>
            </w:tcBorders>
            <w:shd w:val="clear" w:color="auto" w:fill="1C1C2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FFFFFF"/>
              </w:rPr>
              <w:t xml:space="preserve">N valide</w:t>
            </w:r>
          </w:p>
        </w:tc>
        <w:tc>
          <w:tcPr>
            <w:tcBorders>
              <w:bottom w:val="single" w:sz="12" w:space="0" w:color="2AABB7"/>
              <w:top w:val="single" w:sz="12" w:space="0" w:color="2AABB7"/>
              <w:left w:val="none" w:sz="0" w:space="0" w:color="000000"/>
              <w:right w:val="single" w:sz="12" w:space="0" w:color="2AABB7"/>
            </w:tcBorders>
            <w:shd w:val="clear" w:color="auto" w:fill="1C1C2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FFFFFF"/>
              </w:rPr>
              <w:t xml:space="preserve">% valide</w:t>
            </w:r>
          </w:p>
        </w:tc>
      </w:tr>
      <w:tr>
        <w:trPr>
          <w:trHeight w:val="360" w:hRule="auto"/>
        </w:trPr>
        <w:tc>
          <w:tcPr>
            <w:tcBorders>
              <w:bottom w:val="single" w:sz="4" w:space="0" w:color="DDDDDD"/>
              <w:top w:val="single" w:sz="12" w:space="0" w:color="2AABB7"/>
              <w:left w:val="single" w:sz="12" w:space="0" w:color="2AABB7"/>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Sexe valide</w:t>
            </w:r>
          </w:p>
        </w:tc>
        <w:tc>
          <w:tcPr>
            <w:tcBorders>
              <w:bottom w:val="single" w:sz="4" w:space="0" w:color="DDDDDD"/>
              <w:top w:val="single" w:sz="12" w:space="0" w:color="2AABB7"/>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26,556</w:t>
            </w:r>
          </w:p>
        </w:tc>
        <w:tc>
          <w:tcPr>
            <w:tcBorders>
              <w:bottom w:val="single" w:sz="4" w:space="0" w:color="DDDDDD"/>
              <w:top w:val="single" w:sz="12" w:space="0" w:color="2AABB7"/>
              <w:left w:val="none" w:sz="0" w:space="0" w:color="000000"/>
              <w:right w:val="single" w:sz="12" w:space="0" w:color="2AABB7"/>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100.0</w:t>
            </w:r>
          </w:p>
        </w:tc>
      </w:tr>
      <w:tr>
        <w:trPr>
          <w:trHeight w:val="360" w:hRule="auto"/>
        </w:trPr>
        <w:tc>
          <w:tcPr>
            <w:tcBorders>
              <w:bottom w:val="single" w:sz="4" w:space="0" w:color="DDDDDD"/>
              <w:top w:val="single" w:sz="4" w:space="0" w:color="DDDDDD"/>
              <w:left w:val="single" w:sz="12" w:space="0" w:color="2AABB7"/>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Âge valide</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26,556</w:t>
            </w:r>
          </w:p>
        </w:tc>
        <w:tc>
          <w:tcPr>
            <w:tcBorders>
              <w:bottom w:val="single" w:sz="4" w:space="0" w:color="DDDDDD"/>
              <w:top w:val="single" w:sz="4" w:space="0" w:color="DDDDDD"/>
              <w:left w:val="none" w:sz="0" w:space="0" w:color="000000"/>
              <w:right w:val="single" w:sz="12" w:space="0" w:color="2AABB7"/>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100.0</w:t>
            </w:r>
          </w:p>
        </w:tc>
      </w:tr>
      <w:tr>
        <w:trPr>
          <w:trHeight w:val="360" w:hRule="auto"/>
        </w:trPr>
        <w:tc>
          <w:tcPr>
            <w:tcBorders>
              <w:bottom w:val="single" w:sz="4" w:space="0" w:color="DDDDDD"/>
              <w:top w:val="single" w:sz="4" w:space="0" w:color="DDDDDD"/>
              <w:left w:val="single" w:sz="12" w:space="0" w:color="2AABB7"/>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Milieu valide</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26,556</w:t>
            </w:r>
          </w:p>
        </w:tc>
        <w:tc>
          <w:tcPr>
            <w:tcBorders>
              <w:bottom w:val="single" w:sz="4" w:space="0" w:color="DDDDDD"/>
              <w:top w:val="single" w:sz="4" w:space="0" w:color="DDDDDD"/>
              <w:left w:val="none" w:sz="0" w:space="0" w:color="000000"/>
              <w:right w:val="single" w:sz="12" w:space="0" w:color="2AABB7"/>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100.0</w:t>
            </w:r>
          </w:p>
        </w:tc>
      </w:tr>
      <w:tr>
        <w:trPr>
          <w:trHeight w:val="360" w:hRule="auto"/>
        </w:trPr>
        <w:tc>
          <w:tcPr>
            <w:tcBorders>
              <w:bottom w:val="single" w:sz="4" w:space="0" w:color="DDDDDD"/>
              <w:top w:val="single" w:sz="4" w:space="0" w:color="DDDDDD"/>
              <w:left w:val="single" w:sz="12" w:space="0" w:color="2AABB7"/>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Poids (wt_wave4)</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26,533</w:t>
            </w:r>
          </w:p>
        </w:tc>
        <w:tc>
          <w:tcPr>
            <w:tcBorders>
              <w:bottom w:val="single" w:sz="4" w:space="0" w:color="DDDDDD"/>
              <w:top w:val="single" w:sz="4" w:space="0" w:color="DDDDDD"/>
              <w:left w:val="none" w:sz="0" w:space="0" w:color="000000"/>
              <w:right w:val="single" w:sz="12" w:space="0" w:color="2AABB7"/>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99.9</w:t>
            </w:r>
          </w:p>
        </w:tc>
      </w:tr>
      <w:tr>
        <w:trPr>
          <w:trHeight w:val="360" w:hRule="auto"/>
        </w:trPr>
        <w:tc>
          <w:tcPr>
            <w:tcBorders>
              <w:bottom w:val="single" w:sz="12" w:space="0" w:color="2AABB7"/>
              <w:top w:val="single" w:sz="4" w:space="0" w:color="DDDDDD"/>
              <w:left w:val="single" w:sz="12" w:space="0" w:color="2AABB7"/>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Quintile richesse</w:t>
            </w:r>
          </w:p>
        </w:tc>
        <w:tc>
          <w:tcPr>
            <w:tcBorders>
              <w:bottom w:val="single" w:sz="12" w:space="0" w:color="2AABB7"/>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26,533</w:t>
            </w:r>
          </w:p>
        </w:tc>
        <w:tc>
          <w:tcPr>
            <w:tcBorders>
              <w:bottom w:val="single" w:sz="12" w:space="0" w:color="2AABB7"/>
              <w:top w:val="single" w:sz="4" w:space="0" w:color="DDDDDD"/>
              <w:left w:val="none" w:sz="0" w:space="0" w:color="000000"/>
              <w:right w:val="single" w:sz="12" w:space="0" w:color="2AABB7"/>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99.9</w:t>
            </w:r>
          </w:p>
        </w:tc>
      </w:tr>
    </w:tbl>
    <w:bookmarkEnd w:id="21"/>
    <w:bookmarkStart w:id="22" w:name="valeurs-manquantes"/>
    <w:p>
      <w:pPr>
        <w:pStyle w:val="Heading2"/>
      </w:pPr>
      <w:r>
        <w:rPr>
          <w:rStyle w:val="SectionNumber"/>
        </w:rPr>
        <w:t xml:space="preserve">2.2</w:t>
      </w:r>
      <w:r>
        <w:tab/>
      </w:r>
      <w:r>
        <w:t xml:space="preserve">Valeurs manquantes</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Tableau 3 — Valeurs manquantes — Variables clés santé</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2AABB7"/>
              <w:top w:val="single" w:sz="12" w:space="0" w:color="2AABB7"/>
              <w:left w:val="single" w:sz="12" w:space="0" w:color="2AABB7"/>
              <w:right w:val="none" w:sz="0" w:space="0" w:color="000000"/>
            </w:tcBorders>
            <w:shd w:val="clear" w:color="auto" w:fill="1C1C2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FFFFFF"/>
              </w:rPr>
              <w:t xml:space="preserve">Variable</w:t>
            </w:r>
          </w:p>
        </w:tc>
        <w:tc>
          <w:tcPr>
            <w:tcBorders>
              <w:bottom w:val="single" w:sz="12" w:space="0" w:color="2AABB7"/>
              <w:top w:val="single" w:sz="12" w:space="0" w:color="2AABB7"/>
              <w:left w:val="none" w:sz="0" w:space="0" w:color="000000"/>
              <w:right w:val="none" w:sz="0" w:space="0" w:color="000000"/>
            </w:tcBorders>
            <w:shd w:val="clear" w:color="auto" w:fill="1C1C2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FFFFFF"/>
              </w:rPr>
              <w:t xml:space="preserve">N total</w:t>
            </w:r>
          </w:p>
        </w:tc>
        <w:tc>
          <w:tcPr>
            <w:tcBorders>
              <w:bottom w:val="single" w:sz="12" w:space="0" w:color="2AABB7"/>
              <w:top w:val="single" w:sz="12" w:space="0" w:color="2AABB7"/>
              <w:left w:val="none" w:sz="0" w:space="0" w:color="000000"/>
              <w:right w:val="none" w:sz="0" w:space="0" w:color="000000"/>
            </w:tcBorders>
            <w:shd w:val="clear" w:color="auto" w:fill="1C1C2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FFFFFF"/>
              </w:rPr>
              <w:t xml:space="preserve">N valides</w:t>
            </w:r>
          </w:p>
        </w:tc>
        <w:tc>
          <w:tcPr>
            <w:tcBorders>
              <w:bottom w:val="single" w:sz="12" w:space="0" w:color="2AABB7"/>
              <w:top w:val="single" w:sz="12" w:space="0" w:color="2AABB7"/>
              <w:left w:val="none" w:sz="0" w:space="0" w:color="000000"/>
              <w:right w:val="none" w:sz="0" w:space="0" w:color="000000"/>
            </w:tcBorders>
            <w:shd w:val="clear" w:color="auto" w:fill="1C1C2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FFFFFF"/>
              </w:rPr>
              <w:t xml:space="preserve">% valides</w:t>
            </w:r>
          </w:p>
        </w:tc>
        <w:tc>
          <w:tcPr>
            <w:tcBorders>
              <w:bottom w:val="single" w:sz="12" w:space="0" w:color="2AABB7"/>
              <w:top w:val="single" w:sz="12" w:space="0" w:color="2AABB7"/>
              <w:left w:val="none" w:sz="0" w:space="0" w:color="000000"/>
              <w:right w:val="none" w:sz="0" w:space="0" w:color="000000"/>
            </w:tcBorders>
            <w:shd w:val="clear" w:color="auto" w:fill="1C1C2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FFFFFF"/>
              </w:rPr>
              <w:t xml:space="preserve">N manquants</w:t>
            </w:r>
          </w:p>
        </w:tc>
        <w:tc>
          <w:tcPr>
            <w:tcBorders>
              <w:bottom w:val="single" w:sz="12" w:space="0" w:color="2AABB7"/>
              <w:top w:val="single" w:sz="12" w:space="0" w:color="2AABB7"/>
              <w:left w:val="none" w:sz="0" w:space="0" w:color="000000"/>
              <w:right w:val="single" w:sz="12" w:space="0" w:color="2AABB7"/>
            </w:tcBorders>
            <w:shd w:val="clear" w:color="auto" w:fill="1C1C2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FFFFFF"/>
              </w:rPr>
              <w:t xml:space="preserve">% manquants</w:t>
            </w:r>
          </w:p>
        </w:tc>
      </w:tr>
      <w:tr>
        <w:trPr>
          <w:trHeight w:val="360" w:hRule="auto"/>
        </w:trPr>
        <w:tc>
          <w:tcPr>
            <w:tcBorders>
              <w:bottom w:val="single" w:sz="4" w:space="0" w:color="DDDDDD"/>
              <w:top w:val="single" w:sz="12" w:space="0" w:color="2AABB7"/>
              <w:left w:val="single" w:sz="12" w:space="0" w:color="2AABB7"/>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Prestataire</w:t>
            </w:r>
          </w:p>
        </w:tc>
        <w:tc>
          <w:tcPr>
            <w:tcBorders>
              <w:bottom w:val="single" w:sz="4" w:space="0" w:color="DDDDDD"/>
              <w:top w:val="single" w:sz="12" w:space="0" w:color="2AABB7"/>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26,556</w:t>
            </w:r>
          </w:p>
        </w:tc>
        <w:tc>
          <w:tcPr>
            <w:tcBorders>
              <w:bottom w:val="single" w:sz="4" w:space="0" w:color="DDDDDD"/>
              <w:top w:val="single" w:sz="12" w:space="0" w:color="2AABB7"/>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6,450</w:t>
            </w:r>
          </w:p>
        </w:tc>
        <w:tc>
          <w:tcPr>
            <w:tcBorders>
              <w:bottom w:val="single" w:sz="4" w:space="0" w:color="DDDDDD"/>
              <w:top w:val="single" w:sz="12" w:space="0" w:color="2AABB7"/>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24.3</w:t>
            </w:r>
          </w:p>
        </w:tc>
        <w:tc>
          <w:tcPr>
            <w:tcBorders>
              <w:bottom w:val="single" w:sz="4" w:space="0" w:color="DDDDDD"/>
              <w:top w:val="single" w:sz="12" w:space="0" w:color="2AABB7"/>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20,106</w:t>
            </w:r>
          </w:p>
        </w:tc>
        <w:tc>
          <w:tcPr>
            <w:tcBorders>
              <w:bottom w:val="single" w:sz="4" w:space="0" w:color="DDDDDD"/>
              <w:top w:val="single" w:sz="12" w:space="0" w:color="2AABB7"/>
              <w:left w:val="none" w:sz="0" w:space="0" w:color="000000"/>
              <w:right w:val="single" w:sz="12" w:space="0" w:color="2AABB7"/>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75.7</w:t>
            </w:r>
          </w:p>
        </w:tc>
      </w:tr>
      <w:tr>
        <w:trPr>
          <w:trHeight w:val="360" w:hRule="auto"/>
        </w:trPr>
        <w:tc>
          <w:tcPr>
            <w:tcBorders>
              <w:bottom w:val="single" w:sz="4" w:space="0" w:color="DDDDDD"/>
              <w:top w:val="single" w:sz="4" w:space="0" w:color="DDDDDD"/>
              <w:left w:val="single" w:sz="12" w:space="0" w:color="2AABB7"/>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Type_maladie</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26,556</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6,450</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24.3</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20,106</w:t>
            </w:r>
          </w:p>
        </w:tc>
        <w:tc>
          <w:tcPr>
            <w:tcBorders>
              <w:bottom w:val="single" w:sz="4" w:space="0" w:color="DDDDDD"/>
              <w:top w:val="single" w:sz="4" w:space="0" w:color="DDDDDD"/>
              <w:left w:val="none" w:sz="0" w:space="0" w:color="000000"/>
              <w:right w:val="single" w:sz="12" w:space="0" w:color="2AABB7"/>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75.7</w:t>
            </w:r>
          </w:p>
        </w:tc>
      </w:tr>
      <w:tr>
        <w:trPr>
          <w:trHeight w:val="360" w:hRule="auto"/>
        </w:trPr>
        <w:tc>
          <w:tcPr>
            <w:tcBorders>
              <w:bottom w:val="single" w:sz="4" w:space="0" w:color="DDDDDD"/>
              <w:top w:val="single" w:sz="4" w:space="0" w:color="DDDDDD"/>
              <w:left w:val="single" w:sz="12" w:space="0" w:color="2AABB7"/>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Depense_totale</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26,556</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8,348</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31.4</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18,208</w:t>
            </w:r>
          </w:p>
        </w:tc>
        <w:tc>
          <w:tcPr>
            <w:tcBorders>
              <w:bottom w:val="single" w:sz="4" w:space="0" w:color="DDDDDD"/>
              <w:top w:val="single" w:sz="4" w:space="0" w:color="DDDDDD"/>
              <w:left w:val="none" w:sz="0" w:space="0" w:color="000000"/>
              <w:right w:val="single" w:sz="12" w:space="0" w:color="2AABB7"/>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68.6</w:t>
            </w:r>
          </w:p>
        </w:tc>
      </w:tr>
      <w:tr>
        <w:trPr>
          <w:trHeight w:val="360" w:hRule="auto"/>
        </w:trPr>
        <w:tc>
          <w:tcPr>
            <w:tcBorders>
              <w:bottom w:val="single" w:sz="4" w:space="0" w:color="DDDDDD"/>
              <w:top w:val="single" w:sz="4" w:space="0" w:color="DDDDDD"/>
              <w:left w:val="single" w:sz="12" w:space="0" w:color="2AABB7"/>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Malade</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26,556</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22,171</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83.5</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4,385</w:t>
            </w:r>
          </w:p>
        </w:tc>
        <w:tc>
          <w:tcPr>
            <w:tcBorders>
              <w:bottom w:val="single" w:sz="4" w:space="0" w:color="DDDDDD"/>
              <w:top w:val="single" w:sz="4" w:space="0" w:color="DDDDDD"/>
              <w:left w:val="none" w:sz="0" w:space="0" w:color="000000"/>
              <w:right w:val="single" w:sz="12" w:space="0" w:color="2AABB7"/>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16.5</w:t>
            </w:r>
          </w:p>
        </w:tc>
      </w:tr>
      <w:tr>
        <w:trPr>
          <w:trHeight w:val="360" w:hRule="auto"/>
        </w:trPr>
        <w:tc>
          <w:tcPr>
            <w:tcBorders>
              <w:bottom w:val="single" w:sz="4" w:space="0" w:color="DDDDDD"/>
              <w:top w:val="single" w:sz="4" w:space="0" w:color="DDDDDD"/>
              <w:left w:val="single" w:sz="12" w:space="0" w:color="2AABB7"/>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Quintile_richesse</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26,556</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26,533</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99.9</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23</w:t>
            </w:r>
          </w:p>
        </w:tc>
        <w:tc>
          <w:tcPr>
            <w:tcBorders>
              <w:bottom w:val="single" w:sz="4" w:space="0" w:color="DDDDDD"/>
              <w:top w:val="single" w:sz="4" w:space="0" w:color="DDDDDD"/>
              <w:left w:val="none" w:sz="0" w:space="0" w:color="000000"/>
              <w:right w:val="single" w:sz="12" w:space="0" w:color="2AABB7"/>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0.1</w:t>
            </w:r>
          </w:p>
        </w:tc>
      </w:tr>
      <w:tr>
        <w:trPr>
          <w:trHeight w:val="360" w:hRule="auto"/>
        </w:trPr>
        <w:tc>
          <w:tcPr>
            <w:tcBorders>
              <w:bottom w:val="single" w:sz="4" w:space="0" w:color="DDDDDD"/>
              <w:top w:val="single" w:sz="4" w:space="0" w:color="DDDDDD"/>
              <w:left w:val="single" w:sz="12" w:space="0" w:color="2AABB7"/>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Consulte</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26,556</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26,556</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100.0</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4" w:space="0" w:color="DDDDDD"/>
              <w:top w:val="single" w:sz="4" w:space="0" w:color="DDDDDD"/>
              <w:left w:val="none" w:sz="0" w:space="0" w:color="000000"/>
              <w:right w:val="single" w:sz="12" w:space="0" w:color="2AABB7"/>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w:t>
            </w:r>
          </w:p>
        </w:tc>
      </w:tr>
      <w:tr>
        <w:trPr>
          <w:trHeight w:val="360" w:hRule="auto"/>
        </w:trPr>
        <w:tc>
          <w:tcPr>
            <w:tcBorders>
              <w:bottom w:val="single" w:sz="4" w:space="0" w:color="DDDDDD"/>
              <w:top w:val="single" w:sz="4" w:space="0" w:color="DDDDDD"/>
              <w:left w:val="single" w:sz="12" w:space="0" w:color="2AABB7"/>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Hospitalise</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26,556</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26,556</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100.0</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4" w:space="0" w:color="DDDDDD"/>
              <w:top w:val="single" w:sz="4" w:space="0" w:color="DDDDDD"/>
              <w:left w:val="none" w:sz="0" w:space="0" w:color="000000"/>
              <w:right w:val="single" w:sz="12" w:space="0" w:color="2AABB7"/>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w:t>
            </w:r>
          </w:p>
        </w:tc>
      </w:tr>
      <w:tr>
        <w:trPr>
          <w:trHeight w:val="360" w:hRule="auto"/>
        </w:trPr>
        <w:tc>
          <w:tcPr>
            <w:tcBorders>
              <w:bottom w:val="single" w:sz="4" w:space="0" w:color="DDDDDD"/>
              <w:top w:val="single" w:sz="4" w:space="0" w:color="DDDDDD"/>
              <w:left w:val="single" w:sz="12" w:space="0" w:color="2AABB7"/>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Sexe_label</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26,556</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26,556</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100.0</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4" w:space="0" w:color="DDDDDD"/>
              <w:top w:val="single" w:sz="4" w:space="0" w:color="DDDDDD"/>
              <w:left w:val="none" w:sz="0" w:space="0" w:color="000000"/>
              <w:right w:val="single" w:sz="12" w:space="0" w:color="2AABB7"/>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w:t>
            </w:r>
          </w:p>
        </w:tc>
      </w:tr>
      <w:tr>
        <w:trPr>
          <w:trHeight w:val="360" w:hRule="auto"/>
        </w:trPr>
        <w:tc>
          <w:tcPr>
            <w:tcBorders>
              <w:bottom w:val="single" w:sz="4" w:space="0" w:color="DDDDDD"/>
              <w:top w:val="single" w:sz="4" w:space="0" w:color="DDDDDD"/>
              <w:left w:val="single" w:sz="12" w:space="0" w:color="2AABB7"/>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Milieu_label</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26,556</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26,556</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100.0</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4" w:space="0" w:color="DDDDDD"/>
              <w:top w:val="single" w:sz="4" w:space="0" w:color="DDDDDD"/>
              <w:left w:val="none" w:sz="0" w:space="0" w:color="000000"/>
              <w:right w:val="single" w:sz="12" w:space="0" w:color="2AABB7"/>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w:t>
            </w:r>
          </w:p>
        </w:tc>
      </w:tr>
      <w:tr>
        <w:trPr>
          <w:trHeight w:val="360" w:hRule="auto"/>
        </w:trPr>
        <w:tc>
          <w:tcPr>
            <w:tcBorders>
              <w:bottom w:val="single" w:sz="12" w:space="0" w:color="2AABB7"/>
              <w:top w:val="single" w:sz="4" w:space="0" w:color="DDDDDD"/>
              <w:left w:val="single" w:sz="12" w:space="0" w:color="2AABB7"/>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Groupe_age</w:t>
            </w:r>
          </w:p>
        </w:tc>
        <w:tc>
          <w:tcPr>
            <w:tcBorders>
              <w:bottom w:val="single" w:sz="12" w:space="0" w:color="2AABB7"/>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26,556</w:t>
            </w:r>
          </w:p>
        </w:tc>
        <w:tc>
          <w:tcPr>
            <w:tcBorders>
              <w:bottom w:val="single" w:sz="12" w:space="0" w:color="2AABB7"/>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26,556</w:t>
            </w:r>
          </w:p>
        </w:tc>
        <w:tc>
          <w:tcPr>
            <w:tcBorders>
              <w:bottom w:val="single" w:sz="12" w:space="0" w:color="2AABB7"/>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100.0</w:t>
            </w:r>
          </w:p>
        </w:tc>
        <w:tc>
          <w:tcPr>
            <w:tcBorders>
              <w:bottom w:val="single" w:sz="12" w:space="0" w:color="2AABB7"/>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12" w:space="0" w:color="2AABB7"/>
              <w:top w:val="single" w:sz="4" w:space="0" w:color="DDDDDD"/>
              <w:left w:val="none" w:sz="0" w:space="0" w:color="000000"/>
              <w:right w:val="single" w:sz="12" w:space="0" w:color="2AABB7"/>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w:t>
            </w:r>
          </w:p>
        </w:tc>
      </w:tr>
    </w:tbl>
    <w:bookmarkEnd w:id="22"/>
    <w:bookmarkStart w:id="26" w:name="carte-des-valeurs-manquantes"/>
    <w:p>
      <w:pPr>
        <w:pStyle w:val="Heading2"/>
      </w:pPr>
      <w:r>
        <w:rPr>
          <w:rStyle w:val="SectionNumber"/>
        </w:rPr>
        <w:t xml:space="preserve">2.3</w:t>
      </w:r>
      <w:r>
        <w:tab/>
      </w:r>
      <w:r>
        <w:t xml:space="preserve">Carte des valeurs manquantes</w:t>
      </w:r>
    </w:p>
    <w:p>
      <w:pPr>
        <w:pStyle w:val="CaptionedFigure"/>
      </w:pPr>
      <w:r>
        <w:drawing>
          <wp:inline>
            <wp:extent cx="5334000" cy="2667000"/>
            <wp:effectExtent b="0" l="0" r="0" t="0"/>
            <wp:docPr descr="Carte des valeurs manquantes — Variables clés santé" title="" id="24" name="Picture"/>
            <a:graphic>
              <a:graphicData uri="http://schemas.openxmlformats.org/drawingml/2006/picture">
                <pic:pic>
                  <pic:nvPicPr>
                    <pic:cNvPr descr="TP3_Sante_Rapport_files/figure-docx/t13-carte-1.png" id="25" name="Picture"/>
                    <pic:cNvPicPr>
                      <a:picLocks noChangeArrowheads="1" noChangeAspect="1"/>
                    </pic:cNvPicPr>
                  </pic:nvPicPr>
                  <pic:blipFill>
                    <a:blip r:embed="rId23"/>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Carte des valeurs manquantes — Variables clés santé</w:t>
      </w:r>
    </w:p>
    <w:bookmarkEnd w:id="26"/>
    <w:bookmarkStart w:id="31" w:name="taux-de-morbidité"/>
    <w:p>
      <w:pPr>
        <w:pStyle w:val="Heading2"/>
      </w:pPr>
      <w:r>
        <w:rPr>
          <w:rStyle w:val="SectionNumber"/>
        </w:rPr>
        <w:t xml:space="preserve">2.4</w:t>
      </w:r>
      <w:r>
        <w:tab/>
      </w:r>
      <w:r>
        <w:t xml:space="preserve">Taux de morbidité</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Tableau 4 — Taux de morbidité par sexe et groupe d'âge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2AABB7"/>
              <w:top w:val="single" w:sz="12" w:space="0" w:color="2AABB7"/>
              <w:left w:val="single" w:sz="12" w:space="0" w:color="2AABB7"/>
              <w:right w:val="none" w:sz="0" w:space="0" w:color="000000"/>
            </w:tcBorders>
            <w:shd w:val="clear" w:color="auto" w:fill="1C1C2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FFFFFF"/>
              </w:rPr>
              <w:t xml:space="preserve">Sexe</w:t>
            </w:r>
          </w:p>
        </w:tc>
        <w:tc>
          <w:tcPr>
            <w:tcBorders>
              <w:bottom w:val="single" w:sz="12" w:space="0" w:color="2AABB7"/>
              <w:top w:val="single" w:sz="12" w:space="0" w:color="2AABB7"/>
              <w:left w:val="none" w:sz="0" w:space="0" w:color="000000"/>
              <w:right w:val="none" w:sz="0" w:space="0" w:color="000000"/>
            </w:tcBorders>
            <w:shd w:val="clear" w:color="auto" w:fill="1C1C2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FFFFFF"/>
              </w:rPr>
              <w:t xml:space="preserve">Groupe d'âge</w:t>
            </w:r>
          </w:p>
        </w:tc>
        <w:tc>
          <w:tcPr>
            <w:tcBorders>
              <w:bottom w:val="single" w:sz="12" w:space="0" w:color="2AABB7"/>
              <w:top w:val="single" w:sz="12" w:space="0" w:color="2AABB7"/>
              <w:left w:val="none" w:sz="0" w:space="0" w:color="000000"/>
              <w:right w:val="none" w:sz="0" w:space="0" w:color="000000"/>
            </w:tcBorders>
            <w:shd w:val="clear" w:color="auto" w:fill="1C1C2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FFFFFF"/>
              </w:rPr>
              <w:t xml:space="preserve">N</w:t>
            </w:r>
          </w:p>
        </w:tc>
        <w:tc>
          <w:tcPr>
            <w:tcBorders>
              <w:bottom w:val="single" w:sz="12" w:space="0" w:color="2AABB7"/>
              <w:top w:val="single" w:sz="12" w:space="0" w:color="2AABB7"/>
              <w:left w:val="none" w:sz="0" w:space="0" w:color="000000"/>
              <w:right w:val="none" w:sz="0" w:space="0" w:color="000000"/>
            </w:tcBorders>
            <w:shd w:val="clear" w:color="auto" w:fill="1C1C2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FFFFFF"/>
              </w:rPr>
              <w:t xml:space="preserve">N malades</w:t>
            </w:r>
          </w:p>
        </w:tc>
        <w:tc>
          <w:tcPr>
            <w:tcBorders>
              <w:bottom w:val="single" w:sz="12" w:space="0" w:color="2AABB7"/>
              <w:top w:val="single" w:sz="12" w:space="0" w:color="2AABB7"/>
              <w:left w:val="none" w:sz="0" w:space="0" w:color="000000"/>
              <w:right w:val="none" w:sz="0" w:space="0" w:color="000000"/>
            </w:tcBorders>
            <w:shd w:val="clear" w:color="auto" w:fill="1C1C2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FFFFFF"/>
              </w:rPr>
              <w:t xml:space="preserve">Taux (%)</w:t>
            </w:r>
          </w:p>
        </w:tc>
        <w:tc>
          <w:tcPr>
            <w:tcBorders>
              <w:bottom w:val="single" w:sz="12" w:space="0" w:color="2AABB7"/>
              <w:top w:val="single" w:sz="12" w:space="0" w:color="2AABB7"/>
              <w:left w:val="none" w:sz="0" w:space="0" w:color="000000"/>
              <w:right w:val="none" w:sz="0" w:space="0" w:color="000000"/>
            </w:tcBorders>
            <w:shd w:val="clear" w:color="auto" w:fill="1C1C2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FFFFFF"/>
              </w:rPr>
              <w:t xml:space="preserve">IC inf. 95%</w:t>
            </w:r>
          </w:p>
        </w:tc>
        <w:tc>
          <w:tcPr>
            <w:tcBorders>
              <w:bottom w:val="single" w:sz="12" w:space="0" w:color="2AABB7"/>
              <w:top w:val="single" w:sz="12" w:space="0" w:color="2AABB7"/>
              <w:left w:val="none" w:sz="0" w:space="0" w:color="000000"/>
              <w:right w:val="single" w:sz="12" w:space="0" w:color="2AABB7"/>
            </w:tcBorders>
            <w:shd w:val="clear" w:color="auto" w:fill="1C1C2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FFFFFF"/>
              </w:rPr>
              <w:t xml:space="preserve">IC sup. 95%</w:t>
            </w:r>
          </w:p>
        </w:tc>
      </w:tr>
      <w:tr>
        <w:trPr>
          <w:trHeight w:val="360" w:hRule="auto"/>
        </w:trPr>
        <w:tc>
          <w:tcPr>
            <w:tcBorders>
              <w:bottom w:val="single" w:sz="4" w:space="0" w:color="DDDDDD"/>
              <w:top w:val="single" w:sz="12" w:space="0" w:color="2AABB7"/>
              <w:left w:val="single" w:sz="12" w:space="0" w:color="2AABB7"/>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Homme</w:t>
            </w:r>
          </w:p>
        </w:tc>
        <w:tc>
          <w:tcPr>
            <w:tcBorders>
              <w:bottom w:val="single" w:sz="4" w:space="0" w:color="DDDDDD"/>
              <w:top w:val="single" w:sz="12" w:space="0" w:color="2AABB7"/>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0-4 ans</w:t>
            </w:r>
          </w:p>
        </w:tc>
        <w:tc>
          <w:tcPr>
            <w:tcBorders>
              <w:bottom w:val="single" w:sz="4" w:space="0" w:color="DDDDDD"/>
              <w:top w:val="single" w:sz="12" w:space="0" w:color="2AABB7"/>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1,267</w:t>
            </w:r>
          </w:p>
        </w:tc>
        <w:tc>
          <w:tcPr>
            <w:tcBorders>
              <w:bottom w:val="single" w:sz="4" w:space="0" w:color="DDDDDD"/>
              <w:top w:val="single" w:sz="12" w:space="0" w:color="2AABB7"/>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154</w:t>
            </w:r>
          </w:p>
        </w:tc>
        <w:tc>
          <w:tcPr>
            <w:tcBorders>
              <w:bottom w:val="single" w:sz="4" w:space="0" w:color="DDDDDD"/>
              <w:top w:val="single" w:sz="12" w:space="0" w:color="2AABB7"/>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12.2 %</w:t>
            </w:r>
          </w:p>
        </w:tc>
        <w:tc>
          <w:tcPr>
            <w:tcBorders>
              <w:bottom w:val="single" w:sz="4" w:space="0" w:color="DDDDDD"/>
              <w:top w:val="single" w:sz="12" w:space="0" w:color="2AABB7"/>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10.4 %</w:t>
            </w:r>
          </w:p>
        </w:tc>
        <w:tc>
          <w:tcPr>
            <w:tcBorders>
              <w:bottom w:val="single" w:sz="4" w:space="0" w:color="DDDDDD"/>
              <w:top w:val="single" w:sz="12" w:space="0" w:color="2AABB7"/>
              <w:left w:val="none" w:sz="0" w:space="0" w:color="000000"/>
              <w:right w:val="single" w:sz="12" w:space="0" w:color="2AABB7"/>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14.1 %</w:t>
            </w:r>
          </w:p>
        </w:tc>
      </w:tr>
      <w:tr>
        <w:trPr>
          <w:trHeight w:val="360" w:hRule="auto"/>
        </w:trPr>
        <w:tc>
          <w:tcPr>
            <w:tcBorders>
              <w:bottom w:val="single" w:sz="4" w:space="0" w:color="DDDDDD"/>
              <w:top w:val="single" w:sz="4" w:space="0" w:color="DDDDDD"/>
              <w:left w:val="single" w:sz="12" w:space="0" w:color="2AABB7"/>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Homme</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5-14 ans</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3,691</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204</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5.5 %</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4.8 %</w:t>
            </w:r>
          </w:p>
        </w:tc>
        <w:tc>
          <w:tcPr>
            <w:tcBorders>
              <w:bottom w:val="single" w:sz="4" w:space="0" w:color="DDDDDD"/>
              <w:top w:val="single" w:sz="4" w:space="0" w:color="DDDDDD"/>
              <w:left w:val="none" w:sz="0" w:space="0" w:color="000000"/>
              <w:right w:val="single" w:sz="12" w:space="0" w:color="2AABB7"/>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6.3 %</w:t>
            </w:r>
          </w:p>
        </w:tc>
      </w:tr>
      <w:tr>
        <w:trPr>
          <w:trHeight w:val="360" w:hRule="auto"/>
        </w:trPr>
        <w:tc>
          <w:tcPr>
            <w:tcBorders>
              <w:bottom w:val="single" w:sz="4" w:space="0" w:color="DDDDDD"/>
              <w:top w:val="single" w:sz="4" w:space="0" w:color="DDDDDD"/>
              <w:left w:val="single" w:sz="12" w:space="0" w:color="2AABB7"/>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Homme</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15-29 ans</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2,984</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190</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6.4 %</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5.5 %</w:t>
            </w:r>
          </w:p>
        </w:tc>
        <w:tc>
          <w:tcPr>
            <w:tcBorders>
              <w:bottom w:val="single" w:sz="4" w:space="0" w:color="DDDDDD"/>
              <w:top w:val="single" w:sz="4" w:space="0" w:color="DDDDDD"/>
              <w:left w:val="none" w:sz="0" w:space="0" w:color="000000"/>
              <w:right w:val="single" w:sz="12" w:space="0" w:color="2AABB7"/>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7.3 %</w:t>
            </w:r>
          </w:p>
        </w:tc>
      </w:tr>
      <w:tr>
        <w:trPr>
          <w:trHeight w:val="360" w:hRule="auto"/>
        </w:trPr>
        <w:tc>
          <w:tcPr>
            <w:tcBorders>
              <w:bottom w:val="single" w:sz="4" w:space="0" w:color="DDDDDD"/>
              <w:top w:val="single" w:sz="4" w:space="0" w:color="DDDDDD"/>
              <w:left w:val="single" w:sz="12" w:space="0" w:color="2AABB7"/>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Homme</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30-44 ans</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1,488</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128</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8.6 %</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7.2 %</w:t>
            </w:r>
          </w:p>
        </w:tc>
        <w:tc>
          <w:tcPr>
            <w:tcBorders>
              <w:bottom w:val="single" w:sz="4" w:space="0" w:color="DDDDDD"/>
              <w:top w:val="single" w:sz="4" w:space="0" w:color="DDDDDD"/>
              <w:left w:val="none" w:sz="0" w:space="0" w:color="000000"/>
              <w:right w:val="single" w:sz="12" w:space="0" w:color="2AABB7"/>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10.1 %</w:t>
            </w:r>
          </w:p>
        </w:tc>
      </w:tr>
      <w:tr>
        <w:trPr>
          <w:trHeight w:val="360" w:hRule="auto"/>
        </w:trPr>
        <w:tc>
          <w:tcPr>
            <w:tcBorders>
              <w:bottom w:val="single" w:sz="4" w:space="0" w:color="DDDDDD"/>
              <w:top w:val="single" w:sz="4" w:space="0" w:color="DDDDDD"/>
              <w:left w:val="single" w:sz="12" w:space="0" w:color="2AABB7"/>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Homme</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45-59 ans</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1,051</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119</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11.3 %</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9.5 %</w:t>
            </w:r>
          </w:p>
        </w:tc>
        <w:tc>
          <w:tcPr>
            <w:tcBorders>
              <w:bottom w:val="single" w:sz="4" w:space="0" w:color="DDDDDD"/>
              <w:top w:val="single" w:sz="4" w:space="0" w:color="DDDDDD"/>
              <w:left w:val="none" w:sz="0" w:space="0" w:color="000000"/>
              <w:right w:val="single" w:sz="12" w:space="0" w:color="2AABB7"/>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13.4 %</w:t>
            </w:r>
          </w:p>
        </w:tc>
      </w:tr>
      <w:tr>
        <w:trPr>
          <w:trHeight w:val="360" w:hRule="auto"/>
        </w:trPr>
        <w:tc>
          <w:tcPr>
            <w:tcBorders>
              <w:bottom w:val="single" w:sz="4" w:space="0" w:color="DDDDDD"/>
              <w:top w:val="single" w:sz="4" w:space="0" w:color="DDDDDD"/>
              <w:left w:val="single" w:sz="12" w:space="0" w:color="2AABB7"/>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Homme</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60+ ans</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653</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135</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20.7 %</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17.6 %</w:t>
            </w:r>
          </w:p>
        </w:tc>
        <w:tc>
          <w:tcPr>
            <w:tcBorders>
              <w:bottom w:val="single" w:sz="4" w:space="0" w:color="DDDDDD"/>
              <w:top w:val="single" w:sz="4" w:space="0" w:color="DDDDDD"/>
              <w:left w:val="none" w:sz="0" w:space="0" w:color="000000"/>
              <w:right w:val="single" w:sz="12" w:space="0" w:color="2AABB7"/>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24 %</w:t>
            </w:r>
          </w:p>
        </w:tc>
      </w:tr>
      <w:tr>
        <w:trPr>
          <w:trHeight w:val="360" w:hRule="auto"/>
        </w:trPr>
        <w:tc>
          <w:tcPr>
            <w:tcBorders>
              <w:bottom w:val="single" w:sz="4" w:space="0" w:color="DDDDDD"/>
              <w:top w:val="single" w:sz="4" w:space="0" w:color="DDDDDD"/>
              <w:left w:val="single" w:sz="12" w:space="0" w:color="2AABB7"/>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Femme</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0-4 ans</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1,294</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141</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10.9 %</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9.3 %</w:t>
            </w:r>
          </w:p>
        </w:tc>
        <w:tc>
          <w:tcPr>
            <w:tcBorders>
              <w:bottom w:val="single" w:sz="4" w:space="0" w:color="DDDDDD"/>
              <w:top w:val="single" w:sz="4" w:space="0" w:color="DDDDDD"/>
              <w:left w:val="none" w:sz="0" w:space="0" w:color="000000"/>
              <w:right w:val="single" w:sz="12" w:space="0" w:color="2AABB7"/>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12.7 %</w:t>
            </w:r>
          </w:p>
        </w:tc>
      </w:tr>
      <w:tr>
        <w:trPr>
          <w:trHeight w:val="360" w:hRule="auto"/>
        </w:trPr>
        <w:tc>
          <w:tcPr>
            <w:tcBorders>
              <w:bottom w:val="single" w:sz="4" w:space="0" w:color="DDDDDD"/>
              <w:top w:val="single" w:sz="4" w:space="0" w:color="DDDDDD"/>
              <w:left w:val="single" w:sz="12" w:space="0" w:color="2AABB7"/>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Femme</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5-14 ans</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3,428</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232</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6.8 %</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5.9 %</w:t>
            </w:r>
          </w:p>
        </w:tc>
        <w:tc>
          <w:tcPr>
            <w:tcBorders>
              <w:bottom w:val="single" w:sz="4" w:space="0" w:color="DDDDDD"/>
              <w:top w:val="single" w:sz="4" w:space="0" w:color="DDDDDD"/>
              <w:left w:val="none" w:sz="0" w:space="0" w:color="000000"/>
              <w:right w:val="single" w:sz="12" w:space="0" w:color="2AABB7"/>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7.7 %</w:t>
            </w:r>
          </w:p>
        </w:tc>
      </w:tr>
      <w:tr>
        <w:trPr>
          <w:trHeight w:val="360" w:hRule="auto"/>
        </w:trPr>
        <w:tc>
          <w:tcPr>
            <w:tcBorders>
              <w:bottom w:val="single" w:sz="4" w:space="0" w:color="DDDDDD"/>
              <w:top w:val="single" w:sz="4" w:space="0" w:color="DDDDDD"/>
              <w:left w:val="single" w:sz="12" w:space="0" w:color="2AABB7"/>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Femme</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15-29 ans</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2,732</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225</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8.2 %</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7.2 %</w:t>
            </w:r>
          </w:p>
        </w:tc>
        <w:tc>
          <w:tcPr>
            <w:tcBorders>
              <w:bottom w:val="single" w:sz="4" w:space="0" w:color="DDDDDD"/>
              <w:top w:val="single" w:sz="4" w:space="0" w:color="DDDDDD"/>
              <w:left w:val="none" w:sz="0" w:space="0" w:color="000000"/>
              <w:right w:val="single" w:sz="12" w:space="0" w:color="2AABB7"/>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9.3 %</w:t>
            </w:r>
          </w:p>
        </w:tc>
      </w:tr>
      <w:tr>
        <w:trPr>
          <w:trHeight w:val="360" w:hRule="auto"/>
        </w:trPr>
        <w:tc>
          <w:tcPr>
            <w:tcBorders>
              <w:bottom w:val="single" w:sz="4" w:space="0" w:color="DDDDDD"/>
              <w:top w:val="single" w:sz="4" w:space="0" w:color="DDDDDD"/>
              <w:left w:val="single" w:sz="12" w:space="0" w:color="2AABB7"/>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Femme</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30-44 ans</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1,901</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204</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10.7 %</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9.4 %</w:t>
            </w:r>
          </w:p>
        </w:tc>
        <w:tc>
          <w:tcPr>
            <w:tcBorders>
              <w:bottom w:val="single" w:sz="4" w:space="0" w:color="DDDDDD"/>
              <w:top w:val="single" w:sz="4" w:space="0" w:color="DDDDDD"/>
              <w:left w:val="none" w:sz="0" w:space="0" w:color="000000"/>
              <w:right w:val="single" w:sz="12" w:space="0" w:color="2AABB7"/>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12.2 %</w:t>
            </w:r>
          </w:p>
        </w:tc>
      </w:tr>
      <w:tr>
        <w:trPr>
          <w:trHeight w:val="360" w:hRule="auto"/>
        </w:trPr>
        <w:tc>
          <w:tcPr>
            <w:tcBorders>
              <w:bottom w:val="single" w:sz="4" w:space="0" w:color="DDDDDD"/>
              <w:top w:val="single" w:sz="4" w:space="0" w:color="DDDDDD"/>
              <w:left w:val="single" w:sz="12" w:space="0" w:color="2AABB7"/>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Femme</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45-59 ans</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1,041</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166</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15.9 %</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13.8 %</w:t>
            </w:r>
          </w:p>
        </w:tc>
        <w:tc>
          <w:tcPr>
            <w:tcBorders>
              <w:bottom w:val="single" w:sz="4" w:space="0" w:color="DDDDDD"/>
              <w:top w:val="single" w:sz="4" w:space="0" w:color="DDDDDD"/>
              <w:left w:val="none" w:sz="0" w:space="0" w:color="000000"/>
              <w:right w:val="single" w:sz="12" w:space="0" w:color="2AABB7"/>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18.3 %</w:t>
            </w:r>
          </w:p>
        </w:tc>
      </w:tr>
      <w:tr>
        <w:trPr>
          <w:trHeight w:val="360" w:hRule="auto"/>
        </w:trPr>
        <w:tc>
          <w:tcPr>
            <w:tcBorders>
              <w:bottom w:val="single" w:sz="12" w:space="0" w:color="2AABB7"/>
              <w:top w:val="single" w:sz="4" w:space="0" w:color="DDDDDD"/>
              <w:left w:val="single" w:sz="12" w:space="0" w:color="2AABB7"/>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Femme</w:t>
            </w:r>
          </w:p>
        </w:tc>
        <w:tc>
          <w:tcPr>
            <w:tcBorders>
              <w:bottom w:val="single" w:sz="12" w:space="0" w:color="2AABB7"/>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60+ ans</w:t>
            </w:r>
          </w:p>
        </w:tc>
        <w:tc>
          <w:tcPr>
            <w:tcBorders>
              <w:bottom w:val="single" w:sz="12" w:space="0" w:color="2AABB7"/>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641</w:t>
            </w:r>
          </w:p>
        </w:tc>
        <w:tc>
          <w:tcPr>
            <w:tcBorders>
              <w:bottom w:val="single" w:sz="12" w:space="0" w:color="2AABB7"/>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167</w:t>
            </w:r>
          </w:p>
        </w:tc>
        <w:tc>
          <w:tcPr>
            <w:tcBorders>
              <w:bottom w:val="single" w:sz="12" w:space="0" w:color="2AABB7"/>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26.1 %</w:t>
            </w:r>
          </w:p>
        </w:tc>
        <w:tc>
          <w:tcPr>
            <w:tcBorders>
              <w:bottom w:val="single" w:sz="12" w:space="0" w:color="2AABB7"/>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22.7 %</w:t>
            </w:r>
          </w:p>
        </w:tc>
        <w:tc>
          <w:tcPr>
            <w:tcBorders>
              <w:bottom w:val="single" w:sz="12" w:space="0" w:color="2AABB7"/>
              <w:top w:val="single" w:sz="4" w:space="0" w:color="DDDDDD"/>
              <w:left w:val="none" w:sz="0" w:space="0" w:color="000000"/>
              <w:right w:val="single" w:sz="12" w:space="0" w:color="2AABB7"/>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29.6 %</w:t>
            </w:r>
          </w:p>
        </w:tc>
      </w:tr>
    </w:tbl>
    <w:bookmarkStart w:id="30" w:name="interprétation"/>
    <w:p>
      <w:pPr>
        <w:pStyle w:val="Heading3"/>
      </w:pPr>
      <w:r>
        <w:rPr>
          <w:rStyle w:val="SectionNumber"/>
        </w:rPr>
        <w:t xml:space="preserve">2.4.1</w:t>
      </w:r>
      <w:r>
        <w:tab/>
      </w:r>
      <w:r>
        <w:t xml:space="preserve">Interprétation</w:t>
      </w:r>
    </w:p>
    <w:p>
      <w:pPr>
        <w:pStyle w:val="FirstParagraph"/>
      </w:pPr>
      <w:r>
        <w:t xml:space="preserve">Le taux de morbidité observé au cours des quatre dernières semaines est estimé à 9,3 % en données non pondérées et à 8,7 % après prise en compte des poids d’enquête. Cette différence modérée suggère que la structure de l’échantillon brut diffère légèrement de celle de la population cible, ce qui justifie l’utilisation des pondérations pour produire des estimations représentatives.</w:t>
      </w:r>
    </w:p>
    <w:p>
      <w:pPr>
        <w:pStyle w:val="BodyText"/>
      </w:pPr>
      <w:r>
        <w:t xml:space="preserve">Le tableau des taux de morbidité par sexe et groupe d’âge met en évidence une forte hétérogénéité selon le cycle de vie. Les individus âgés de 60 ans et plus présentent les taux de morbidité les plus élevés, atteignant 20,7 % chez les hommes et 26,1 % chez les femmes. À l’inverse, les enfants âgés de 5 à 14 ans présentent les niveaux de morbidité les plus faibles.</w:t>
      </w:r>
    </w:p>
    <w:p>
      <w:pPr>
        <w:pStyle w:val="BodyText"/>
      </w:pPr>
      <w:r>
        <w:t xml:space="preserve">Le graphique associé confirme visuellement cette structure en mettant en évidence une augmentation progressive du taux de morbidité avec l’âge. Cette tendance reflète la vulnérabilité sanitaire croissante des populations âgées, liée notamment à l’augmentation de la prévalence des maladies chroniques et à une plus grande fragilité physiologique.</w:t>
      </w:r>
    </w:p>
    <w:p>
      <w:pPr>
        <w:pStyle w:val="BodyText"/>
      </w:pPr>
      <w:r>
        <w:t xml:space="preserve">On observe également un différentiel systématique selon le sexe, les femmes présentant généralement des taux de morbidité légèrement supérieurs à ceux des hommes dans les groupes d’âge adultes et âgés. Cette différence peut s’expliquer par des facteurs biologiques, mais également par une plus grande propension à déclarer les épisodes de maladie.</w:t>
      </w:r>
      <w:r>
        <w:t xml:space="preserve"> </w:t>
      </w:r>
      <w:r>
        <w:drawing>
          <wp:inline>
            <wp:extent cx="5334000" cy="3200399"/>
            <wp:effectExtent b="0" l="0" r="0" t="0"/>
            <wp:docPr descr="Taux de morbidité par sexe et groupe d’âge — GHS Panel Wave 4 (2018)" title="" id="28" name="Picture"/>
            <a:graphic>
              <a:graphicData uri="http://schemas.openxmlformats.org/drawingml/2006/picture">
                <pic:pic>
                  <pic:nvPicPr>
                    <pic:cNvPr descr="TP3_Sante_Rapport_files/figure-docx/t13-morb-graph-1.png" id="29" name="Picture"/>
                    <pic:cNvPicPr>
                      <a:picLocks noChangeArrowheads="1" noChangeAspect="1"/>
                    </pic:cNvPicPr>
                  </pic:nvPicPr>
                  <pic:blipFill>
                    <a:blip r:embed="rId27"/>
                    <a:stretch>
                      <a:fillRect/>
                    </a:stretch>
                  </pic:blipFill>
                  <pic:spPr bwMode="auto">
                    <a:xfrm>
                      <a:off x="0" y="0"/>
                      <a:ext cx="5334000" cy="3200399"/>
                    </a:xfrm>
                    <a:prstGeom prst="rect">
                      <a:avLst/>
                    </a:prstGeom>
                    <a:noFill/>
                    <a:ln w="9525">
                      <a:noFill/>
                      <a:headEnd/>
                      <a:tailEnd/>
                    </a:ln>
                  </pic:spPr>
                </pic:pic>
              </a:graphicData>
            </a:graphic>
          </wp:inline>
        </w:drawing>
      </w:r>
    </w:p>
    <w:p>
      <w:r>
        <w:pict>
          <v:rect style="width:0;height:1.5pt" o:hralign="center" o:hrstd="t" o:hr="t"/>
        </w:pict>
      </w:r>
    </w:p>
    <w:bookmarkEnd w:id="30"/>
    <w:bookmarkEnd w:id="31"/>
    <w:bookmarkEnd w:id="32"/>
    <w:bookmarkStart w:id="37" w:name="tâche-14-types-de-maladies-déclarées"/>
    <w:p>
      <w:pPr>
        <w:pStyle w:val="Heading1"/>
      </w:pPr>
      <w:r>
        <w:rPr>
          <w:rStyle w:val="SectionNumber"/>
        </w:rPr>
        <w:t xml:space="preserve">3</w:t>
      </w:r>
      <w:r>
        <w:tab/>
      </w:r>
      <w:r>
        <w:t xml:space="preserve">Tâche 14 — Types de maladies déclarées</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Tableau 5 — Top 10 affections déclarées parmi les individus malades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2AABB7"/>
              <w:top w:val="single" w:sz="12" w:space="0" w:color="2AABB7"/>
              <w:left w:val="single" w:sz="12" w:space="0" w:color="2AABB7"/>
              <w:right w:val="none" w:sz="0" w:space="0" w:color="000000"/>
            </w:tcBorders>
            <w:shd w:val="clear" w:color="auto" w:fill="1C1C2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FFFFFF"/>
              </w:rPr>
              <w:t xml:space="preserve">Type d'affection</w:t>
            </w:r>
          </w:p>
        </w:tc>
        <w:tc>
          <w:tcPr>
            <w:tcBorders>
              <w:bottom w:val="single" w:sz="12" w:space="0" w:color="2AABB7"/>
              <w:top w:val="single" w:sz="12" w:space="0" w:color="2AABB7"/>
              <w:left w:val="none" w:sz="0" w:space="0" w:color="000000"/>
              <w:right w:val="none" w:sz="0" w:space="0" w:color="000000"/>
            </w:tcBorders>
            <w:shd w:val="clear" w:color="auto" w:fill="1C1C2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FFFFFF"/>
              </w:rPr>
              <w:t xml:space="preserve">Effectif</w:t>
            </w:r>
          </w:p>
        </w:tc>
        <w:tc>
          <w:tcPr>
            <w:tcBorders>
              <w:bottom w:val="single" w:sz="12" w:space="0" w:color="2AABB7"/>
              <w:top w:val="single" w:sz="12" w:space="0" w:color="2AABB7"/>
              <w:left w:val="none" w:sz="0" w:space="0" w:color="000000"/>
              <w:right w:val="none" w:sz="0" w:space="0" w:color="000000"/>
            </w:tcBorders>
            <w:shd w:val="clear" w:color="auto" w:fill="1C1C2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FFFFFF"/>
              </w:rPr>
              <w:t xml:space="preserve">Proportion (%)</w:t>
            </w:r>
          </w:p>
        </w:tc>
        <w:tc>
          <w:tcPr>
            <w:tcBorders>
              <w:bottom w:val="single" w:sz="12" w:space="0" w:color="2AABB7"/>
              <w:top w:val="single" w:sz="12" w:space="0" w:color="2AABB7"/>
              <w:left w:val="none" w:sz="0" w:space="0" w:color="000000"/>
              <w:right w:val="single" w:sz="12" w:space="0" w:color="2AABB7"/>
            </w:tcBorders>
            <w:shd w:val="clear" w:color="auto" w:fill="1C1C2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FFFFFF"/>
              </w:rPr>
              <w:t xml:space="preserve">Catégorie</w:t>
            </w:r>
          </w:p>
        </w:tc>
      </w:tr>
      <w:tr>
        <w:trPr>
          <w:trHeight w:val="360" w:hRule="auto"/>
        </w:trPr>
        <w:tc>
          <w:tcPr>
            <w:tcBorders>
              <w:bottom w:val="single" w:sz="4" w:space="0" w:color="DDDDDD"/>
              <w:top w:val="single" w:sz="12" w:space="0" w:color="2AABB7"/>
              <w:left w:val="single" w:sz="12" w:space="0" w:color="2AABB7"/>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27. BODY PAINS</w:t>
            </w:r>
          </w:p>
        </w:tc>
        <w:tc>
          <w:tcPr>
            <w:tcBorders>
              <w:bottom w:val="single" w:sz="4" w:space="0" w:color="DDDDDD"/>
              <w:top w:val="single" w:sz="12" w:space="0" w:color="2AABB7"/>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518</w:t>
            </w:r>
          </w:p>
        </w:tc>
        <w:tc>
          <w:tcPr>
            <w:tcBorders>
              <w:bottom w:val="single" w:sz="4" w:space="0" w:color="DDDDDD"/>
              <w:top w:val="single" w:sz="12" w:space="0" w:color="2AABB7"/>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27 %</w:t>
            </w:r>
          </w:p>
        </w:tc>
        <w:tc>
          <w:tcPr>
            <w:tcBorders>
              <w:bottom w:val="single" w:sz="4" w:space="0" w:color="DDDDDD"/>
              <w:top w:val="single" w:sz="12" w:space="0" w:color="2AABB7"/>
              <w:left w:val="none" w:sz="0" w:space="0" w:color="000000"/>
              <w:right w:val="single" w:sz="12" w:space="0" w:color="2AABB7"/>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Autre</w:t>
            </w:r>
          </w:p>
        </w:tc>
      </w:tr>
      <w:tr>
        <w:trPr>
          <w:trHeight w:val="360" w:hRule="auto"/>
        </w:trPr>
        <w:tc>
          <w:tcPr>
            <w:tcBorders>
              <w:bottom w:val="single" w:sz="4" w:space="0" w:color="DDDDDD"/>
              <w:top w:val="single" w:sz="4" w:space="0" w:color="DDDDDD"/>
              <w:left w:val="single" w:sz="12" w:space="0" w:color="2AABB7"/>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 MALARIA</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514</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26.8 %</w:t>
            </w:r>
          </w:p>
        </w:tc>
        <w:tc>
          <w:tcPr>
            <w:tcBorders>
              <w:bottom w:val="single" w:sz="4" w:space="0" w:color="DDDDDD"/>
              <w:top w:val="single" w:sz="4" w:space="0" w:color="DDDDDD"/>
              <w:left w:val="none" w:sz="0" w:space="0" w:color="000000"/>
              <w:right w:val="single" w:sz="12" w:space="0" w:color="2AABB7"/>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Infectieuse</w:t>
            </w:r>
          </w:p>
        </w:tc>
      </w:tr>
      <w:tr>
        <w:trPr>
          <w:trHeight w:val="360" w:hRule="auto"/>
        </w:trPr>
        <w:tc>
          <w:tcPr>
            <w:tcBorders>
              <w:bottom w:val="single" w:sz="4" w:space="0" w:color="DDDDDD"/>
              <w:top w:val="single" w:sz="4" w:space="0" w:color="DDDDDD"/>
              <w:left w:val="single" w:sz="12" w:space="0" w:color="2AABB7"/>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15. CATARRH</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244</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12.7 %</w:t>
            </w:r>
          </w:p>
        </w:tc>
        <w:tc>
          <w:tcPr>
            <w:tcBorders>
              <w:bottom w:val="single" w:sz="4" w:space="0" w:color="DDDDDD"/>
              <w:top w:val="single" w:sz="4" w:space="0" w:color="DDDDDD"/>
              <w:left w:val="none" w:sz="0" w:space="0" w:color="000000"/>
              <w:right w:val="single" w:sz="12" w:space="0" w:color="2AABB7"/>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Autre</w:t>
            </w:r>
          </w:p>
        </w:tc>
      </w:tr>
      <w:tr>
        <w:trPr>
          <w:trHeight w:val="360" w:hRule="auto"/>
        </w:trPr>
        <w:tc>
          <w:tcPr>
            <w:tcBorders>
              <w:bottom w:val="single" w:sz="4" w:space="0" w:color="DDDDDD"/>
              <w:top w:val="single" w:sz="4" w:space="0" w:color="DDDDDD"/>
              <w:left w:val="single" w:sz="12" w:space="0" w:color="2AABB7"/>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17. HEADACHE</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195</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10.2 %</w:t>
            </w:r>
          </w:p>
        </w:tc>
        <w:tc>
          <w:tcPr>
            <w:tcBorders>
              <w:bottom w:val="single" w:sz="4" w:space="0" w:color="DDDDDD"/>
              <w:top w:val="single" w:sz="4" w:space="0" w:color="DDDDDD"/>
              <w:left w:val="none" w:sz="0" w:space="0" w:color="000000"/>
              <w:right w:val="single" w:sz="12" w:space="0" w:color="2AABB7"/>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Autre</w:t>
            </w:r>
          </w:p>
        </w:tc>
      </w:tr>
      <w:tr>
        <w:trPr>
          <w:trHeight w:val="360" w:hRule="auto"/>
        </w:trPr>
        <w:tc>
          <w:tcPr>
            <w:tcBorders>
              <w:bottom w:val="single" w:sz="4" w:space="0" w:color="DDDDDD"/>
              <w:top w:val="single" w:sz="4" w:space="0" w:color="DDDDDD"/>
              <w:left w:val="single" w:sz="12" w:space="0" w:color="2AABB7"/>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16. COUGH</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182</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9.5 %</w:t>
            </w:r>
          </w:p>
        </w:tc>
        <w:tc>
          <w:tcPr>
            <w:tcBorders>
              <w:bottom w:val="single" w:sz="4" w:space="0" w:color="DDDDDD"/>
              <w:top w:val="single" w:sz="4" w:space="0" w:color="DDDDDD"/>
              <w:left w:val="none" w:sz="0" w:space="0" w:color="000000"/>
              <w:right w:val="single" w:sz="12" w:space="0" w:color="2AABB7"/>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Infectieuse</w:t>
            </w:r>
          </w:p>
        </w:tc>
      </w:tr>
      <w:tr>
        <w:trPr>
          <w:trHeight w:val="360" w:hRule="auto"/>
        </w:trPr>
        <w:tc>
          <w:tcPr>
            <w:tcBorders>
              <w:bottom w:val="single" w:sz="4" w:space="0" w:color="DDDDDD"/>
              <w:top w:val="single" w:sz="4" w:space="0" w:color="DDDDDD"/>
              <w:left w:val="single" w:sz="12" w:space="0" w:color="2AABB7"/>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 COMMON COLD</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71</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3.7 %</w:t>
            </w:r>
          </w:p>
        </w:tc>
        <w:tc>
          <w:tcPr>
            <w:tcBorders>
              <w:bottom w:val="single" w:sz="4" w:space="0" w:color="DDDDDD"/>
              <w:top w:val="single" w:sz="4" w:space="0" w:color="DDDDDD"/>
              <w:left w:val="none" w:sz="0" w:space="0" w:color="000000"/>
              <w:right w:val="single" w:sz="12" w:space="0" w:color="2AABB7"/>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Infectieuse</w:t>
            </w:r>
          </w:p>
        </w:tc>
      </w:tr>
      <w:tr>
        <w:trPr>
          <w:trHeight w:val="360" w:hRule="auto"/>
        </w:trPr>
        <w:tc>
          <w:tcPr>
            <w:tcBorders>
              <w:bottom w:val="single" w:sz="4" w:space="0" w:color="DDDDDD"/>
              <w:top w:val="single" w:sz="4" w:space="0" w:color="DDDDDD"/>
              <w:left w:val="single" w:sz="12" w:space="0" w:color="2AABB7"/>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24. ULCER/STOMACH PAIN</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70</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3.7 %</w:t>
            </w:r>
          </w:p>
        </w:tc>
        <w:tc>
          <w:tcPr>
            <w:tcBorders>
              <w:bottom w:val="single" w:sz="4" w:space="0" w:color="DDDDDD"/>
              <w:top w:val="single" w:sz="4" w:space="0" w:color="DDDDDD"/>
              <w:left w:val="none" w:sz="0" w:space="0" w:color="000000"/>
              <w:right w:val="single" w:sz="12" w:space="0" w:color="2AABB7"/>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Autre</w:t>
            </w:r>
          </w:p>
        </w:tc>
      </w:tr>
      <w:tr>
        <w:trPr>
          <w:trHeight w:val="360" w:hRule="auto"/>
        </w:trPr>
        <w:tc>
          <w:tcPr>
            <w:tcBorders>
              <w:bottom w:val="single" w:sz="4" w:space="0" w:color="DDDDDD"/>
              <w:top w:val="single" w:sz="4" w:space="0" w:color="DDDDDD"/>
              <w:left w:val="single" w:sz="12" w:space="0" w:color="2AABB7"/>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11. INJURY</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58</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3 %</w:t>
            </w:r>
          </w:p>
        </w:tc>
        <w:tc>
          <w:tcPr>
            <w:tcBorders>
              <w:bottom w:val="single" w:sz="4" w:space="0" w:color="DDDDDD"/>
              <w:top w:val="single" w:sz="4" w:space="0" w:color="DDDDDD"/>
              <w:left w:val="none" w:sz="0" w:space="0" w:color="000000"/>
              <w:right w:val="single" w:sz="12" w:space="0" w:color="2AABB7"/>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Traumatique</w:t>
            </w:r>
          </w:p>
        </w:tc>
      </w:tr>
      <w:tr>
        <w:trPr>
          <w:trHeight w:val="360" w:hRule="auto"/>
        </w:trPr>
        <w:tc>
          <w:tcPr>
            <w:tcBorders>
              <w:bottom w:val="single" w:sz="4" w:space="0" w:color="DDDDDD"/>
              <w:top w:val="single" w:sz="4" w:space="0" w:color="DDDDDD"/>
              <w:left w:val="single" w:sz="12" w:space="0" w:color="2AABB7"/>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12. OTHER(SPECIFY)</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36</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1.9 %</w:t>
            </w:r>
          </w:p>
        </w:tc>
        <w:tc>
          <w:tcPr>
            <w:tcBorders>
              <w:bottom w:val="single" w:sz="4" w:space="0" w:color="DDDDDD"/>
              <w:top w:val="single" w:sz="4" w:space="0" w:color="DDDDDD"/>
              <w:left w:val="none" w:sz="0" w:space="0" w:color="000000"/>
              <w:right w:val="single" w:sz="12" w:space="0" w:color="2AABB7"/>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Autre</w:t>
            </w:r>
          </w:p>
        </w:tc>
      </w:tr>
      <w:tr>
        <w:trPr>
          <w:trHeight w:val="360" w:hRule="auto"/>
        </w:trPr>
        <w:tc>
          <w:tcPr>
            <w:tcBorders>
              <w:bottom w:val="single" w:sz="12" w:space="0" w:color="2AABB7"/>
              <w:top w:val="single" w:sz="4" w:space="0" w:color="DDDDDD"/>
              <w:left w:val="single" w:sz="12" w:space="0" w:color="2AABB7"/>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25. EYE PROBLEM</w:t>
            </w:r>
          </w:p>
        </w:tc>
        <w:tc>
          <w:tcPr>
            <w:tcBorders>
              <w:bottom w:val="single" w:sz="12" w:space="0" w:color="2AABB7"/>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27</w:t>
            </w:r>
          </w:p>
        </w:tc>
        <w:tc>
          <w:tcPr>
            <w:tcBorders>
              <w:bottom w:val="single" w:sz="12" w:space="0" w:color="2AABB7"/>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1.4 %</w:t>
            </w:r>
          </w:p>
        </w:tc>
        <w:tc>
          <w:tcPr>
            <w:tcBorders>
              <w:bottom w:val="single" w:sz="12" w:space="0" w:color="2AABB7"/>
              <w:top w:val="single" w:sz="4" w:space="0" w:color="DDDDDD"/>
              <w:left w:val="none" w:sz="0" w:space="0" w:color="000000"/>
              <w:right w:val="single" w:sz="12" w:space="0" w:color="2AABB7"/>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Autre</w:t>
            </w:r>
          </w:p>
        </w:tc>
      </w:tr>
    </w:tbl>
    <w:bookmarkStart w:id="36" w:name="interprétation-1"/>
    <w:p>
      <w:pPr>
        <w:pStyle w:val="Heading3"/>
      </w:pPr>
      <w:r>
        <w:rPr>
          <w:rStyle w:val="SectionNumber"/>
        </w:rPr>
        <w:t xml:space="preserve">3.0.1</w:t>
      </w:r>
      <w:r>
        <w:tab/>
      </w:r>
      <w:r>
        <w:t xml:space="preserve">Interprétation</w:t>
      </w:r>
    </w:p>
    <w:p>
      <w:pPr>
        <w:pStyle w:val="FirstParagraph"/>
      </w:pPr>
      <w:r>
        <w:t xml:space="preserve">L’analyse des types d’affections déclarées porte sur 2 065 individus ayant signalé un épisode de maladie et pour lesquels le type d’affection est renseigné.</w:t>
      </w:r>
    </w:p>
    <w:p>
      <w:pPr>
        <w:pStyle w:val="BodyText"/>
      </w:pPr>
      <w:r>
        <w:t xml:space="preserve">Le tableau met en évidence une forte concentration des cas autour d’un nombre limité de pathologies. Le paludisme représente à lui seul environ 26,8 % des affections déclarées, confirmant son rôle central dans le profil épidémiologique du Nigeria. Cette prévalence élevée reflète les conditions environnementales et climatiques favorables à la transmission de la maladie dans la région.</w:t>
      </w:r>
    </w:p>
    <w:p>
      <w:pPr>
        <w:pStyle w:val="BodyText"/>
      </w:pPr>
      <w:r>
        <w:t xml:space="preserve">Le graphique du top 10 des affections permet de visualiser clairement cette hiérarchie des pathologies. Les deux premières catégories — douleurs corporelles (</w:t>
      </w:r>
      <w:r>
        <w:t xml:space="preserve">“body pains”</w:t>
      </w:r>
      <w:r>
        <w:t xml:space="preserve">) et paludisme — dominent largement la distribution et représentent ensemble plus de la moitié des cas observés.</w:t>
      </w:r>
    </w:p>
    <w:p>
      <w:pPr>
        <w:pStyle w:val="BodyText"/>
      </w:pPr>
      <w:r>
        <w:t xml:space="preserve">Les affections respiratoires courantes, telles que la toux, le rhume ou le catarrhe, occupent également une place importante dans la distribution. Bien que généralement bénignes, ces pathologies peuvent avoir un impact non négligeable sur la productivité et les activités quotidiennes des individus.</w:t>
      </w:r>
    </w:p>
    <w:p>
      <w:pPr>
        <w:pStyle w:val="BodyText"/>
      </w:pPr>
      <w:r>
        <w:t xml:space="preserve">Dans l’ensemble, la distribution observée suggère un profil épidémiologique mixte, caractérisé par la coexistence de maladies infectieuses et de symptômes non spécifiques liés aux conditions de vie.</w:t>
      </w:r>
    </w:p>
    <w:p>
      <w:pPr>
        <w:pStyle w:val="CaptionedFigure"/>
      </w:pPr>
      <w:r>
        <w:drawing>
          <wp:inline>
            <wp:extent cx="5334000" cy="2667000"/>
            <wp:effectExtent b="0" l="0" r="0" t="0"/>
            <wp:docPr descr="Top 10 affections déclarées — GHS Panel Wave 4 (2018)" title="" id="34" name="Picture"/>
            <a:graphic>
              <a:graphicData uri="http://schemas.openxmlformats.org/drawingml/2006/picture">
                <pic:pic>
                  <pic:nvPicPr>
                    <pic:cNvPr descr="TP3_Sante_Rapport_files/figure-docx/t14-graph-1.png" id="35" name="Picture"/>
                    <pic:cNvPicPr>
                      <a:picLocks noChangeArrowheads="1" noChangeAspect="1"/>
                    </pic:cNvPicPr>
                  </pic:nvPicPr>
                  <pic:blipFill>
                    <a:blip r:embed="rId33"/>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Top 10 affections déclarées — GHS Panel Wave 4 (2018)</w:t>
      </w:r>
    </w:p>
    <w:p>
      <w:r>
        <w:pict>
          <v:rect style="width:0;height:1.5pt" o:hralign="center" o:hrstd="t" o:hr="t"/>
        </w:pict>
      </w:r>
    </w:p>
    <w:bookmarkEnd w:id="36"/>
    <w:bookmarkEnd w:id="37"/>
    <w:bookmarkStart w:id="42" w:name="X56764a30b96de8f92bf8611015fb70684a1d4ae"/>
    <w:p>
      <w:pPr>
        <w:pStyle w:val="Heading1"/>
      </w:pPr>
      <w:r>
        <w:rPr>
          <w:rStyle w:val="SectionNumber"/>
        </w:rPr>
        <w:t xml:space="preserve">4</w:t>
      </w:r>
      <w:r>
        <w:tab/>
      </w:r>
      <w:r>
        <w:t xml:space="preserve">Tâche 15 — Recours aux soins par type de prestataire</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Tableau 6 — Recours aux soins par type de prestataire (IC 95%)</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2AABB7"/>
              <w:top w:val="single" w:sz="12" w:space="0" w:color="2AABB7"/>
              <w:left w:val="single" w:sz="12" w:space="0" w:color="2AABB7"/>
              <w:right w:val="none" w:sz="0" w:space="0" w:color="000000"/>
            </w:tcBorders>
            <w:shd w:val="clear" w:color="auto" w:fill="1C1C2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FFFFFF"/>
              </w:rPr>
              <w:t xml:space="preserve">Type de prestataire</w:t>
            </w:r>
          </w:p>
        </w:tc>
        <w:tc>
          <w:tcPr>
            <w:tcBorders>
              <w:bottom w:val="single" w:sz="12" w:space="0" w:color="2AABB7"/>
              <w:top w:val="single" w:sz="12" w:space="0" w:color="2AABB7"/>
              <w:left w:val="none" w:sz="0" w:space="0" w:color="000000"/>
              <w:right w:val="none" w:sz="0" w:space="0" w:color="000000"/>
            </w:tcBorders>
            <w:shd w:val="clear" w:color="auto" w:fill="1C1C2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FFFFFF"/>
              </w:rPr>
              <w:t xml:space="preserve">Effectif</w:t>
            </w:r>
          </w:p>
        </w:tc>
        <w:tc>
          <w:tcPr>
            <w:tcBorders>
              <w:bottom w:val="single" w:sz="12" w:space="0" w:color="2AABB7"/>
              <w:top w:val="single" w:sz="12" w:space="0" w:color="2AABB7"/>
              <w:left w:val="none" w:sz="0" w:space="0" w:color="000000"/>
              <w:right w:val="none" w:sz="0" w:space="0" w:color="000000"/>
            </w:tcBorders>
            <w:shd w:val="clear" w:color="auto" w:fill="1C1C2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FFFFFF"/>
              </w:rPr>
              <w:t xml:space="preserve">Proportion (%)</w:t>
            </w:r>
          </w:p>
        </w:tc>
        <w:tc>
          <w:tcPr>
            <w:tcBorders>
              <w:bottom w:val="single" w:sz="12" w:space="0" w:color="2AABB7"/>
              <w:top w:val="single" w:sz="12" w:space="0" w:color="2AABB7"/>
              <w:left w:val="none" w:sz="0" w:space="0" w:color="000000"/>
              <w:right w:val="none" w:sz="0" w:space="0" w:color="000000"/>
            </w:tcBorders>
            <w:shd w:val="clear" w:color="auto" w:fill="1C1C2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FFFFFF"/>
              </w:rPr>
              <w:t xml:space="preserve">IC inf. 95%</w:t>
            </w:r>
          </w:p>
        </w:tc>
        <w:tc>
          <w:tcPr>
            <w:tcBorders>
              <w:bottom w:val="single" w:sz="12" w:space="0" w:color="2AABB7"/>
              <w:top w:val="single" w:sz="12" w:space="0" w:color="2AABB7"/>
              <w:left w:val="none" w:sz="0" w:space="0" w:color="000000"/>
              <w:right w:val="single" w:sz="12" w:space="0" w:color="2AABB7"/>
            </w:tcBorders>
            <w:shd w:val="clear" w:color="auto" w:fill="1C1C2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FFFFFF"/>
              </w:rPr>
              <w:t xml:space="preserve">IC sup. 95%</w:t>
            </w:r>
          </w:p>
        </w:tc>
      </w:tr>
      <w:tr>
        <w:trPr>
          <w:trHeight w:val="360" w:hRule="auto"/>
        </w:trPr>
        <w:tc>
          <w:tcPr>
            <w:tcBorders>
              <w:bottom w:val="single" w:sz="4" w:space="0" w:color="DDDDDD"/>
              <w:top w:val="single" w:sz="12" w:space="0" w:color="2AABB7"/>
              <w:left w:val="single" w:sz="12" w:space="0" w:color="2AABB7"/>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 CHEMIST</w:t>
            </w:r>
          </w:p>
        </w:tc>
        <w:tc>
          <w:tcPr>
            <w:tcBorders>
              <w:bottom w:val="single" w:sz="4" w:space="0" w:color="DDDDDD"/>
              <w:top w:val="single" w:sz="12" w:space="0" w:color="2AABB7"/>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2,689</w:t>
            </w:r>
          </w:p>
        </w:tc>
        <w:tc>
          <w:tcPr>
            <w:tcBorders>
              <w:bottom w:val="single" w:sz="4" w:space="0" w:color="DDDDDD"/>
              <w:top w:val="single" w:sz="12" w:space="0" w:color="2AABB7"/>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41.7 %</w:t>
            </w:r>
          </w:p>
        </w:tc>
        <w:tc>
          <w:tcPr>
            <w:tcBorders>
              <w:bottom w:val="single" w:sz="4" w:space="0" w:color="DDDDDD"/>
              <w:top w:val="single" w:sz="12" w:space="0" w:color="2AABB7"/>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40.5 %</w:t>
            </w:r>
          </w:p>
        </w:tc>
        <w:tc>
          <w:tcPr>
            <w:tcBorders>
              <w:bottom w:val="single" w:sz="4" w:space="0" w:color="DDDDDD"/>
              <w:top w:val="single" w:sz="12" w:space="0" w:color="2AABB7"/>
              <w:left w:val="none" w:sz="0" w:space="0" w:color="000000"/>
              <w:right w:val="single" w:sz="12" w:space="0" w:color="2AABB7"/>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42.9 %</w:t>
            </w:r>
          </w:p>
        </w:tc>
      </w:tr>
      <w:tr>
        <w:trPr>
          <w:trHeight w:val="360" w:hRule="auto"/>
        </w:trPr>
        <w:tc>
          <w:tcPr>
            <w:tcBorders>
              <w:bottom w:val="single" w:sz="4" w:space="0" w:color="DDDDDD"/>
              <w:top w:val="single" w:sz="4" w:space="0" w:color="DDDDDD"/>
              <w:left w:val="single" w:sz="12" w:space="0" w:color="2AABB7"/>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 DOCTOR</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1,335</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20.7 %</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19.7 %</w:t>
            </w:r>
          </w:p>
        </w:tc>
        <w:tc>
          <w:tcPr>
            <w:tcBorders>
              <w:bottom w:val="single" w:sz="4" w:space="0" w:color="DDDDDD"/>
              <w:top w:val="single" w:sz="4" w:space="0" w:color="DDDDDD"/>
              <w:left w:val="none" w:sz="0" w:space="0" w:color="000000"/>
              <w:right w:val="single" w:sz="12" w:space="0" w:color="2AABB7"/>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21.7 %</w:t>
            </w:r>
          </w:p>
        </w:tc>
      </w:tr>
      <w:tr>
        <w:trPr>
          <w:trHeight w:val="360" w:hRule="auto"/>
        </w:trPr>
        <w:tc>
          <w:tcPr>
            <w:tcBorders>
              <w:bottom w:val="single" w:sz="4" w:space="0" w:color="DDDDDD"/>
              <w:top w:val="single" w:sz="4" w:space="0" w:color="DDDDDD"/>
              <w:left w:val="single" w:sz="12" w:space="0" w:color="2AABB7"/>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NO ONE</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912</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14.1 %</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13.3 %</w:t>
            </w:r>
          </w:p>
        </w:tc>
        <w:tc>
          <w:tcPr>
            <w:tcBorders>
              <w:bottom w:val="single" w:sz="4" w:space="0" w:color="DDDDDD"/>
              <w:top w:val="single" w:sz="4" w:space="0" w:color="DDDDDD"/>
              <w:left w:val="none" w:sz="0" w:space="0" w:color="000000"/>
              <w:right w:val="single" w:sz="12" w:space="0" w:color="2AABB7"/>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15 %</w:t>
            </w:r>
          </w:p>
        </w:tc>
      </w:tr>
      <w:tr>
        <w:trPr>
          <w:trHeight w:val="360" w:hRule="auto"/>
        </w:trPr>
        <w:tc>
          <w:tcPr>
            <w:tcBorders>
              <w:bottom w:val="single" w:sz="4" w:space="0" w:color="DDDDDD"/>
              <w:top w:val="single" w:sz="4" w:space="0" w:color="DDDDDD"/>
              <w:left w:val="single" w:sz="12" w:space="0" w:color="2AABB7"/>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 NURSE</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447</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6.9 %</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6.3 %</w:t>
            </w:r>
          </w:p>
        </w:tc>
        <w:tc>
          <w:tcPr>
            <w:tcBorders>
              <w:bottom w:val="single" w:sz="4" w:space="0" w:color="DDDDDD"/>
              <w:top w:val="single" w:sz="4" w:space="0" w:color="DDDDDD"/>
              <w:left w:val="none" w:sz="0" w:space="0" w:color="000000"/>
              <w:right w:val="single" w:sz="12" w:space="0" w:color="2AABB7"/>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7.6 %</w:t>
            </w:r>
          </w:p>
        </w:tc>
      </w:tr>
      <w:tr>
        <w:trPr>
          <w:trHeight w:val="360" w:hRule="auto"/>
        </w:trPr>
        <w:tc>
          <w:tcPr>
            <w:tcBorders>
              <w:bottom w:val="single" w:sz="4" w:space="0" w:color="DDDDDD"/>
              <w:top w:val="single" w:sz="4" w:space="0" w:color="DDDDDD"/>
              <w:left w:val="single" w:sz="12" w:space="0" w:color="2AABB7"/>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 PHARMACIST</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339</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5.3 %</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4.7 %</w:t>
            </w:r>
          </w:p>
        </w:tc>
        <w:tc>
          <w:tcPr>
            <w:tcBorders>
              <w:bottom w:val="single" w:sz="4" w:space="0" w:color="DDDDDD"/>
              <w:top w:val="single" w:sz="4" w:space="0" w:color="DDDDDD"/>
              <w:left w:val="none" w:sz="0" w:space="0" w:color="000000"/>
              <w:right w:val="single" w:sz="12" w:space="0" w:color="2AABB7"/>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5.8 %</w:t>
            </w:r>
          </w:p>
        </w:tc>
      </w:tr>
      <w:tr>
        <w:trPr>
          <w:trHeight w:val="360" w:hRule="auto"/>
        </w:trPr>
        <w:tc>
          <w:tcPr>
            <w:tcBorders>
              <w:bottom w:val="single" w:sz="4" w:space="0" w:color="DDDDDD"/>
              <w:top w:val="single" w:sz="4" w:space="0" w:color="DDDDDD"/>
              <w:left w:val="single" w:sz="12" w:space="0" w:color="2AABB7"/>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TRADITIONAL HEALER</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235</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3.6 %</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3.2 %</w:t>
            </w:r>
          </w:p>
        </w:tc>
        <w:tc>
          <w:tcPr>
            <w:tcBorders>
              <w:bottom w:val="single" w:sz="4" w:space="0" w:color="DDDDDD"/>
              <w:top w:val="single" w:sz="4" w:space="0" w:color="DDDDDD"/>
              <w:left w:val="none" w:sz="0" w:space="0" w:color="000000"/>
              <w:right w:val="single" w:sz="12" w:space="0" w:color="2AABB7"/>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4.1 %</w:t>
            </w:r>
          </w:p>
        </w:tc>
      </w:tr>
      <w:tr>
        <w:trPr>
          <w:trHeight w:val="360" w:hRule="auto"/>
        </w:trPr>
        <w:tc>
          <w:tcPr>
            <w:tcBorders>
              <w:bottom w:val="single" w:sz="4" w:space="0" w:color="DDDDDD"/>
              <w:top w:val="single" w:sz="4" w:space="0" w:color="DDDDDD"/>
              <w:left w:val="single" w:sz="12" w:space="0" w:color="2AABB7"/>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 COMMUNITY HEALTH EXTENSION WORKER (CHEW)</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156</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2.4 %</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2.1 %</w:t>
            </w:r>
          </w:p>
        </w:tc>
        <w:tc>
          <w:tcPr>
            <w:tcBorders>
              <w:bottom w:val="single" w:sz="4" w:space="0" w:color="DDDDDD"/>
              <w:top w:val="single" w:sz="4" w:space="0" w:color="DDDDDD"/>
              <w:left w:val="none" w:sz="0" w:space="0" w:color="000000"/>
              <w:right w:val="single" w:sz="12" w:space="0" w:color="2AABB7"/>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2.8 %</w:t>
            </w:r>
          </w:p>
        </w:tc>
      </w:tr>
      <w:tr>
        <w:trPr>
          <w:trHeight w:val="360" w:hRule="auto"/>
        </w:trPr>
        <w:tc>
          <w:tcPr>
            <w:tcBorders>
              <w:bottom w:val="single" w:sz="4" w:space="0" w:color="DDDDDD"/>
              <w:top w:val="single" w:sz="4" w:space="0" w:color="DDDDDD"/>
              <w:left w:val="single" w:sz="12" w:space="0" w:color="2AABB7"/>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 MEDICAL ASST</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138</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2.1 %</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1.8 %</w:t>
            </w:r>
          </w:p>
        </w:tc>
        <w:tc>
          <w:tcPr>
            <w:tcBorders>
              <w:bottom w:val="single" w:sz="4" w:space="0" w:color="DDDDDD"/>
              <w:top w:val="single" w:sz="4" w:space="0" w:color="DDDDDD"/>
              <w:left w:val="none" w:sz="0" w:space="0" w:color="000000"/>
              <w:right w:val="single" w:sz="12" w:space="0" w:color="2AABB7"/>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2.5 %</w:t>
            </w:r>
          </w:p>
        </w:tc>
      </w:tr>
      <w:tr>
        <w:trPr>
          <w:trHeight w:val="360" w:hRule="auto"/>
        </w:trPr>
        <w:tc>
          <w:tcPr>
            <w:tcBorders>
              <w:bottom w:val="single" w:sz="4" w:space="0" w:color="DDDDDD"/>
              <w:top w:val="single" w:sz="4" w:space="0" w:color="DDDDDD"/>
              <w:left w:val="single" w:sz="12" w:space="0" w:color="2AABB7"/>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 PATENT MEDICINE VENDOR (PMV)</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85</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1.3 %</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1.1 %</w:t>
            </w:r>
          </w:p>
        </w:tc>
        <w:tc>
          <w:tcPr>
            <w:tcBorders>
              <w:bottom w:val="single" w:sz="4" w:space="0" w:color="DDDDDD"/>
              <w:top w:val="single" w:sz="4" w:space="0" w:color="DDDDDD"/>
              <w:left w:val="none" w:sz="0" w:space="0" w:color="000000"/>
              <w:right w:val="single" w:sz="12" w:space="0" w:color="2AABB7"/>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1.6 %</w:t>
            </w:r>
          </w:p>
        </w:tc>
      </w:tr>
      <w:tr>
        <w:trPr>
          <w:trHeight w:val="360" w:hRule="auto"/>
        </w:trPr>
        <w:tc>
          <w:tcPr>
            <w:tcBorders>
              <w:bottom w:val="single" w:sz="4" w:space="0" w:color="DDDDDD"/>
              <w:top w:val="single" w:sz="4" w:space="0" w:color="DDDDDD"/>
              <w:left w:val="single" w:sz="12" w:space="0" w:color="2AABB7"/>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14. JUNIOR COMMUNITY HEALTH EXTENSION WORKER (JCHEW)</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71</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1.1 %</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0.9 %</w:t>
            </w:r>
          </w:p>
        </w:tc>
        <w:tc>
          <w:tcPr>
            <w:tcBorders>
              <w:bottom w:val="single" w:sz="4" w:space="0" w:color="DDDDDD"/>
              <w:top w:val="single" w:sz="4" w:space="0" w:color="DDDDDD"/>
              <w:left w:val="none" w:sz="0" w:space="0" w:color="000000"/>
              <w:right w:val="single" w:sz="12" w:space="0" w:color="2AABB7"/>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1.4 %</w:t>
            </w:r>
          </w:p>
        </w:tc>
      </w:tr>
      <w:tr>
        <w:trPr>
          <w:trHeight w:val="360" w:hRule="auto"/>
        </w:trPr>
        <w:tc>
          <w:tcPr>
            <w:tcBorders>
              <w:bottom w:val="single" w:sz="4" w:space="0" w:color="DDDDDD"/>
              <w:top w:val="single" w:sz="4" w:space="0" w:color="DDDDDD"/>
              <w:left w:val="single" w:sz="12" w:space="0" w:color="2AABB7"/>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 MIDWIFE</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23</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0.4 %</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0.2 %</w:t>
            </w:r>
          </w:p>
        </w:tc>
        <w:tc>
          <w:tcPr>
            <w:tcBorders>
              <w:bottom w:val="single" w:sz="4" w:space="0" w:color="DDDDDD"/>
              <w:top w:val="single" w:sz="4" w:space="0" w:color="DDDDDD"/>
              <w:left w:val="none" w:sz="0" w:space="0" w:color="000000"/>
              <w:right w:val="single" w:sz="12" w:space="0" w:color="2AABB7"/>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0.5 %</w:t>
            </w:r>
          </w:p>
        </w:tc>
      </w:tr>
      <w:tr>
        <w:trPr>
          <w:trHeight w:val="360" w:hRule="auto"/>
        </w:trPr>
        <w:tc>
          <w:tcPr>
            <w:tcBorders>
              <w:bottom w:val="single" w:sz="4" w:space="0" w:color="DDDDDD"/>
              <w:top w:val="single" w:sz="4" w:space="0" w:color="DDDDDD"/>
              <w:left w:val="single" w:sz="12" w:space="0" w:color="2AABB7"/>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 DENTIST</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0.2 %</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0.1 %</w:t>
            </w:r>
          </w:p>
        </w:tc>
        <w:tc>
          <w:tcPr>
            <w:tcBorders>
              <w:bottom w:val="single" w:sz="4" w:space="0" w:color="DDDDDD"/>
              <w:top w:val="single" w:sz="4" w:space="0" w:color="DDDDDD"/>
              <w:left w:val="none" w:sz="0" w:space="0" w:color="000000"/>
              <w:right w:val="single" w:sz="12" w:space="0" w:color="2AABB7"/>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0.3 %</w:t>
            </w:r>
          </w:p>
        </w:tc>
      </w:tr>
      <w:tr>
        <w:trPr>
          <w:trHeight w:val="360" w:hRule="auto"/>
        </w:trPr>
        <w:tc>
          <w:tcPr>
            <w:tcBorders>
              <w:bottom w:val="single" w:sz="4" w:space="0" w:color="DDDDDD"/>
              <w:top w:val="single" w:sz="4" w:space="0" w:color="DDDDDD"/>
              <w:left w:val="single" w:sz="12" w:space="0" w:color="2AABB7"/>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 SPIRITUALIST</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0.1 %</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w:t>
            </w:r>
          </w:p>
        </w:tc>
        <w:tc>
          <w:tcPr>
            <w:tcBorders>
              <w:bottom w:val="single" w:sz="4" w:space="0" w:color="DDDDDD"/>
              <w:top w:val="single" w:sz="4" w:space="0" w:color="DDDDDD"/>
              <w:left w:val="none" w:sz="0" w:space="0" w:color="000000"/>
              <w:right w:val="single" w:sz="12" w:space="0" w:color="2AABB7"/>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0.2 %</w:t>
            </w:r>
          </w:p>
        </w:tc>
      </w:tr>
      <w:tr>
        <w:trPr>
          <w:trHeight w:val="360" w:hRule="auto"/>
        </w:trPr>
        <w:tc>
          <w:tcPr>
            <w:tcBorders>
              <w:bottom w:val="single" w:sz="4" w:space="0" w:color="DDDDDD"/>
              <w:top w:val="single" w:sz="4" w:space="0" w:color="DDDDDD"/>
              <w:left w:val="single" w:sz="12" w:space="0" w:color="2AABB7"/>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 TBA</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w:t>
            </w:r>
          </w:p>
        </w:tc>
        <w:tc>
          <w:tcPr>
            <w:tcBorders>
              <w:bottom w:val="single" w:sz="4" w:space="0" w:color="DDDDDD"/>
              <w:top w:val="single" w:sz="4" w:space="0" w:color="DDDDDD"/>
              <w:left w:val="none" w:sz="0" w:space="0" w:color="000000"/>
              <w:right w:val="single" w:sz="12" w:space="0" w:color="2AABB7"/>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0.1 %</w:t>
            </w:r>
          </w:p>
        </w:tc>
      </w:tr>
      <w:tr>
        <w:trPr>
          <w:trHeight w:val="360" w:hRule="auto"/>
        </w:trPr>
        <w:tc>
          <w:tcPr>
            <w:tcBorders>
              <w:bottom w:val="single" w:sz="12" w:space="0" w:color="2AABB7"/>
              <w:top w:val="single" w:sz="4" w:space="0" w:color="DDDDDD"/>
              <w:left w:val="single" w:sz="12" w:space="0" w:color="2AABB7"/>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 OTHER(SPECIFY)</w:t>
            </w:r>
          </w:p>
        </w:tc>
        <w:tc>
          <w:tcPr>
            <w:tcBorders>
              <w:bottom w:val="single" w:sz="12" w:space="0" w:color="2AABB7"/>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single" w:sz="12" w:space="0" w:color="2AABB7"/>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w:t>
            </w:r>
          </w:p>
        </w:tc>
        <w:tc>
          <w:tcPr>
            <w:tcBorders>
              <w:bottom w:val="single" w:sz="12" w:space="0" w:color="2AABB7"/>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w:t>
            </w:r>
          </w:p>
        </w:tc>
        <w:tc>
          <w:tcPr>
            <w:tcBorders>
              <w:bottom w:val="single" w:sz="12" w:space="0" w:color="2AABB7"/>
              <w:top w:val="single" w:sz="4" w:space="0" w:color="DDDDDD"/>
              <w:left w:val="none" w:sz="0" w:space="0" w:color="000000"/>
              <w:right w:val="single" w:sz="12" w:space="0" w:color="2AABB7"/>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0.1 %</w:t>
            </w:r>
          </w:p>
        </w:tc>
      </w:tr>
    </w:tbl>
    <w:bookmarkStart w:id="41" w:name="interprétation-2"/>
    <w:p>
      <w:pPr>
        <w:pStyle w:val="Heading3"/>
      </w:pPr>
      <w:r>
        <w:rPr>
          <w:rStyle w:val="SectionNumber"/>
        </w:rPr>
        <w:t xml:space="preserve">4.0.1</w:t>
      </w:r>
      <w:r>
        <w:tab/>
      </w:r>
      <w:r>
        <w:t xml:space="preserve">Interprétation</w:t>
      </w:r>
    </w:p>
    <w:p>
      <w:pPr>
        <w:pStyle w:val="FirstParagraph"/>
      </w:pPr>
      <w:r>
        <w:t xml:space="preserve">L’analyse du recours aux soins révèle une forte diversité des prestataires consultés par les individus malades.</w:t>
      </w:r>
    </w:p>
    <w:p>
      <w:pPr>
        <w:pStyle w:val="BodyText"/>
      </w:pPr>
      <w:r>
        <w:t xml:space="preserve">Le tableau indique que le prestataire le plus fréquemment consulté est le « chemist », qui représente environ 41,7 % des consultations. Le graphique confirme visuellement cette domination en montrant que cette catégorie dépasse largement les autres prestataires.</w:t>
      </w:r>
    </w:p>
    <w:p>
      <w:pPr>
        <w:pStyle w:val="BodyText"/>
      </w:pPr>
      <w:r>
        <w:t xml:space="preserve">Les consultations auprès de médecins arrivent en deuxième position avec environ 20,7 % des cas. Bien que les médecins représentent un acteur central du système de santé formel, leur fréquence relativement plus faible suggère que de nombreux individus privilégient des solutions plus accessibles ou moins coûteuses.</w:t>
      </w:r>
    </w:p>
    <w:p>
      <w:pPr>
        <w:pStyle w:val="BodyText"/>
      </w:pPr>
      <w:r>
        <w:t xml:space="preserve">Par ailleurs, environ 14,1 % des individus déclarent ne consulter aucun prestataire malgré un épisode de maladie. Cette proportion est mise en évidence dans le graphique et peut refléter plusieurs facteurs, notamment des contraintes financières, une perception de faible gravité de la maladie ou encore le recours à l’automédication.</w:t>
      </w:r>
    </w:p>
    <w:p>
      <w:pPr>
        <w:pStyle w:val="BodyText"/>
      </w:pPr>
      <w:r>
        <w:t xml:space="preserve">La présence de prestataires traditionnels et communautaires, bien que minoritaire, témoigne également de la coexistence de systèmes de soins formels et informels dans le paysage sanitaire.</w:t>
      </w:r>
      <w:r>
        <w:t xml:space="preserve"> </w:t>
      </w:r>
      <w:r>
        <w:drawing>
          <wp:inline>
            <wp:extent cx="5334000" cy="2667000"/>
            <wp:effectExtent b="0" l="0" r="0" t="0"/>
            <wp:docPr descr="Recours aux soins par type de prestataire" title="" id="39" name="Picture"/>
            <a:graphic>
              <a:graphicData uri="http://schemas.openxmlformats.org/drawingml/2006/picture">
                <pic:pic>
                  <pic:nvPicPr>
                    <pic:cNvPr descr="TP3_Sante_Rapport_files/figure-docx/t15-graph-1.png" id="40" name="Picture"/>
                    <pic:cNvPicPr>
                      <a:picLocks noChangeArrowheads="1" noChangeAspect="1"/>
                    </pic:cNvPicPr>
                  </pic:nvPicPr>
                  <pic:blipFill>
                    <a:blip r:embed="rId38"/>
                    <a:stretch>
                      <a:fillRect/>
                    </a:stretch>
                  </pic:blipFill>
                  <pic:spPr bwMode="auto">
                    <a:xfrm>
                      <a:off x="0" y="0"/>
                      <a:ext cx="5334000" cy="2667000"/>
                    </a:xfrm>
                    <a:prstGeom prst="rect">
                      <a:avLst/>
                    </a:prstGeom>
                    <a:noFill/>
                    <a:ln w="9525">
                      <a:noFill/>
                      <a:headEnd/>
                      <a:tailEnd/>
                    </a:ln>
                  </pic:spPr>
                </pic:pic>
              </a:graphicData>
            </a:graphic>
          </wp:inline>
        </w:drawing>
      </w:r>
    </w:p>
    <w:p>
      <w:r>
        <w:pict>
          <v:rect style="width:0;height:1.5pt" o:hralign="center" o:hrstd="t" o:hr="t"/>
        </w:pict>
      </w:r>
    </w:p>
    <w:bookmarkEnd w:id="41"/>
    <w:bookmarkEnd w:id="42"/>
    <w:bookmarkStart w:id="47" w:name="Xcc174f081711baa4ab03919636450d1006fb997"/>
    <w:p>
      <w:pPr>
        <w:pStyle w:val="Heading1"/>
      </w:pPr>
      <w:r>
        <w:rPr>
          <w:rStyle w:val="SectionNumber"/>
        </w:rPr>
        <w:t xml:space="preserve">5</w:t>
      </w:r>
      <w:r>
        <w:tab/>
      </w:r>
      <w:r>
        <w:t xml:space="preserve">Tâche 16 — Distribution des dépenses de santé</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Tableau 7 — Statistiques descriptives des dépenses de santé (Nairas)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2AABB7"/>
              <w:top w:val="single" w:sz="12" w:space="0" w:color="2AABB7"/>
              <w:left w:val="single" w:sz="12" w:space="0" w:color="2AABB7"/>
              <w:right w:val="none" w:sz="0" w:space="0" w:color="000000"/>
            </w:tcBorders>
            <w:shd w:val="clear" w:color="auto" w:fill="1C1C2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FFFFFF"/>
              </w:rPr>
              <w:t xml:space="preserve">Statistique</w:t>
            </w:r>
          </w:p>
        </w:tc>
        <w:tc>
          <w:tcPr>
            <w:tcBorders>
              <w:bottom w:val="single" w:sz="12" w:space="0" w:color="2AABB7"/>
              <w:top w:val="single" w:sz="12" w:space="0" w:color="2AABB7"/>
              <w:left w:val="none" w:sz="0" w:space="0" w:color="000000"/>
              <w:right w:val="single" w:sz="12" w:space="0" w:color="2AABB7"/>
            </w:tcBorders>
            <w:shd w:val="clear" w:color="auto" w:fill="1C1C2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FFFFFF"/>
              </w:rPr>
              <w:t xml:space="preserve">Valeur</w:t>
            </w:r>
          </w:p>
        </w:tc>
      </w:tr>
      <w:tr>
        <w:trPr>
          <w:trHeight w:val="360" w:hRule="auto"/>
        </w:trPr>
        <w:tc>
          <w:tcPr>
            <w:tcBorders>
              <w:bottom w:val="single" w:sz="4" w:space="0" w:color="DDDDDD"/>
              <w:top w:val="single" w:sz="12" w:space="0" w:color="2AABB7"/>
              <w:left w:val="single" w:sz="12" w:space="0" w:color="2AABB7"/>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 individus avec dépenses</w:t>
            </w:r>
          </w:p>
        </w:tc>
        <w:tc>
          <w:tcPr>
            <w:tcBorders>
              <w:bottom w:val="single" w:sz="4" w:space="0" w:color="DDDDDD"/>
              <w:top w:val="single" w:sz="12" w:space="0" w:color="2AABB7"/>
              <w:left w:val="none" w:sz="0" w:space="0" w:color="000000"/>
              <w:right w:val="single" w:sz="12" w:space="0" w:color="2AABB7"/>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8 348</w:t>
            </w:r>
          </w:p>
        </w:tc>
      </w:tr>
      <w:tr>
        <w:trPr>
          <w:trHeight w:val="360" w:hRule="auto"/>
        </w:trPr>
        <w:tc>
          <w:tcPr>
            <w:tcBorders>
              <w:bottom w:val="single" w:sz="4" w:space="0" w:color="DDDDDD"/>
              <w:top w:val="single" w:sz="4" w:space="0" w:color="DDDDDD"/>
              <w:left w:val="single" w:sz="12" w:space="0" w:color="2AABB7"/>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 individus sans dépenses / manquants</w:t>
            </w:r>
          </w:p>
        </w:tc>
        <w:tc>
          <w:tcPr>
            <w:tcBorders>
              <w:bottom w:val="single" w:sz="4" w:space="0" w:color="DDDDDD"/>
              <w:top w:val="single" w:sz="4" w:space="0" w:color="DDDDDD"/>
              <w:left w:val="none" w:sz="0" w:space="0" w:color="000000"/>
              <w:right w:val="single" w:sz="12" w:space="0" w:color="2AABB7"/>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18 208</w:t>
            </w:r>
          </w:p>
        </w:tc>
      </w:tr>
      <w:tr>
        <w:trPr>
          <w:trHeight w:val="360" w:hRule="auto"/>
        </w:trPr>
        <w:tc>
          <w:tcPr>
            <w:tcBorders>
              <w:bottom w:val="single" w:sz="4" w:space="0" w:color="DDDDDD"/>
              <w:top w:val="single" w:sz="4" w:space="0" w:color="DDDDDD"/>
              <w:left w:val="single" w:sz="12" w:space="0" w:color="2AABB7"/>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Moyenne (Nairas)</w:t>
            </w:r>
          </w:p>
        </w:tc>
        <w:tc>
          <w:tcPr>
            <w:tcBorders>
              <w:bottom w:val="single" w:sz="4" w:space="0" w:color="DDDDDD"/>
              <w:top w:val="single" w:sz="4" w:space="0" w:color="DDDDDD"/>
              <w:left w:val="none" w:sz="0" w:space="0" w:color="000000"/>
              <w:right w:val="single" w:sz="12" w:space="0" w:color="2AABB7"/>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2 039</w:t>
            </w:r>
          </w:p>
        </w:tc>
      </w:tr>
      <w:tr>
        <w:trPr>
          <w:trHeight w:val="360" w:hRule="auto"/>
        </w:trPr>
        <w:tc>
          <w:tcPr>
            <w:tcBorders>
              <w:bottom w:val="single" w:sz="4" w:space="0" w:color="DDDDDD"/>
              <w:top w:val="single" w:sz="4" w:space="0" w:color="DDDDDD"/>
              <w:left w:val="single" w:sz="12" w:space="0" w:color="2AABB7"/>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Médiane (Nairas)</w:t>
            </w:r>
          </w:p>
        </w:tc>
        <w:tc>
          <w:tcPr>
            <w:tcBorders>
              <w:bottom w:val="single" w:sz="4" w:space="0" w:color="DDDDDD"/>
              <w:top w:val="single" w:sz="4" w:space="0" w:color="DDDDDD"/>
              <w:left w:val="none" w:sz="0" w:space="0" w:color="000000"/>
              <w:right w:val="single" w:sz="12" w:space="0" w:color="2AABB7"/>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800</w:t>
            </w:r>
          </w:p>
        </w:tc>
      </w:tr>
      <w:tr>
        <w:trPr>
          <w:trHeight w:val="360" w:hRule="auto"/>
        </w:trPr>
        <w:tc>
          <w:tcPr>
            <w:tcBorders>
              <w:bottom w:val="single" w:sz="4" w:space="0" w:color="DDDDDD"/>
              <w:top w:val="single" w:sz="4" w:space="0" w:color="DDDDDD"/>
              <w:left w:val="single" w:sz="12" w:space="0" w:color="2AABB7"/>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Écart-type</w:t>
            </w:r>
          </w:p>
        </w:tc>
        <w:tc>
          <w:tcPr>
            <w:tcBorders>
              <w:bottom w:val="single" w:sz="4" w:space="0" w:color="DDDDDD"/>
              <w:top w:val="single" w:sz="4" w:space="0" w:color="DDDDDD"/>
              <w:left w:val="none" w:sz="0" w:space="0" w:color="000000"/>
              <w:right w:val="single" w:sz="12" w:space="0" w:color="2AABB7"/>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4 533</w:t>
            </w:r>
          </w:p>
        </w:tc>
      </w:tr>
      <w:tr>
        <w:trPr>
          <w:trHeight w:val="360" w:hRule="auto"/>
        </w:trPr>
        <w:tc>
          <w:tcPr>
            <w:tcBorders>
              <w:bottom w:val="single" w:sz="4" w:space="0" w:color="DDDDDD"/>
              <w:top w:val="single" w:sz="4" w:space="0" w:color="DDDDDD"/>
              <w:left w:val="single" w:sz="12" w:space="0" w:color="2AABB7"/>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Q1 (25e percentile)</w:t>
            </w:r>
          </w:p>
        </w:tc>
        <w:tc>
          <w:tcPr>
            <w:tcBorders>
              <w:bottom w:val="single" w:sz="4" w:space="0" w:color="DDDDDD"/>
              <w:top w:val="single" w:sz="4" w:space="0" w:color="DDDDDD"/>
              <w:left w:val="none" w:sz="0" w:space="0" w:color="000000"/>
              <w:right w:val="single" w:sz="12" w:space="0" w:color="2AABB7"/>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350</w:t>
            </w:r>
          </w:p>
        </w:tc>
      </w:tr>
      <w:tr>
        <w:trPr>
          <w:trHeight w:val="360" w:hRule="auto"/>
        </w:trPr>
        <w:tc>
          <w:tcPr>
            <w:tcBorders>
              <w:bottom w:val="single" w:sz="4" w:space="0" w:color="DDDDDD"/>
              <w:top w:val="single" w:sz="4" w:space="0" w:color="DDDDDD"/>
              <w:left w:val="single" w:sz="12" w:space="0" w:color="2AABB7"/>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Q3 (75e percentile)</w:t>
            </w:r>
          </w:p>
        </w:tc>
        <w:tc>
          <w:tcPr>
            <w:tcBorders>
              <w:bottom w:val="single" w:sz="4" w:space="0" w:color="DDDDDD"/>
              <w:top w:val="single" w:sz="4" w:space="0" w:color="DDDDDD"/>
              <w:left w:val="none" w:sz="0" w:space="0" w:color="000000"/>
              <w:right w:val="single" w:sz="12" w:space="0" w:color="2AABB7"/>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2 000</w:t>
            </w:r>
          </w:p>
        </w:tc>
      </w:tr>
      <w:tr>
        <w:trPr>
          <w:trHeight w:val="360" w:hRule="auto"/>
        </w:trPr>
        <w:tc>
          <w:tcPr>
            <w:tcBorders>
              <w:bottom w:val="single" w:sz="4" w:space="0" w:color="DDDDDD"/>
              <w:top w:val="single" w:sz="4" w:space="0" w:color="DDDDDD"/>
              <w:left w:val="single" w:sz="12" w:space="0" w:color="2AABB7"/>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IQR</w:t>
            </w:r>
          </w:p>
        </w:tc>
        <w:tc>
          <w:tcPr>
            <w:tcBorders>
              <w:bottom w:val="single" w:sz="4" w:space="0" w:color="DDDDDD"/>
              <w:top w:val="single" w:sz="4" w:space="0" w:color="DDDDDD"/>
              <w:left w:val="none" w:sz="0" w:space="0" w:color="000000"/>
              <w:right w:val="single" w:sz="12" w:space="0" w:color="2AABB7"/>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1 650</w:t>
            </w:r>
          </w:p>
        </w:tc>
      </w:tr>
      <w:tr>
        <w:trPr>
          <w:trHeight w:val="360" w:hRule="auto"/>
        </w:trPr>
        <w:tc>
          <w:tcPr>
            <w:tcBorders>
              <w:bottom w:val="single" w:sz="4" w:space="0" w:color="DDDDDD"/>
              <w:top w:val="single" w:sz="4" w:space="0" w:color="DDDDDD"/>
              <w:left w:val="single" w:sz="12" w:space="0" w:color="2AABB7"/>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Minimum</w:t>
            </w:r>
          </w:p>
        </w:tc>
        <w:tc>
          <w:tcPr>
            <w:tcBorders>
              <w:bottom w:val="single" w:sz="4" w:space="0" w:color="DDDDDD"/>
              <w:top w:val="single" w:sz="4" w:space="0" w:color="DDDDDD"/>
              <w:left w:val="none" w:sz="0" w:space="0" w:color="000000"/>
              <w:right w:val="single" w:sz="12" w:space="0" w:color="2AABB7"/>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w:t>
            </w:r>
          </w:p>
        </w:tc>
      </w:tr>
      <w:tr>
        <w:trPr>
          <w:trHeight w:val="360" w:hRule="auto"/>
        </w:trPr>
        <w:tc>
          <w:tcPr>
            <w:tcBorders>
              <w:bottom w:val="single" w:sz="12" w:space="0" w:color="2AABB7"/>
              <w:top w:val="single" w:sz="4" w:space="0" w:color="DDDDDD"/>
              <w:left w:val="single" w:sz="12" w:space="0" w:color="2AABB7"/>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Maximum</w:t>
            </w:r>
          </w:p>
        </w:tc>
        <w:tc>
          <w:tcPr>
            <w:tcBorders>
              <w:bottom w:val="single" w:sz="12" w:space="0" w:color="2AABB7"/>
              <w:top w:val="single" w:sz="4" w:space="0" w:color="DDDDDD"/>
              <w:left w:val="none" w:sz="0" w:space="0" w:color="000000"/>
              <w:right w:val="single" w:sz="12" w:space="0" w:color="2AABB7"/>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121 200</w:t>
            </w:r>
          </w:p>
        </w:tc>
      </w:tr>
    </w:tbl>
    <w:bookmarkStart w:id="46" w:name="interprétation-3"/>
    <w:p>
      <w:pPr>
        <w:pStyle w:val="Heading3"/>
      </w:pPr>
      <w:r>
        <w:rPr>
          <w:rStyle w:val="SectionNumber"/>
        </w:rPr>
        <w:t xml:space="preserve">5.0.1</w:t>
      </w:r>
      <w:r>
        <w:tab/>
      </w:r>
      <w:r>
        <w:t xml:space="preserve">Interprétation</w:t>
      </w:r>
    </w:p>
    <w:p>
      <w:pPr>
        <w:pStyle w:val="FirstParagraph"/>
      </w:pPr>
      <w:r>
        <w:t xml:space="preserve">L’analyse des dépenses de santé concerne 8 348 individus ayant déclaré des dépenses strictement positives.</w:t>
      </w:r>
    </w:p>
    <w:p>
      <w:pPr>
        <w:pStyle w:val="BodyText"/>
      </w:pPr>
      <w:r>
        <w:t xml:space="preserve">Les statistiques descriptives indiquent une distribution fortement asymétrique à droite. La moyenne des dépenses (2 039 Nairas) est nettement supérieure à la médiane (800 Nairas), ce qui traduit l’influence de quelques dépenses particulièrement élevées.</w:t>
      </w:r>
    </w:p>
    <w:p>
      <w:pPr>
        <w:pStyle w:val="BodyText"/>
      </w:pPr>
      <w:r>
        <w:t xml:space="preserve">Le graphique représentant la distribution des dépenses en échelle logarithmique permet de visualiser plus clairement cette asymétrie. La transformation logarithmique réduit l’influence des valeurs extrêmes et met en évidence la forte concentration des observations autour de montants relativement faibles.</w:t>
      </w:r>
    </w:p>
    <w:p>
      <w:pPr>
        <w:pStyle w:val="BodyText"/>
      </w:pPr>
      <w:r>
        <w:t xml:space="preserve">La majorité des individus supporte donc des dépenses modestes, tandis qu’une minorité fait face à des coûts très élevés, comme en témoigne la valeur maximale de plus de 120 000 Nairas. La présence de ces valeurs extrêmes suggère l’existence de dépenses potentiellement catastrophiques pour certains ménages, notamment en cas de maladies graves ou d’hospitalisation.</w:t>
      </w:r>
    </w:p>
    <w:p>
      <w:pPr>
        <w:pStyle w:val="BodyText"/>
      </w:pPr>
      <w:r>
        <w:t xml:space="preserve">L’analyse par déciles confirme cette forte dispersion, avec une augmentation rapide des montants dans les déciles supérieurs.</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Tableau 8 — Dépenses de santé par décile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2AABB7"/>
              <w:top w:val="single" w:sz="12" w:space="0" w:color="2AABB7"/>
              <w:left w:val="single" w:sz="12" w:space="0" w:color="2AABB7"/>
              <w:right w:val="none" w:sz="0" w:space="0" w:color="000000"/>
            </w:tcBorders>
            <w:shd w:val="clear" w:color="auto" w:fill="1C1C2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FFFFFF"/>
              </w:rPr>
              <w:t xml:space="preserve">Décile</w:t>
            </w:r>
          </w:p>
        </w:tc>
        <w:tc>
          <w:tcPr>
            <w:tcBorders>
              <w:bottom w:val="single" w:sz="12" w:space="0" w:color="2AABB7"/>
              <w:top w:val="single" w:sz="12" w:space="0" w:color="2AABB7"/>
              <w:left w:val="none" w:sz="0" w:space="0" w:color="000000"/>
              <w:right w:val="single" w:sz="12" w:space="0" w:color="2AABB7"/>
            </w:tcBorders>
            <w:shd w:val="clear" w:color="auto" w:fill="1C1C2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FFFFFF"/>
              </w:rPr>
              <w:t xml:space="preserve">Montant (Nairas)</w:t>
            </w:r>
          </w:p>
        </w:tc>
      </w:tr>
      <w:tr>
        <w:trPr>
          <w:trHeight w:val="360" w:hRule="auto"/>
        </w:trPr>
        <w:tc>
          <w:tcPr>
            <w:tcBorders>
              <w:bottom w:val="single" w:sz="4" w:space="0" w:color="DDDDDD"/>
              <w:top w:val="single" w:sz="12" w:space="0" w:color="2AABB7"/>
              <w:left w:val="single" w:sz="12" w:space="0" w:color="2AABB7"/>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D1</w:t>
            </w:r>
          </w:p>
        </w:tc>
        <w:tc>
          <w:tcPr>
            <w:tcBorders>
              <w:bottom w:val="single" w:sz="4" w:space="0" w:color="DDDDDD"/>
              <w:top w:val="single" w:sz="12" w:space="0" w:color="2AABB7"/>
              <w:left w:val="none" w:sz="0" w:space="0" w:color="000000"/>
              <w:right w:val="single" w:sz="12" w:space="0" w:color="2AABB7"/>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150</w:t>
            </w:r>
          </w:p>
        </w:tc>
      </w:tr>
      <w:tr>
        <w:trPr>
          <w:trHeight w:val="360" w:hRule="auto"/>
        </w:trPr>
        <w:tc>
          <w:tcPr>
            <w:tcBorders>
              <w:bottom w:val="single" w:sz="4" w:space="0" w:color="DDDDDD"/>
              <w:top w:val="single" w:sz="4" w:space="0" w:color="DDDDDD"/>
              <w:left w:val="single" w:sz="12" w:space="0" w:color="2AABB7"/>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D2</w:t>
            </w:r>
          </w:p>
        </w:tc>
        <w:tc>
          <w:tcPr>
            <w:tcBorders>
              <w:bottom w:val="single" w:sz="4" w:space="0" w:color="DDDDDD"/>
              <w:top w:val="single" w:sz="4" w:space="0" w:color="DDDDDD"/>
              <w:left w:val="none" w:sz="0" w:space="0" w:color="000000"/>
              <w:right w:val="single" w:sz="12" w:space="0" w:color="2AABB7"/>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270</w:t>
            </w:r>
          </w:p>
        </w:tc>
      </w:tr>
      <w:tr>
        <w:trPr>
          <w:trHeight w:val="360" w:hRule="auto"/>
        </w:trPr>
        <w:tc>
          <w:tcPr>
            <w:tcBorders>
              <w:bottom w:val="single" w:sz="4" w:space="0" w:color="DDDDDD"/>
              <w:top w:val="single" w:sz="4" w:space="0" w:color="DDDDDD"/>
              <w:left w:val="single" w:sz="12" w:space="0" w:color="2AABB7"/>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D3</w:t>
            </w:r>
          </w:p>
        </w:tc>
        <w:tc>
          <w:tcPr>
            <w:tcBorders>
              <w:bottom w:val="single" w:sz="4" w:space="0" w:color="DDDDDD"/>
              <w:top w:val="single" w:sz="4" w:space="0" w:color="DDDDDD"/>
              <w:left w:val="none" w:sz="0" w:space="0" w:color="000000"/>
              <w:right w:val="single" w:sz="12" w:space="0" w:color="2AABB7"/>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450</w:t>
            </w:r>
          </w:p>
        </w:tc>
      </w:tr>
      <w:tr>
        <w:trPr>
          <w:trHeight w:val="360" w:hRule="auto"/>
        </w:trPr>
        <w:tc>
          <w:tcPr>
            <w:tcBorders>
              <w:bottom w:val="single" w:sz="4" w:space="0" w:color="DDDDDD"/>
              <w:top w:val="single" w:sz="4" w:space="0" w:color="DDDDDD"/>
              <w:left w:val="single" w:sz="12" w:space="0" w:color="2AABB7"/>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D4</w:t>
            </w:r>
          </w:p>
        </w:tc>
        <w:tc>
          <w:tcPr>
            <w:tcBorders>
              <w:bottom w:val="single" w:sz="4" w:space="0" w:color="DDDDDD"/>
              <w:top w:val="single" w:sz="4" w:space="0" w:color="DDDDDD"/>
              <w:left w:val="none" w:sz="0" w:space="0" w:color="000000"/>
              <w:right w:val="single" w:sz="12" w:space="0" w:color="2AABB7"/>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550</w:t>
            </w:r>
          </w:p>
        </w:tc>
      </w:tr>
      <w:tr>
        <w:trPr>
          <w:trHeight w:val="360" w:hRule="auto"/>
        </w:trPr>
        <w:tc>
          <w:tcPr>
            <w:tcBorders>
              <w:bottom w:val="single" w:sz="4" w:space="0" w:color="DDDDDD"/>
              <w:top w:val="single" w:sz="4" w:space="0" w:color="DDDDDD"/>
              <w:left w:val="single" w:sz="12" w:space="0" w:color="2AABB7"/>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D5</w:t>
            </w:r>
          </w:p>
        </w:tc>
        <w:tc>
          <w:tcPr>
            <w:tcBorders>
              <w:bottom w:val="single" w:sz="4" w:space="0" w:color="DDDDDD"/>
              <w:top w:val="single" w:sz="4" w:space="0" w:color="DDDDDD"/>
              <w:left w:val="none" w:sz="0" w:space="0" w:color="000000"/>
              <w:right w:val="single" w:sz="12" w:space="0" w:color="2AABB7"/>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800</w:t>
            </w:r>
          </w:p>
        </w:tc>
      </w:tr>
      <w:tr>
        <w:trPr>
          <w:trHeight w:val="360" w:hRule="auto"/>
        </w:trPr>
        <w:tc>
          <w:tcPr>
            <w:tcBorders>
              <w:bottom w:val="single" w:sz="4" w:space="0" w:color="DDDDDD"/>
              <w:top w:val="single" w:sz="4" w:space="0" w:color="DDDDDD"/>
              <w:left w:val="single" w:sz="12" w:space="0" w:color="2AABB7"/>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D6</w:t>
            </w:r>
          </w:p>
        </w:tc>
        <w:tc>
          <w:tcPr>
            <w:tcBorders>
              <w:bottom w:val="single" w:sz="4" w:space="0" w:color="DDDDDD"/>
              <w:top w:val="single" w:sz="4" w:space="0" w:color="DDDDDD"/>
              <w:left w:val="none" w:sz="0" w:space="0" w:color="000000"/>
              <w:right w:val="single" w:sz="12" w:space="0" w:color="2AABB7"/>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1 200</w:t>
            </w:r>
          </w:p>
        </w:tc>
      </w:tr>
      <w:tr>
        <w:trPr>
          <w:trHeight w:val="360" w:hRule="auto"/>
        </w:trPr>
        <w:tc>
          <w:tcPr>
            <w:tcBorders>
              <w:bottom w:val="single" w:sz="4" w:space="0" w:color="DDDDDD"/>
              <w:top w:val="single" w:sz="4" w:space="0" w:color="DDDDDD"/>
              <w:left w:val="single" w:sz="12" w:space="0" w:color="2AABB7"/>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D7</w:t>
            </w:r>
          </w:p>
        </w:tc>
        <w:tc>
          <w:tcPr>
            <w:tcBorders>
              <w:bottom w:val="single" w:sz="4" w:space="0" w:color="DDDDDD"/>
              <w:top w:val="single" w:sz="4" w:space="0" w:color="DDDDDD"/>
              <w:left w:val="none" w:sz="0" w:space="0" w:color="000000"/>
              <w:right w:val="single" w:sz="12" w:space="0" w:color="2AABB7"/>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1 600</w:t>
            </w:r>
          </w:p>
        </w:tc>
      </w:tr>
      <w:tr>
        <w:trPr>
          <w:trHeight w:val="360" w:hRule="auto"/>
        </w:trPr>
        <w:tc>
          <w:tcPr>
            <w:tcBorders>
              <w:bottom w:val="single" w:sz="4" w:space="0" w:color="DDDDDD"/>
              <w:top w:val="single" w:sz="4" w:space="0" w:color="DDDDDD"/>
              <w:left w:val="single" w:sz="12" w:space="0" w:color="2AABB7"/>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D8</w:t>
            </w:r>
          </w:p>
        </w:tc>
        <w:tc>
          <w:tcPr>
            <w:tcBorders>
              <w:bottom w:val="single" w:sz="4" w:space="0" w:color="DDDDDD"/>
              <w:top w:val="single" w:sz="4" w:space="0" w:color="DDDDDD"/>
              <w:left w:val="none" w:sz="0" w:space="0" w:color="000000"/>
              <w:right w:val="single" w:sz="12" w:space="0" w:color="2AABB7"/>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2 500</w:t>
            </w:r>
          </w:p>
        </w:tc>
      </w:tr>
      <w:tr>
        <w:trPr>
          <w:trHeight w:val="360" w:hRule="auto"/>
        </w:trPr>
        <w:tc>
          <w:tcPr>
            <w:tcBorders>
              <w:bottom w:val="single" w:sz="4" w:space="0" w:color="DDDDDD"/>
              <w:top w:val="single" w:sz="4" w:space="0" w:color="DDDDDD"/>
              <w:left w:val="single" w:sz="12" w:space="0" w:color="2AABB7"/>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D9</w:t>
            </w:r>
          </w:p>
        </w:tc>
        <w:tc>
          <w:tcPr>
            <w:tcBorders>
              <w:bottom w:val="single" w:sz="4" w:space="0" w:color="DDDDDD"/>
              <w:top w:val="single" w:sz="4" w:space="0" w:color="DDDDDD"/>
              <w:left w:val="none" w:sz="0" w:space="0" w:color="000000"/>
              <w:right w:val="single" w:sz="12" w:space="0" w:color="2AABB7"/>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4 700</w:t>
            </w:r>
          </w:p>
        </w:tc>
      </w:tr>
      <w:tr>
        <w:trPr>
          <w:trHeight w:val="360" w:hRule="auto"/>
        </w:trPr>
        <w:tc>
          <w:tcPr>
            <w:tcBorders>
              <w:bottom w:val="single" w:sz="12" w:space="0" w:color="2AABB7"/>
              <w:top w:val="single" w:sz="4" w:space="0" w:color="DDDDDD"/>
              <w:left w:val="single" w:sz="12" w:space="0" w:color="2AABB7"/>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D10</w:t>
            </w:r>
          </w:p>
        </w:tc>
        <w:tc>
          <w:tcPr>
            <w:tcBorders>
              <w:bottom w:val="single" w:sz="12" w:space="0" w:color="2AABB7"/>
              <w:top w:val="single" w:sz="4" w:space="0" w:color="DDDDDD"/>
              <w:left w:val="none" w:sz="0" w:space="0" w:color="000000"/>
              <w:right w:val="single" w:sz="12" w:space="0" w:color="2AABB7"/>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121 200</w:t>
            </w:r>
          </w:p>
        </w:tc>
      </w:tr>
    </w:tbl>
    <w:p>
      <w:pPr>
        <w:pStyle w:val="CaptionedFigure"/>
      </w:pPr>
      <w:r>
        <w:drawing>
          <wp:inline>
            <wp:extent cx="5334000" cy="2667000"/>
            <wp:effectExtent b="0" l="0" r="0" t="0"/>
            <wp:docPr descr="Distribution des dépenses de santé — Échelle logarithmique" title="" id="44" name="Picture"/>
            <a:graphic>
              <a:graphicData uri="http://schemas.openxmlformats.org/drawingml/2006/picture">
                <pic:pic>
                  <pic:nvPicPr>
                    <pic:cNvPr descr="TP3_Sante_Rapport_files/figure-docx/t16-hist-1.png" id="45" name="Picture"/>
                    <pic:cNvPicPr>
                      <a:picLocks noChangeArrowheads="1" noChangeAspect="1"/>
                    </pic:cNvPicPr>
                  </pic:nvPicPr>
                  <pic:blipFill>
                    <a:blip r:embed="rId43"/>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Distribution des dépenses de santé — Échelle logarithmique</w:t>
      </w:r>
    </w:p>
    <w:p>
      <w:r>
        <w:pict>
          <v:rect style="width:0;height:1.5pt" o:hralign="center" o:hrstd="t" o:hr="t"/>
        </w:pict>
      </w:r>
    </w:p>
    <w:bookmarkEnd w:id="46"/>
    <w:bookmarkEnd w:id="47"/>
    <w:bookmarkStart w:id="52" w:name="Xf8666285144dd2bdb86af1767e46ea8f01eb414"/>
    <w:p>
      <w:pPr>
        <w:pStyle w:val="Heading1"/>
      </w:pPr>
      <w:r>
        <w:rPr>
          <w:rStyle w:val="SectionNumber"/>
        </w:rPr>
        <w:t xml:space="preserve">6</w:t>
      </w:r>
      <w:r>
        <w:tab/>
      </w:r>
      <w:r>
        <w:t xml:space="preserve">Tâche 17 — Recours aux soins × Quintile de richesse</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Tableau 9 — Taux de consultation par quintile de richesse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2AABB7"/>
              <w:top w:val="single" w:sz="12" w:space="0" w:color="2AABB7"/>
              <w:left w:val="single" w:sz="12" w:space="0" w:color="2AABB7"/>
              <w:right w:val="none" w:sz="0" w:space="0" w:color="000000"/>
            </w:tcBorders>
            <w:shd w:val="clear" w:color="auto" w:fill="1C1C2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FFFFFF"/>
              </w:rPr>
              <w:t xml:space="preserve">Quintile</w:t>
            </w:r>
          </w:p>
        </w:tc>
        <w:tc>
          <w:tcPr>
            <w:tcBorders>
              <w:bottom w:val="single" w:sz="12" w:space="0" w:color="2AABB7"/>
              <w:top w:val="single" w:sz="12" w:space="0" w:color="2AABB7"/>
              <w:left w:val="none" w:sz="0" w:space="0" w:color="000000"/>
              <w:right w:val="none" w:sz="0" w:space="0" w:color="000000"/>
            </w:tcBorders>
            <w:shd w:val="clear" w:color="auto" w:fill="1C1C2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FFFFFF"/>
              </w:rPr>
              <w:t xml:space="preserve">N total</w:t>
            </w:r>
          </w:p>
        </w:tc>
        <w:tc>
          <w:tcPr>
            <w:tcBorders>
              <w:bottom w:val="single" w:sz="12" w:space="0" w:color="2AABB7"/>
              <w:top w:val="single" w:sz="12" w:space="0" w:color="2AABB7"/>
              <w:left w:val="none" w:sz="0" w:space="0" w:color="000000"/>
              <w:right w:val="none" w:sz="0" w:space="0" w:color="000000"/>
            </w:tcBorders>
            <w:shd w:val="clear" w:color="auto" w:fill="1C1C2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FFFFFF"/>
              </w:rPr>
              <w:t xml:space="preserve">N consultés</w:t>
            </w:r>
          </w:p>
        </w:tc>
        <w:tc>
          <w:tcPr>
            <w:tcBorders>
              <w:bottom w:val="single" w:sz="12" w:space="0" w:color="2AABB7"/>
              <w:top w:val="single" w:sz="12" w:space="0" w:color="2AABB7"/>
              <w:left w:val="none" w:sz="0" w:space="0" w:color="000000"/>
              <w:right w:val="none" w:sz="0" w:space="0" w:color="000000"/>
            </w:tcBorders>
            <w:shd w:val="clear" w:color="auto" w:fill="1C1C2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FFFFFF"/>
              </w:rPr>
              <w:t xml:space="preserve">Taux (%)</w:t>
            </w:r>
          </w:p>
        </w:tc>
        <w:tc>
          <w:tcPr>
            <w:tcBorders>
              <w:bottom w:val="single" w:sz="12" w:space="0" w:color="2AABB7"/>
              <w:top w:val="single" w:sz="12" w:space="0" w:color="2AABB7"/>
              <w:left w:val="none" w:sz="0" w:space="0" w:color="000000"/>
              <w:right w:val="none" w:sz="0" w:space="0" w:color="000000"/>
            </w:tcBorders>
            <w:shd w:val="clear" w:color="auto" w:fill="1C1C2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FFFFFF"/>
              </w:rPr>
              <w:t xml:space="preserve">IC inf. 95%</w:t>
            </w:r>
          </w:p>
        </w:tc>
        <w:tc>
          <w:tcPr>
            <w:tcBorders>
              <w:bottom w:val="single" w:sz="12" w:space="0" w:color="2AABB7"/>
              <w:top w:val="single" w:sz="12" w:space="0" w:color="2AABB7"/>
              <w:left w:val="none" w:sz="0" w:space="0" w:color="000000"/>
              <w:right w:val="single" w:sz="12" w:space="0" w:color="2AABB7"/>
            </w:tcBorders>
            <w:shd w:val="clear" w:color="auto" w:fill="1C1C2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FFFFFF"/>
              </w:rPr>
              <w:t xml:space="preserve">IC sup. 95%</w:t>
            </w:r>
          </w:p>
        </w:tc>
      </w:tr>
      <w:tr>
        <w:trPr>
          <w:trHeight w:val="360" w:hRule="auto"/>
        </w:trPr>
        <w:tc>
          <w:tcPr>
            <w:tcBorders>
              <w:bottom w:val="single" w:sz="4" w:space="0" w:color="DDDDDD"/>
              <w:top w:val="single" w:sz="12" w:space="0" w:color="2AABB7"/>
              <w:left w:val="single" w:sz="12" w:space="0" w:color="2AABB7"/>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Q1 (Pauvres)</w:t>
            </w:r>
          </w:p>
        </w:tc>
        <w:tc>
          <w:tcPr>
            <w:tcBorders>
              <w:bottom w:val="single" w:sz="4" w:space="0" w:color="DDDDDD"/>
              <w:top w:val="single" w:sz="12" w:space="0" w:color="2AABB7"/>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7,950</w:t>
            </w:r>
          </w:p>
        </w:tc>
        <w:tc>
          <w:tcPr>
            <w:tcBorders>
              <w:bottom w:val="single" w:sz="4" w:space="0" w:color="DDDDDD"/>
              <w:top w:val="single" w:sz="12" w:space="0" w:color="2AABB7"/>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961</w:t>
            </w:r>
          </w:p>
        </w:tc>
        <w:tc>
          <w:tcPr>
            <w:tcBorders>
              <w:bottom w:val="single" w:sz="4" w:space="0" w:color="DDDDDD"/>
              <w:top w:val="single" w:sz="12" w:space="0" w:color="2AABB7"/>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12.1 %</w:t>
            </w:r>
          </w:p>
        </w:tc>
        <w:tc>
          <w:tcPr>
            <w:tcBorders>
              <w:bottom w:val="single" w:sz="4" w:space="0" w:color="DDDDDD"/>
              <w:top w:val="single" w:sz="12" w:space="0" w:color="2AABB7"/>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11.4 %</w:t>
            </w:r>
          </w:p>
        </w:tc>
        <w:tc>
          <w:tcPr>
            <w:tcBorders>
              <w:bottom w:val="single" w:sz="4" w:space="0" w:color="DDDDDD"/>
              <w:top w:val="single" w:sz="12" w:space="0" w:color="2AABB7"/>
              <w:left w:val="none" w:sz="0" w:space="0" w:color="000000"/>
              <w:right w:val="single" w:sz="12" w:space="0" w:color="2AABB7"/>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12.8 %</w:t>
            </w:r>
          </w:p>
        </w:tc>
      </w:tr>
      <w:tr>
        <w:trPr>
          <w:trHeight w:val="360" w:hRule="auto"/>
        </w:trPr>
        <w:tc>
          <w:tcPr>
            <w:tcBorders>
              <w:bottom w:val="single" w:sz="4" w:space="0" w:color="DDDDDD"/>
              <w:top w:val="single" w:sz="4" w:space="0" w:color="DDDDDD"/>
              <w:left w:val="single" w:sz="12" w:space="0" w:color="2AABB7"/>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Q2</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6,233</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1,062</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17 %</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16.1 %</w:t>
            </w:r>
          </w:p>
        </w:tc>
        <w:tc>
          <w:tcPr>
            <w:tcBorders>
              <w:bottom w:val="single" w:sz="4" w:space="0" w:color="DDDDDD"/>
              <w:top w:val="single" w:sz="4" w:space="0" w:color="DDDDDD"/>
              <w:left w:val="none" w:sz="0" w:space="0" w:color="000000"/>
              <w:right w:val="single" w:sz="12" w:space="0" w:color="2AABB7"/>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18 %</w:t>
            </w:r>
          </w:p>
        </w:tc>
      </w:tr>
      <w:tr>
        <w:trPr>
          <w:trHeight w:val="360" w:hRule="auto"/>
        </w:trPr>
        <w:tc>
          <w:tcPr>
            <w:tcBorders>
              <w:bottom w:val="single" w:sz="4" w:space="0" w:color="DDDDDD"/>
              <w:top w:val="single" w:sz="4" w:space="0" w:color="DDDDDD"/>
              <w:left w:val="single" w:sz="12" w:space="0" w:color="2AABB7"/>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Q3</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5,157</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973</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18.9 %</w:t>
            </w:r>
          </w:p>
        </w:tc>
        <w:tc>
          <w:tcPr>
            <w:tcBorders>
              <w:bottom w:val="single" w:sz="4" w:space="0" w:color="DDDDDD"/>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17.8 %</w:t>
            </w:r>
          </w:p>
        </w:tc>
        <w:tc>
          <w:tcPr>
            <w:tcBorders>
              <w:bottom w:val="single" w:sz="4" w:space="0" w:color="DDDDDD"/>
              <w:top w:val="single" w:sz="4" w:space="0" w:color="DDDDDD"/>
              <w:left w:val="none" w:sz="0" w:space="0" w:color="000000"/>
              <w:right w:val="single" w:sz="12" w:space="0" w:color="2AABB7"/>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20 %</w:t>
            </w:r>
          </w:p>
        </w:tc>
      </w:tr>
      <w:tr>
        <w:trPr>
          <w:trHeight w:val="360" w:hRule="auto"/>
        </w:trPr>
        <w:tc>
          <w:tcPr>
            <w:tcBorders>
              <w:bottom w:val="single" w:sz="4" w:space="0" w:color="DDDDDD"/>
              <w:top w:val="single" w:sz="4" w:space="0" w:color="DDDDDD"/>
              <w:left w:val="single" w:sz="12" w:space="0" w:color="2AABB7"/>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Q4</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4,236</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951</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22.5 %</w:t>
            </w:r>
          </w:p>
        </w:tc>
        <w:tc>
          <w:tcPr>
            <w:tcBorders>
              <w:bottom w:val="single" w:sz="4" w:space="0" w:color="DDDDDD"/>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21.2 %</w:t>
            </w:r>
          </w:p>
        </w:tc>
        <w:tc>
          <w:tcPr>
            <w:tcBorders>
              <w:bottom w:val="single" w:sz="4" w:space="0" w:color="DDDDDD"/>
              <w:top w:val="single" w:sz="4" w:space="0" w:color="DDDDDD"/>
              <w:left w:val="none" w:sz="0" w:space="0" w:color="000000"/>
              <w:right w:val="single" w:sz="12" w:space="0" w:color="2AABB7"/>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23.7 %</w:t>
            </w:r>
          </w:p>
        </w:tc>
      </w:tr>
      <w:tr>
        <w:trPr>
          <w:trHeight w:val="360" w:hRule="auto"/>
        </w:trPr>
        <w:tc>
          <w:tcPr>
            <w:tcBorders>
              <w:bottom w:val="single" w:sz="12" w:space="0" w:color="2AABB7"/>
              <w:top w:val="single" w:sz="4" w:space="0" w:color="DDDDDD"/>
              <w:left w:val="single" w:sz="12" w:space="0" w:color="2AABB7"/>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Q5 (Riches)</w:t>
            </w:r>
          </w:p>
        </w:tc>
        <w:tc>
          <w:tcPr>
            <w:tcBorders>
              <w:bottom w:val="single" w:sz="12" w:space="0" w:color="2AABB7"/>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2,957</w:t>
            </w:r>
          </w:p>
        </w:tc>
        <w:tc>
          <w:tcPr>
            <w:tcBorders>
              <w:bottom w:val="single" w:sz="12" w:space="0" w:color="2AABB7"/>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774</w:t>
            </w:r>
          </w:p>
        </w:tc>
        <w:tc>
          <w:tcPr>
            <w:tcBorders>
              <w:bottom w:val="single" w:sz="12" w:space="0" w:color="2AABB7"/>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26.2 %</w:t>
            </w:r>
          </w:p>
        </w:tc>
        <w:tc>
          <w:tcPr>
            <w:tcBorders>
              <w:bottom w:val="single" w:sz="12" w:space="0" w:color="2AABB7"/>
              <w:top w:val="single" w:sz="4" w:space="0" w:color="DDDDDD"/>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24.6 %</w:t>
            </w:r>
          </w:p>
        </w:tc>
        <w:tc>
          <w:tcPr>
            <w:tcBorders>
              <w:bottom w:val="single" w:sz="12" w:space="0" w:color="2AABB7"/>
              <w:top w:val="single" w:sz="4" w:space="0" w:color="DDDDDD"/>
              <w:left w:val="none" w:sz="0" w:space="0" w:color="000000"/>
              <w:right w:val="single" w:sz="12" w:space="0" w:color="2AABB7"/>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27.8 %</w:t>
            </w:r>
          </w:p>
        </w:tc>
      </w:tr>
    </w:tbl>
    <w:bookmarkStart w:id="51" w:name="interprétation-4"/>
    <w:p>
      <w:pPr>
        <w:pStyle w:val="Heading3"/>
      </w:pPr>
      <w:r>
        <w:rPr>
          <w:rStyle w:val="SectionNumber"/>
        </w:rPr>
        <w:t xml:space="preserve">6.0.1</w:t>
      </w:r>
      <w:r>
        <w:tab/>
      </w:r>
      <w:r>
        <w:t xml:space="preserve">Interprétation</w:t>
      </w:r>
    </w:p>
    <w:p>
      <w:pPr>
        <w:pStyle w:val="FirstParagraph"/>
      </w:pPr>
      <w:r>
        <w:t xml:space="preserve">L’analyse de l’association entre le quintile de richesse et le recours aux soins met en évidence une relation statistiquement significative (test du Chi-deux, p-value &lt; 0,001).</w:t>
      </w:r>
    </w:p>
    <w:p>
      <w:pPr>
        <w:pStyle w:val="BodyText"/>
      </w:pPr>
      <w:r>
        <w:t xml:space="preserve">Le taux de consultation augmente de manière monotone avec le niveau de richesse, passant de 12,1 % dans le quintile le plus pauvre à 26,2 % dans le quintile le plus riche. Cette progression est clairement visible dans le graphique correspondant, qui met en évidence un gradient socio-économique dans l’accès aux soins.</w:t>
      </w:r>
    </w:p>
    <w:p>
      <w:pPr>
        <w:pStyle w:val="BodyText"/>
      </w:pPr>
      <w:r>
        <w:t xml:space="preserve">Cependant, la valeur du V de Cramér (0,121) indique que l’intensité de l’association reste modérée. Autrement dit, bien que la richesse influence significativement le recours aux soins, elle n’explique qu’une partie des comportements de consultation.</w:t>
      </w:r>
    </w:p>
    <w:p>
      <w:pPr>
        <w:pStyle w:val="BodyText"/>
      </w:pPr>
      <w:r>
        <w:t xml:space="preserve">Ces résultats suggèrent que les contraintes économiques jouent un rôle important dans l’accès aux services de santé, les ménages les plus pauvres étant moins susceptibles de consulter un prestataire en cas de maladie.</w:t>
      </w:r>
      <w:r>
        <w:t xml:space="preserve"> </w:t>
      </w:r>
      <w:r>
        <w:drawing>
          <wp:inline>
            <wp:extent cx="5334000" cy="3200399"/>
            <wp:effectExtent b="0" l="0" r="0" t="0"/>
            <wp:docPr descr="Recours aux soins selon le quintile de richesse — GHS Panel Wave 4 (2018)" title="" id="49" name="Picture"/>
            <a:graphic>
              <a:graphicData uri="http://schemas.openxmlformats.org/drawingml/2006/picture">
                <pic:pic>
                  <pic:nvPicPr>
                    <pic:cNvPr descr="TP3_Sante_Rapport_files/figure-docx/t17-graph-1.png" id="50" name="Picture"/>
                    <pic:cNvPicPr>
                      <a:picLocks noChangeArrowheads="1" noChangeAspect="1"/>
                    </pic:cNvPicPr>
                  </pic:nvPicPr>
                  <pic:blipFill>
                    <a:blip r:embed="rId48"/>
                    <a:stretch>
                      <a:fillRect/>
                    </a:stretch>
                  </pic:blipFill>
                  <pic:spPr bwMode="auto">
                    <a:xfrm>
                      <a:off x="0" y="0"/>
                      <a:ext cx="5334000" cy="3200399"/>
                    </a:xfrm>
                    <a:prstGeom prst="rect">
                      <a:avLst/>
                    </a:prstGeom>
                    <a:noFill/>
                    <a:ln w="9525">
                      <a:noFill/>
                      <a:headEnd/>
                      <a:tailEnd/>
                    </a:ln>
                  </pic:spPr>
                </pic:pic>
              </a:graphicData>
            </a:graphic>
          </wp:inline>
        </w:drawing>
      </w:r>
    </w:p>
    <w:p>
      <w:r>
        <w:pict>
          <v:rect style="width:0;height:1.5pt" o:hralign="center" o:hrstd="t" o:hr="t"/>
        </w:pict>
      </w:r>
    </w:p>
    <w:bookmarkEnd w:id="51"/>
    <w:bookmarkEnd w:id="52"/>
    <w:bookmarkStart w:id="56" w:name="X97e9b73c0a508b719835e7f0bbfa5f63bf5b50a"/>
    <w:p>
      <w:pPr>
        <w:pStyle w:val="Heading1"/>
      </w:pPr>
      <w:r>
        <w:rPr>
          <w:rStyle w:val="SectionNumber"/>
        </w:rPr>
        <w:t xml:space="preserve">7</w:t>
      </w:r>
      <w:r>
        <w:tab/>
      </w:r>
      <w:r>
        <w:t xml:space="preserve">Tâche 18 — Dépenses de santé : Rural vs Urbain</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Tableau 10 — Dépenses de santé selon le milieu de résidence (Nairas)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2AABB7"/>
              <w:top w:val="single" w:sz="12" w:space="0" w:color="2AABB7"/>
              <w:left w:val="single" w:sz="12" w:space="0" w:color="2AABB7"/>
              <w:right w:val="none" w:sz="0" w:space="0" w:color="000000"/>
            </w:tcBorders>
            <w:shd w:val="clear" w:color="auto" w:fill="1C1C2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FFFFFF"/>
              </w:rPr>
              <w:t xml:space="preserve">Zone</w:t>
            </w:r>
          </w:p>
        </w:tc>
        <w:tc>
          <w:tcPr>
            <w:tcBorders>
              <w:bottom w:val="single" w:sz="12" w:space="0" w:color="2AABB7"/>
              <w:top w:val="single" w:sz="12" w:space="0" w:color="2AABB7"/>
              <w:left w:val="none" w:sz="0" w:space="0" w:color="000000"/>
              <w:right w:val="none" w:sz="0" w:space="0" w:color="000000"/>
            </w:tcBorders>
            <w:shd w:val="clear" w:color="auto" w:fill="1C1C2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FFFFFF"/>
              </w:rPr>
              <w:t xml:space="preserve">N</w:t>
            </w:r>
          </w:p>
        </w:tc>
        <w:tc>
          <w:tcPr>
            <w:tcBorders>
              <w:bottom w:val="single" w:sz="12" w:space="0" w:color="2AABB7"/>
              <w:top w:val="single" w:sz="12" w:space="0" w:color="2AABB7"/>
              <w:left w:val="none" w:sz="0" w:space="0" w:color="000000"/>
              <w:right w:val="none" w:sz="0" w:space="0" w:color="000000"/>
            </w:tcBorders>
            <w:shd w:val="clear" w:color="auto" w:fill="1C1C2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FFFFFF"/>
              </w:rPr>
              <w:t xml:space="preserve">Moyenne (N)</w:t>
            </w:r>
          </w:p>
        </w:tc>
        <w:tc>
          <w:tcPr>
            <w:tcBorders>
              <w:bottom w:val="single" w:sz="12" w:space="0" w:color="2AABB7"/>
              <w:top w:val="single" w:sz="12" w:space="0" w:color="2AABB7"/>
              <w:left w:val="none" w:sz="0" w:space="0" w:color="000000"/>
              <w:right w:val="none" w:sz="0" w:space="0" w:color="000000"/>
            </w:tcBorders>
            <w:shd w:val="clear" w:color="auto" w:fill="1C1C2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FFFFFF"/>
              </w:rPr>
              <w:t xml:space="preserve">Médiane (N)</w:t>
            </w:r>
          </w:p>
        </w:tc>
        <w:tc>
          <w:tcPr>
            <w:tcBorders>
              <w:bottom w:val="single" w:sz="12" w:space="0" w:color="2AABB7"/>
              <w:top w:val="single" w:sz="12" w:space="0" w:color="2AABB7"/>
              <w:left w:val="none" w:sz="0" w:space="0" w:color="000000"/>
              <w:right w:val="none" w:sz="0" w:space="0" w:color="000000"/>
            </w:tcBorders>
            <w:shd w:val="clear" w:color="auto" w:fill="1C1C2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FFFFFF"/>
              </w:rPr>
              <w:t xml:space="preserve">Écart-type</w:t>
            </w:r>
          </w:p>
        </w:tc>
        <w:tc>
          <w:tcPr>
            <w:tcBorders>
              <w:bottom w:val="single" w:sz="12" w:space="0" w:color="2AABB7"/>
              <w:top w:val="single" w:sz="12" w:space="0" w:color="2AABB7"/>
              <w:left w:val="none" w:sz="0" w:space="0" w:color="000000"/>
              <w:right w:val="none" w:sz="0" w:space="0" w:color="000000"/>
            </w:tcBorders>
            <w:shd w:val="clear" w:color="auto" w:fill="1C1C2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FFFFFF"/>
              </w:rPr>
              <w:t xml:space="preserve">Q1</w:t>
            </w:r>
          </w:p>
        </w:tc>
        <w:tc>
          <w:tcPr>
            <w:tcBorders>
              <w:bottom w:val="single" w:sz="12" w:space="0" w:color="2AABB7"/>
              <w:top w:val="single" w:sz="12" w:space="0" w:color="2AABB7"/>
              <w:left w:val="none" w:sz="0" w:space="0" w:color="000000"/>
              <w:right w:val="single" w:sz="12" w:space="0" w:color="2AABB7"/>
            </w:tcBorders>
            <w:shd w:val="clear" w:color="auto" w:fill="1C1C2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FFFFFF"/>
              </w:rPr>
              <w:t xml:space="preserve">Q3</w:t>
            </w:r>
          </w:p>
        </w:tc>
      </w:tr>
      <w:tr>
        <w:trPr>
          <w:trHeight w:val="360" w:hRule="auto"/>
        </w:trPr>
        <w:tc>
          <w:tcPr>
            <w:tcBorders>
              <w:bottom w:val="single" w:sz="4" w:space="0" w:color="DDDDDD"/>
              <w:top w:val="single" w:sz="12" w:space="0" w:color="2AABB7"/>
              <w:left w:val="single" w:sz="12" w:space="0" w:color="2AABB7"/>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Rural</w:t>
            </w:r>
          </w:p>
        </w:tc>
        <w:tc>
          <w:tcPr>
            <w:tcBorders>
              <w:bottom w:val="single" w:sz="4" w:space="0" w:color="DDDDDD"/>
              <w:top w:val="single" w:sz="12" w:space="0" w:color="2AABB7"/>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2,520</w:t>
            </w:r>
          </w:p>
        </w:tc>
        <w:tc>
          <w:tcPr>
            <w:tcBorders>
              <w:bottom w:val="single" w:sz="4" w:space="0" w:color="DDDDDD"/>
              <w:top w:val="single" w:sz="12" w:space="0" w:color="2AABB7"/>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1 987</w:t>
            </w:r>
          </w:p>
        </w:tc>
        <w:tc>
          <w:tcPr>
            <w:tcBorders>
              <w:bottom w:val="single" w:sz="4" w:space="0" w:color="DDDDDD"/>
              <w:top w:val="single" w:sz="12" w:space="0" w:color="2AABB7"/>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800</w:t>
            </w:r>
          </w:p>
        </w:tc>
        <w:tc>
          <w:tcPr>
            <w:tcBorders>
              <w:bottom w:val="single" w:sz="4" w:space="0" w:color="DDDDDD"/>
              <w:top w:val="single" w:sz="12" w:space="0" w:color="2AABB7"/>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3 980</w:t>
            </w:r>
          </w:p>
        </w:tc>
        <w:tc>
          <w:tcPr>
            <w:tcBorders>
              <w:bottom w:val="single" w:sz="4" w:space="0" w:color="DDDDDD"/>
              <w:top w:val="single" w:sz="12" w:space="0" w:color="2AABB7"/>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300</w:t>
            </w:r>
          </w:p>
        </w:tc>
        <w:tc>
          <w:tcPr>
            <w:tcBorders>
              <w:bottom w:val="single" w:sz="4" w:space="0" w:color="DDDDDD"/>
              <w:top w:val="single" w:sz="12" w:space="0" w:color="2AABB7"/>
              <w:left w:val="none" w:sz="0" w:space="0" w:color="000000"/>
              <w:right w:val="single" w:sz="12" w:space="0" w:color="2AABB7"/>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2 000</w:t>
            </w:r>
          </w:p>
        </w:tc>
      </w:tr>
      <w:tr>
        <w:trPr>
          <w:trHeight w:val="360" w:hRule="auto"/>
        </w:trPr>
        <w:tc>
          <w:tcPr>
            <w:tcBorders>
              <w:bottom w:val="single" w:sz="12" w:space="0" w:color="2AABB7"/>
              <w:top w:val="single" w:sz="4" w:space="0" w:color="DDDDDD"/>
              <w:left w:val="single" w:sz="12" w:space="0" w:color="2AABB7"/>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Urbain</w:t>
            </w:r>
          </w:p>
        </w:tc>
        <w:tc>
          <w:tcPr>
            <w:tcBorders>
              <w:bottom w:val="single" w:sz="12" w:space="0" w:color="2AABB7"/>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5,828</w:t>
            </w:r>
          </w:p>
        </w:tc>
        <w:tc>
          <w:tcPr>
            <w:tcBorders>
              <w:bottom w:val="single" w:sz="12" w:space="0" w:color="2AABB7"/>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2 062</w:t>
            </w:r>
          </w:p>
        </w:tc>
        <w:tc>
          <w:tcPr>
            <w:tcBorders>
              <w:bottom w:val="single" w:sz="12" w:space="0" w:color="2AABB7"/>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800</w:t>
            </w:r>
          </w:p>
        </w:tc>
        <w:tc>
          <w:tcPr>
            <w:tcBorders>
              <w:bottom w:val="single" w:sz="12" w:space="0" w:color="2AABB7"/>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4 752</w:t>
            </w:r>
          </w:p>
        </w:tc>
        <w:tc>
          <w:tcPr>
            <w:tcBorders>
              <w:bottom w:val="single" w:sz="12" w:space="0" w:color="2AABB7"/>
              <w:top w:val="single" w:sz="4" w:space="0" w:color="DDDDDD"/>
              <w:left w:val="none" w:sz="0" w:space="0" w:color="000000"/>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350</w:t>
            </w:r>
          </w:p>
        </w:tc>
        <w:tc>
          <w:tcPr>
            <w:tcBorders>
              <w:bottom w:val="single" w:sz="12" w:space="0" w:color="2AABB7"/>
              <w:top w:val="single" w:sz="4" w:space="0" w:color="DDDDDD"/>
              <w:left w:val="none" w:sz="0" w:space="0" w:color="000000"/>
              <w:right w:val="single" w:sz="12" w:space="0" w:color="2AABB7"/>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2 000</w:t>
            </w:r>
          </w:p>
        </w:tc>
      </w:tr>
    </w:tbl>
    <w:p>
      <w:pPr>
        <w:pStyle w:val="FirstParagraph"/>
      </w:pPr>
      <w:r>
        <w:rPr>
          <w:b/>
          <w:bCs/>
        </w:rPr>
        <w:t xml:space="preserve">Test de Wilcoxon-Mann-Whitney :</w:t>
      </w:r>
      <w:r>
        <w:t xml:space="preserve"> </w:t>
      </w:r>
      <w:r>
        <w:t xml:space="preserve">W = 7.2890745</w:t>
      </w:r>
      <w:r>
        <w:t xml:space="preserve">^{6} | p = 5.92e-01 | r = 0.0059 → effet</w:t>
      </w:r>
      <w:r>
        <w:t xml:space="preserve"> </w:t>
      </w:r>
      <w:r>
        <w:rPr>
          <w:b/>
          <w:bCs/>
        </w:rPr>
        <w:t xml:space="preserve">négligeable</w:t>
      </w:r>
    </w:p>
    <w:p>
      <w:pPr>
        <w:pStyle w:val="BodyText"/>
      </w:pPr>
      <w:r>
        <w:t xml:space="preserve">IC 95 % de la différence de médiane : [-50 ; 0] Nairas</w:t>
      </w:r>
    </w:p>
    <w:p>
      <w:pPr>
        <w:pStyle w:val="CaptionedFigure"/>
      </w:pPr>
      <w:r>
        <w:drawing>
          <wp:inline>
            <wp:extent cx="5334000" cy="3200399"/>
            <wp:effectExtent b="0" l="0" r="0" t="0"/>
            <wp:docPr descr="Dépenses de santé — Rural vs Urbain (échelle logarithmique)" title="" id="54" name="Picture"/>
            <a:graphic>
              <a:graphicData uri="http://schemas.openxmlformats.org/drawingml/2006/picture">
                <pic:pic>
                  <pic:nvPicPr>
                    <pic:cNvPr descr="TP3_Sante_Rapport_files/figure-docx/t18-graph-1.png" id="55" name="Picture"/>
                    <pic:cNvPicPr>
                      <a:picLocks noChangeArrowheads="1" noChangeAspect="1"/>
                    </pic:cNvPicPr>
                  </pic:nvPicPr>
                  <pic:blipFill>
                    <a:blip r:embed="rId53"/>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t xml:space="preserve">Dépenses de santé — Rural vs Urbain (échelle logarithmique)</w:t>
      </w:r>
    </w:p>
    <w:p>
      <w:r>
        <w:pict>
          <v:rect style="width:0;height:1.5pt" o:hralign="center" o:hrstd="t" o:hr="t"/>
        </w:pict>
      </w:r>
    </w:p>
    <w:bookmarkEnd w:id="56"/>
    <w:bookmarkStart w:id="59" w:name="tableau-de-synthèse-gtsummary"/>
    <w:p>
      <w:pPr>
        <w:pStyle w:val="Heading1"/>
      </w:pPr>
      <w:r>
        <w:rPr>
          <w:rStyle w:val="SectionNumber"/>
        </w:rPr>
        <w:t xml:space="preserve">8</w:t>
      </w:r>
      <w:r>
        <w:tab/>
      </w:r>
      <w:r>
        <w:t xml:space="preserve">Tableau de synthèse (gtsummary)</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Tableau 11. Santé et recours aux soins par milieu de résidence — Nigeria GHS Panel Wave 4 (2018) | N = 26 556</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592"/>
        <w:gridCol w:w="1440"/>
        <w:gridCol w:w="1440"/>
        <w:gridCol w:w="1440"/>
        <w:gridCol w:w="1080"/>
        <w:gridCol w:w="1080"/>
      </w:tblGrid>
      <w:tr>
        <w:trPr>
          <w:trHeight w:val="573" w:hRule="auto"/>
          <w:tblHeader/>
        </w:trPr>
        <w:tc>
          <w:tcPr>
            <w:gridSpan w:val="3"/>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t>
            </w:r>
          </w:p>
        </w:tc>
        <w:tc>
          <w:tcPr>
            <w:gridSpan w:val="2"/>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Milieu de résidence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t>
            </w:r>
          </w:p>
        </w:tc>
      </w:tr>
      <w:tr>
        <w:trPr>
          <w:trHeight w:val="777"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Variable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N valide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Ensemble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 = 26556)</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16"/>
                <w:szCs w:val="16"/>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Rural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 = 7567)</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16"/>
                <w:szCs w:val="16"/>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Urbain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 = 18989)</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16"/>
                <w:szCs w:val="16"/>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p-value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16"/>
                <w:szCs w:val="16"/>
                <w:color w:val="000000"/>
              </w:rPr>
              <w:t xml:space="preserve">2</w:t>
            </w:r>
          </w:p>
        </w:tc>
      </w:tr>
      <w:tr>
        <w:trPr>
          <w:trHeight w:val="600"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Sexe</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26,556</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0.457</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Homme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13,188 (50%)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3,730 (49%)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9,458 (50%)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Femme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13,368 (50%)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3,837 (51%)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9,531 (50%)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Maladie/blessure (4 sem.)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22,171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0.863</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2,065 (9.3%)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591 (9.3%)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1,474 (9.3%)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Non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20,106 (91%)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5,796 (91%)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14,310 (91%)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Manquant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61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A consulté un prestataire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26,556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0.556</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4,731 (18%)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1,331 (18%)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3,400 (18%)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Non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21,825 (82%)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6,236 (82%)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15,589 (82%)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61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Hospitalisé</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26,556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0.876</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823 (3.1%)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237 (3.1%)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586 (3.1%)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Non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25,733 (97%)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7,330 (97%)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18,403 (97%)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Dépenses santé (Nairas)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8,348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800 [350 - 2,000]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800 [300 - 2,000]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800 [350 - 2,000]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0.592</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Manquant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61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Jours d'arrêt d'activité</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 [2 - 7]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 [2 - 7]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 [2 - 7]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0.193</w:t>
            </w:r>
          </w:p>
        </w:tc>
      </w:tr>
      <w:tr>
        <w:trPr>
          <w:trHeight w:val="612"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Manquant</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23,721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6,942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16,779</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gridSpan w:val="6"/>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16"/>
                <w:szCs w:val="16"/>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Continues : Médiane [Q1-Q3] | Catégoriel : n (%)</w:t>
            </w:r>
          </w:p>
        </w:tc>
      </w:tr>
      <w:tr>
        <w:trPr>
          <w:trHeight w:val="360" w:hRule="auto"/>
        </w:trPr>
        <w:tc>
          <w:tcPr>
            <w:gridSpan w:val="6"/>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16"/>
                <w:szCs w:val="16"/>
                <w:color w:val="000000"/>
              </w:rPr>
              <w:t xml:space="preserve">2</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Pearson's Chi-squared test; Wilcoxon rank sum test</w:t>
            </w:r>
          </w:p>
        </w:tc>
      </w:tr>
    </w:tbl>
    <w:bookmarkStart w:id="57" w:name="interprétation-synthétique"/>
    <w:p>
      <w:pPr>
        <w:pStyle w:val="Heading3"/>
      </w:pPr>
      <w:r>
        <w:rPr>
          <w:rStyle w:val="SectionNumber"/>
        </w:rPr>
        <w:t xml:space="preserve">8.0.1</w:t>
      </w:r>
      <w:r>
        <w:tab/>
      </w:r>
      <w:r>
        <w:t xml:space="preserve">Interprétation synthétique</w:t>
      </w:r>
    </w:p>
    <w:p>
      <w:pPr>
        <w:pStyle w:val="FirstParagraph"/>
      </w:pPr>
      <w:r>
        <w:t xml:space="preserve">Le tableau de synthèse permet de comparer plusieurs indicateurs de santé et de recours aux soins selon le milieu de résidence.</w:t>
      </w:r>
    </w:p>
    <w:p>
      <w:pPr>
        <w:pStyle w:val="BodyText"/>
      </w:pPr>
      <w:r>
        <w:t xml:space="preserve">La distribution du sexe est globalement équilibrée entre les zones rurales et urbaines, et le test du Chi-deux indique qu’il n’existe pas de différence statistiquement significative entre les deux milieux (p = 0,457). Cette homogénéité suggère que la structure démographique de l’échantillon est comparable entre les zones rurales et urbaines.</w:t>
      </w:r>
    </w:p>
    <w:p>
      <w:pPr>
        <w:pStyle w:val="BodyText"/>
      </w:pPr>
      <w:r>
        <w:t xml:space="preserve">Le taux de morbidité déclaré au cours des quatre dernières semaines est identique dans les deux milieux (9,3 %), et la différence n’est pas statistiquement significative (p = 0,863). Ce résultat suggère que l’exposition aux problèmes de santé récents est relativement similaire entre les populations rurales et urbaines.</w:t>
      </w:r>
    </w:p>
    <w:p>
      <w:pPr>
        <w:pStyle w:val="BodyText"/>
      </w:pPr>
      <w:r>
        <w:t xml:space="preserve">De même, la proportion d’individus ayant consulté un prestataire de santé est comparable dans les deux contextes (18 % dans chaque milieu), ce qui est confirmé par une p-value non significative (p = 0,556). Cela indique que, malgré les différences potentielles d’offre de soins entre zones rurales et urbaines, les comportements de consultation restent globalement similaires dans l’échantillon étudié.</w:t>
      </w:r>
    </w:p>
    <w:p>
      <w:pPr>
        <w:pStyle w:val="BodyText"/>
      </w:pPr>
      <w:r>
        <w:t xml:space="preserve">Les dépenses de santé présentent également des distributions très proches entre les deux milieux, avec une médiane identique de 800 Nairas. Le test de Wilcoxon ne met pas en évidence de différence significative (p = 0,592), ce qui suggère que le niveau typique de dépenses directes est comparable entre les zones rurales et urbaines.</w:t>
      </w:r>
    </w:p>
    <w:bookmarkEnd w:id="57"/>
    <w:bookmarkStart w:id="58" w:name="X8343016b28297700763ba830d4416395271d2ee"/>
    <w:p>
      <w:pPr>
        <w:pStyle w:val="Heading2"/>
      </w:pPr>
      <w:r>
        <w:rPr>
          <w:rStyle w:val="SectionNumber"/>
        </w:rPr>
        <w:t xml:space="preserve">8.1</w:t>
      </w:r>
      <w:r>
        <w:tab/>
      </w:r>
      <w:r>
        <w:t xml:space="preserve">Dans l’ensemble, ce tableau de synthèse indique que les principales différences observées dans le recours aux soins semblent davantage liées aux caractéristiques socio-économiques des ménages qu’au seul milieu de résidence.</w:t>
      </w:r>
    </w:p>
    <w:bookmarkEnd w:id="58"/>
    <w:bookmarkEnd w:id="59"/>
    <w:bookmarkStart w:id="60" w:name="conclusion"/>
    <w:p>
      <w:pPr>
        <w:pStyle w:val="Heading1"/>
      </w:pPr>
      <w:r>
        <w:rPr>
          <w:rStyle w:val="SectionNumber"/>
        </w:rPr>
        <w:t xml:space="preserve">9</w:t>
      </w:r>
      <w:r>
        <w:tab/>
      </w:r>
      <w:r>
        <w:t xml:space="preserve">Conclusion</w:t>
      </w:r>
    </w:p>
    <w:p>
      <w:pPr>
        <w:pStyle w:val="FirstParagraph"/>
      </w:pPr>
      <w:r>
        <w:t xml:space="preserve">Ce rapport a analysé les principales dimensions de la santé et du recours aux soins au Nigeria en 2018 à partir du GHS Panel Wave 4. Les principaux résultats sont :</w:t>
      </w:r>
    </w:p>
    <w:p>
      <w:pPr>
        <w:numPr>
          <w:ilvl w:val="0"/>
          <w:numId w:val="1002"/>
        </w:numPr>
      </w:pPr>
      <w:r>
        <w:rPr>
          <w:b/>
          <w:bCs/>
        </w:rPr>
        <w:t xml:space="preserve">Morbidité :</w:t>
      </w:r>
      <w:r>
        <w:t xml:space="preserve"> </w:t>
      </w:r>
      <w:r>
        <w:t xml:space="preserve">Le taux de morbidité pondéré est de</w:t>
      </w:r>
      <w:r>
        <w:t xml:space="preserve"> </w:t>
      </w:r>
      <w:r>
        <w:rPr>
          <w:b/>
          <w:bCs/>
        </w:rPr>
        <w:t xml:space="preserve">8.7 %</w:t>
      </w:r>
      <w:r>
        <w:t xml:space="preserve">, avec des variations selon l’âge et le sexe.</w:t>
      </w:r>
    </w:p>
    <w:p>
      <w:pPr>
        <w:numPr>
          <w:ilvl w:val="0"/>
          <w:numId w:val="1002"/>
        </w:numPr>
      </w:pPr>
      <w:r>
        <w:rPr>
          <w:b/>
          <w:bCs/>
        </w:rPr>
        <w:t xml:space="preserve">Types d’affections :</w:t>
      </w:r>
      <w:r>
        <w:t xml:space="preserve"> </w:t>
      </w:r>
      <w:r>
        <w:t xml:space="preserve">Les maladies infectieuses (paludisme, fièvre) dominent parmi les 2 065 individus malades identifiés.</w:t>
      </w:r>
    </w:p>
    <w:p>
      <w:pPr>
        <w:numPr>
          <w:ilvl w:val="0"/>
          <w:numId w:val="1002"/>
        </w:numPr>
      </w:pPr>
      <w:r>
        <w:rPr>
          <w:b/>
          <w:bCs/>
        </w:rPr>
        <w:t xml:space="preserve">Recours aux soins :</w:t>
      </w:r>
      <w:r>
        <w:t xml:space="preserve"> </w:t>
      </w:r>
      <w:r>
        <w:t xml:space="preserve">Le prestataire le plus fréquent est</w:t>
      </w:r>
      <w:r>
        <w:t xml:space="preserve"> </w:t>
      </w:r>
      <w:r>
        <w:rPr>
          <w:b/>
          <w:bCs/>
        </w:rPr>
        <w:t xml:space="preserve">8. CHEMIST</w:t>
      </w:r>
      <w:r>
        <w:t xml:space="preserve"> </w:t>
      </w:r>
      <w:r>
        <w:t xml:space="preserve">(41.7 %).</w:t>
      </w:r>
    </w:p>
    <w:p>
      <w:pPr>
        <w:numPr>
          <w:ilvl w:val="0"/>
          <w:numId w:val="1002"/>
        </w:numPr>
      </w:pPr>
      <w:r>
        <w:rPr>
          <w:b/>
          <w:bCs/>
        </w:rPr>
        <w:t xml:space="preserve">Dépenses de santé :</w:t>
      </w:r>
      <w:r>
        <w:t xml:space="preserve"> </w:t>
      </w:r>
      <w:r>
        <w:t xml:space="preserve">La médiane des dépenses est de</w:t>
      </w:r>
      <w:r>
        <w:t xml:space="preserve"> </w:t>
      </w:r>
      <w:r>
        <w:rPr>
          <w:b/>
          <w:bCs/>
        </w:rPr>
        <w:t xml:space="preserve">800 Nairas</w:t>
      </w:r>
      <w:r>
        <w:t xml:space="preserve">, avec une distribution fortement asymétrique.</w:t>
      </w:r>
    </w:p>
    <w:p>
      <w:pPr>
        <w:numPr>
          <w:ilvl w:val="0"/>
          <w:numId w:val="1002"/>
        </w:numPr>
      </w:pPr>
      <w:r>
        <w:rPr>
          <w:b/>
          <w:bCs/>
        </w:rPr>
        <w:t xml:space="preserve">Inégalités socio-économiques :</w:t>
      </w:r>
      <w:r>
        <w:t xml:space="preserve"> </w:t>
      </w:r>
      <w:r>
        <w:t xml:space="preserve">Le recours aux soins est significativement lié au niveau de richesse (Chi-deux, p = 9.61e-83, V de Cramér = 0.121).</w:t>
      </w:r>
    </w:p>
    <w:p>
      <w:pPr>
        <w:numPr>
          <w:ilvl w:val="0"/>
          <w:numId w:val="1002"/>
        </w:numPr>
      </w:pPr>
      <w:r>
        <w:rPr>
          <w:b/>
          <w:bCs/>
        </w:rPr>
        <w:t xml:space="preserve">Disparités Rural/Urbain :</w:t>
      </w:r>
      <w:r>
        <w:t xml:space="preserve"> </w:t>
      </w:r>
      <w:r>
        <w:t xml:space="preserve">Les dépenses de santé diffèrent significativement selon le milieu (Wilcoxon p = 5.92e-01, r = 0.0059 — effet négligeable).</w:t>
      </w:r>
    </w:p>
    <w:p>
      <w:r>
        <w:pict>
          <v:rect style="width:0;height:1.5pt" o:hralign="center" o:hrstd="t" o:hr="t"/>
        </w:pict>
      </w:r>
    </w:p>
    <w:p>
      <w:pPr>
        <w:pStyle w:val="FirstParagraph"/>
      </w:pPr>
      <w:r>
        <w:rPr>
          <w:i/>
          <w:iCs/>
        </w:rPr>
        <w:t xml:space="preserve">Source des données : World Bank LSMS-ISA — Nigeria GHS Panel Wave 4 (2018)</w:t>
      </w:r>
      <w:r>
        <w:br/>
      </w:r>
      <w:r>
        <w:rPr>
          <w:i/>
          <w:iCs/>
        </w:rPr>
        <w:t xml:space="preserve">Rapport généré avec R 4.4.2 et RMarkdown</w:t>
      </w:r>
      <w:r>
        <w:br/>
      </w:r>
      <w:r>
        <w:rPr>
          <w:i/>
          <w:iCs/>
        </w:rPr>
        <w:t xml:space="preserve">ENSAE ISE1 | Projet Statistique R &amp; Python 2025-2026</w:t>
      </w:r>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3" Target="media/rId33.png" /><Relationship Type="http://schemas.openxmlformats.org/officeDocument/2006/relationships/image" Id="rId38" Target="media/rId38.png" /><Relationship Type="http://schemas.openxmlformats.org/officeDocument/2006/relationships/image" Id="rId43" Target="media/rId43.png" /><Relationship Type="http://schemas.openxmlformats.org/officeDocument/2006/relationships/image" Id="rId48" Target="media/rId48.png" /><Relationship Type="http://schemas.openxmlformats.org/officeDocument/2006/relationships/image" Id="rId53" Target="media/rId5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TP3 — Accès aux Soins de Santé &amp; Chocs Sanitaires</dc:title>
  <dc:creator>Ahmed Firhoun OUMAROU SOULEYE &amp; Gérald Guerngué ADDJITA</dc:creator>
  <cp:keywords/>
  <dcterms:created xsi:type="dcterms:W3CDTF">2026-03-24T00:34:52Z</dcterms:created>
  <dcterms:modified xsi:type="dcterms:W3CDTF">2026-03-24T00:34:52Z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24 mars 2026</vt:lpwstr>
  </property>
  <property fmtid="{D5CDD505-2E9C-101B-9397-08002B2CF9AE}" pid="3" name="output">
    <vt:lpwstr/>
  </property>
  <property fmtid="{D5CDD505-2E9C-101B-9397-08002B2CF9AE}" pid="4" name="subtitle">
    <vt:lpwstr>Nigeria GHS Panel — Wave 4 (2018)</vt:lpwstr>
  </property>
</Properties>
</file>