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6A40" w:rsidRDefault="00BE3959">
      <w:r>
        <w:rPr>
          <w:noProof/>
          <w:lang w:eastAsia="en-US"/>
        </w:rPr>
        <mc:AlternateContent>
          <mc:Choice Requires="wps">
            <w:drawing>
              <wp:anchor distT="0" distB="0" distL="114300" distR="114300" simplePos="0" relativeHeight="251659264" behindDoc="0" locked="0" layoutInCell="1" allowOverlap="1" wp14:anchorId="33C64D1B" wp14:editId="5988CFA9">
                <wp:simplePos x="0" y="0"/>
                <wp:positionH relativeFrom="margin">
                  <wp:align>center</wp:align>
                </wp:positionH>
                <wp:positionV relativeFrom="paragraph">
                  <wp:posOffset>29845</wp:posOffset>
                </wp:positionV>
                <wp:extent cx="5806440" cy="487680"/>
                <wp:effectExtent l="0" t="0" r="3810" b="7620"/>
                <wp:wrapNone/>
                <wp:docPr id="1400317630" name="Zone de texte 1"/>
                <wp:cNvGraphicFramePr/>
                <a:graphic xmlns:a="http://schemas.openxmlformats.org/drawingml/2006/main">
                  <a:graphicData uri="http://schemas.microsoft.com/office/word/2010/wordprocessingShape">
                    <wps:wsp>
                      <wps:cNvSpPr txBox="1"/>
                      <wps:spPr>
                        <a:xfrm>
                          <a:off x="0" y="0"/>
                          <a:ext cx="5806440" cy="487680"/>
                        </a:xfrm>
                        <a:prstGeom prst="rect">
                          <a:avLst/>
                        </a:prstGeom>
                        <a:solidFill>
                          <a:schemeClr val="lt1"/>
                        </a:solidFill>
                        <a:ln w="6350">
                          <a:noFill/>
                        </a:ln>
                      </wps:spPr>
                      <wps:txbx>
                        <w:txbxContent>
                          <w:p w:rsidR="008B6A40" w:rsidRPr="00C05812" w:rsidRDefault="00BE3959" w:rsidP="00A066A7">
                            <w:pPr>
                              <w:jc w:val="center"/>
                              <w:rPr>
                                <w:rFonts w:cs="Times New Roman"/>
                                <w:sz w:val="32"/>
                                <w:szCs w:val="32"/>
                                <w:lang w:val="fr-FR"/>
                              </w:rPr>
                            </w:pPr>
                            <w:r w:rsidRPr="00C05812">
                              <w:rPr>
                                <w:rFonts w:cs="Times New Roman"/>
                                <w:sz w:val="32"/>
                                <w:szCs w:val="32"/>
                                <w:lang w:val="fr-FR"/>
                              </w:rPr>
                              <w:t>Agence nationale de la Statistique et de la Démographie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3C64D1B" id="_x0000_t202" coordsize="21600,21600" o:spt="202" path="m,l,21600r21600,l21600,xe">
                <v:stroke joinstyle="miter"/>
                <v:path gradientshapeok="t" o:connecttype="rect"/>
              </v:shapetype>
              <v:shape id="Zone de texte 1" o:spid="_x0000_s1026" type="#_x0000_t202" style="position:absolute;margin-left:0;margin-top:2.35pt;width:457.2pt;height:38.4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" fillcolor="white [3201]" stroked="f" strokeweight=".5pt">
                <v:textbox>
                  <w:txbxContent>
                    <w:p w:rsidR="008B6A40" w:rsidRPr="00C05812" w:rsidRDefault="00BE3959" w:rsidP="00A066A7">
                      <w:pPr>
                        <w:jc w:val="center"/>
                        <w:rPr>
                          <w:rFonts w:cs="Times New Roman"/>
                          <w:sz w:val="32"/>
                          <w:szCs w:val="32"/>
                          <w:lang w:val="fr-FR"/>
                        </w:rPr>
                      </w:pPr>
                      <w:r w:rsidRPr="00C05812">
                        <w:rPr>
                          <w:rFonts w:cs="Times New Roman"/>
                          <w:sz w:val="32"/>
                          <w:szCs w:val="32"/>
                          <w:lang w:val="fr-FR"/>
                        </w:rPr>
                        <w:t>Agence nationale de la Statistique et de la Démographie</w:t>
                      </w:r>
                    </w:p>
                  </w:txbxContent>
                </v:textbox>
                <w10:wrap anchorx="margin"/>
              </v:shape>
            </w:pict>
          </mc:Fallback>
        </mc:AlternateContent>
      </w:r>
    </w:p>
    <w:p w:rsidR="008B6A40" w:rsidRDefault="00BE3959" w:rsidP="00A066A7"/>
    <w:p w:rsidR="008B6A40" w:rsidRDefault="00BE3959" w:rsidP="00A066A7">
      <w:pPr>
        <w:jc w:val="center"/>
        <w:rPr>
          <w:noProof/>
        </w:rPr>
      </w:pPr>
      <w:r>
        <w:rPr>
          <w:noProof/>
          <w:lang w:eastAsia="en-US"/>
        </w:rPr>
        <mc:AlternateContent>
          <mc:Choice Requires="wps">
            <w:drawing>
              <wp:anchor distT="0" distB="0" distL="114300" distR="114300" simplePos="0" relativeHeight="251661312" behindDoc="0" locked="0" layoutInCell="1" allowOverlap="1" wp14:anchorId="709371D7" wp14:editId="63833113">
                <wp:simplePos x="0" y="0"/>
                <wp:positionH relativeFrom="margin">
                  <wp:align>center</wp:align>
                </wp:positionH>
                <wp:positionV relativeFrom="paragraph">
                  <wp:posOffset>1553845</wp:posOffset>
                </wp:positionV>
                <wp:extent cx="3489960" cy="243840"/>
                <wp:effectExtent l="0" t="0" r="0" b="3810"/>
                <wp:wrapNone/>
                <wp:docPr id="2136315339" name="Zone de texte 4"/>
                <wp:cNvGraphicFramePr/>
                <a:graphic xmlns:a="http://schemas.openxmlformats.org/drawingml/2006/main">
                  <a:graphicData uri="http://schemas.microsoft.com/office/word/2010/wordprocessingShape">
                    <wps:wsp>
                      <wps:cNvSpPr txBox="1"/>
                      <wps:spPr>
                        <a:xfrm>
                          <a:off x="0" y="0"/>
                          <a:ext cx="3489960" cy="243840"/>
                        </a:xfrm>
                        <a:prstGeom prst="rect">
                          <a:avLst/>
                        </a:prstGeom>
                        <a:solidFill>
                          <a:schemeClr val="lt1"/>
                        </a:solidFill>
                        <a:ln w="6350">
                          <a:noFill/>
                        </a:ln>
                      </wps:spPr>
                      <wps:txbx>
                        <w:txbxContent>
                          <w:p w:rsidR="008B6A40" w:rsidRPr="00A066A7" w:rsidRDefault="00BE3959" w:rsidP="00A066A7">
                            <w:pPr>
                              <w:jc w:val="center"/>
                              <w:rPr>
                                <w:rFonts w:cs="Times New Roman"/>
                              </w:r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9371D7" id="Zone de texte 4" o:spid="_x0000_s1027" type="#_x0000_t202" style="position:absolute;left:0;text-align:left;margin-left:0;margin-top:122.35pt;width:274.8pt;height:19.2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" fillcolor="white [3201]" stroked="f" strokeweight=".5pt">
                <v:textbox>
                  <w:txbxContent>
                    <w:p w:rsidR="008B6A40" w:rsidRPr="00A066A7" w:rsidRDefault="00BE3959" w:rsidP="00A066A7">
                      <w:pPr>
                        <w:jc w:val="center"/>
                        <w:rPr>
                          <w:rFonts w:cs="Times New Roman"/>
                        </w:rPr>
                      </w:pPr>
                      <w:r>
                        <w:t>**********************************************</w:t>
                      </w:r>
                    </w:p>
                  </w:txbxContent>
                </v:textbox>
                <w10:wrap anchorx="margin"/>
              </v:shape>
            </w:pict>
          </mc:Fallback>
        </mc:AlternateContent>
      </w:r>
      <w:r>
        <w:rPr>
          <w:noProof/>
          <w:lang w:eastAsia="en-US"/>
        </w:rPr>
        <w:drawing>
          <wp:inline distT="0" distB="0" distL="0" distR="0" wp14:anchorId="3AFE9C5D" wp14:editId="54C17C4B">
            <wp:extent cx="1601386" cy="1470660"/>
            <wp:effectExtent l="0" t="0" r="0" b="0"/>
            <wp:docPr id="50576615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66153" name="Image 505766153"/>
                    <pic:cNvPicPr/>
                  </pic:nvPicPr>
                  <pic:blipFill>
                    <a:blip r:embed="rId5">
                      <a:extLst>
                        <a:ext uri="{28A0092B-C50C-407E-A947-70E740481C1C}">
                          <a14:useLocalDpi xmlns:a14="http://schemas.microsoft.com/office/drawing/2010/main" val="0"/>
                        </a:ext>
                      </a:extLst>
                    </a:blip>
                    <a:stretch>
                      <a:fillRect/>
                    </a:stretch>
                  </pic:blipFill>
                  <pic:spPr>
                    <a:xfrm>
                      <a:off x="0" y="0"/>
                      <a:ext cx="1634434" cy="1501011"/>
                    </a:xfrm>
                    <a:prstGeom prst="rect">
                      <a:avLst/>
                    </a:prstGeom>
                  </pic:spPr>
                </pic:pic>
              </a:graphicData>
            </a:graphic>
          </wp:inline>
        </w:drawing>
      </w:r>
    </w:p>
    <w:p w:rsidR="008B6A40" w:rsidRDefault="00BE3959" w:rsidP="00A066A7">
      <w:pPr>
        <w:jc w:val="center"/>
      </w:pPr>
    </w:p>
    <w:p w:rsidR="008B6A40" w:rsidRDefault="00BE3959" w:rsidP="00A066A7">
      <w:r>
        <w:rPr>
          <w:noProof/>
          <w:lang w:eastAsia="en-US"/>
        </w:rPr>
        <mc:AlternateContent>
          <mc:Choice Requires="wps">
            <w:drawing>
              <wp:anchor distT="0" distB="0" distL="114300" distR="114300" simplePos="0" relativeHeight="251660288" behindDoc="0" locked="0" layoutInCell="1" allowOverlap="1" wp14:anchorId="1DCA214A" wp14:editId="6E6BD7C4">
                <wp:simplePos x="0" y="0"/>
                <wp:positionH relativeFrom="margin">
                  <wp:align>center</wp:align>
                </wp:positionH>
                <wp:positionV relativeFrom="paragraph">
                  <wp:posOffset>125095</wp:posOffset>
                </wp:positionV>
                <wp:extent cx="5806440" cy="487680"/>
                <wp:effectExtent l="0" t="0" r="3810" b="7620"/>
                <wp:wrapNone/>
                <wp:docPr id="1739458197" name="Zone de texte 1"/>
                <wp:cNvGraphicFramePr/>
                <a:graphic xmlns:a="http://schemas.openxmlformats.org/drawingml/2006/main">
                  <a:graphicData uri="http://schemas.microsoft.com/office/word/2010/wordprocessingShape">
                    <wps:wsp>
                      <wps:cNvSpPr txBox="1"/>
                      <wps:spPr>
                        <a:xfrm>
                          <a:off x="0" y="0"/>
                          <a:ext cx="5806440" cy="487680"/>
                        </a:xfrm>
                        <a:prstGeom prst="rect">
                          <a:avLst/>
                        </a:prstGeom>
                        <a:solidFill>
                          <a:schemeClr val="lt1"/>
                        </a:solidFill>
                        <a:ln w="6350">
                          <a:noFill/>
                        </a:ln>
                      </wps:spPr>
                      <wps:txbx>
                        <w:txbxContent>
                          <w:p w:rsidR="008B6A40" w:rsidRPr="00C05812" w:rsidRDefault="00BE3959" w:rsidP="00A066A7">
                            <w:pPr>
                              <w:jc w:val="center"/>
                              <w:rPr>
                                <w:rFonts w:cs="Times New Roman"/>
                                <w:sz w:val="32"/>
                                <w:szCs w:val="32"/>
                                <w:lang w:val="fr-FR"/>
                              </w:rPr>
                            </w:pPr>
                            <w:r w:rsidRPr="00C05812">
                              <w:rPr>
                                <w:rFonts w:cs="Times New Roman"/>
                                <w:sz w:val="32"/>
                                <w:szCs w:val="32"/>
                                <w:lang w:val="fr-FR"/>
                              </w:rPr>
                              <w:t>Ecole nationale de la Statistique et de l’Analyse économique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CA214A" id="_x0000_s1028" type="#_x0000_t202" style="position:absolute;margin-left:0;margin-top:9.85pt;width:457.2pt;height:38.4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" fillcolor="white [3201]" stroked="f" strokeweight=".5pt">
                <v:textbox>
                  <w:txbxContent>
                    <w:p w:rsidR="008B6A40" w:rsidRPr="00C05812" w:rsidRDefault="00BE3959" w:rsidP="00A066A7">
                      <w:pPr>
                        <w:jc w:val="center"/>
                        <w:rPr>
                          <w:rFonts w:cs="Times New Roman"/>
                          <w:sz w:val="32"/>
                          <w:szCs w:val="32"/>
                          <w:lang w:val="fr-FR"/>
                        </w:rPr>
                      </w:pPr>
                      <w:r w:rsidRPr="00C05812">
                        <w:rPr>
                          <w:rFonts w:cs="Times New Roman"/>
                          <w:sz w:val="32"/>
                          <w:szCs w:val="32"/>
                          <w:lang w:val="fr-FR"/>
                        </w:rPr>
                        <w:t>Ecole nationale de la Statistique et de l’Analyse économique</w:t>
                      </w:r>
                    </w:p>
                  </w:txbxContent>
                </v:textbox>
                <w10:wrap anchorx="margin"/>
              </v:shape>
            </w:pict>
          </mc:Fallback>
        </mc:AlternateContent>
      </w:r>
    </w:p>
    <w:p w:rsidR="008B6A40" w:rsidRDefault="00BE3959" w:rsidP="00A066A7">
      <w:pPr>
        <w:jc w:val="center"/>
      </w:pPr>
    </w:p>
    <w:p w:rsidR="008B6A40" w:rsidRPr="00A066A7" w:rsidRDefault="00BE3959" w:rsidP="00A066A7">
      <w:pPr>
        <w:jc w:val="center"/>
      </w:pPr>
      <w:r>
        <w:rPr>
          <w:noProof/>
          <w:lang w:eastAsia="en-US"/>
        </w:rPr>
        <mc:AlternateContent>
          <mc:Choice Requires="wps">
            <w:drawing>
              <wp:anchor distT="0" distB="0" distL="114300" distR="114300" simplePos="0" relativeHeight="251663360" behindDoc="0" locked="0" layoutInCell="1" allowOverlap="1" wp14:anchorId="3A4169C6" wp14:editId="7A83963C">
                <wp:simplePos x="0" y="0"/>
                <wp:positionH relativeFrom="margin">
                  <wp:align>center</wp:align>
                </wp:positionH>
                <wp:positionV relativeFrom="paragraph">
                  <wp:posOffset>1702549</wp:posOffset>
                </wp:positionV>
                <wp:extent cx="5718412" cy="1492250"/>
                <wp:effectExtent l="0" t="0" r="0" b="0"/>
                <wp:wrapNone/>
                <wp:docPr id="1504012848" name="Zone de texte 5"/>
                <wp:cNvGraphicFramePr/>
                <a:graphic xmlns:a="http://schemas.openxmlformats.org/drawingml/2006/main">
                  <a:graphicData uri="http://schemas.microsoft.com/office/word/2010/wordprocessingShape">
                    <wps:wsp>
                      <wps:cNvSpPr txBox="1"/>
                      <wps:spPr>
                        <a:xfrm>
                          <a:off x="0" y="0"/>
                          <a:ext cx="5718412" cy="1492250"/>
                        </a:xfrm>
                        <a:prstGeom prst="rect">
                          <a:avLst/>
                        </a:prstGeom>
                        <a:solidFill>
                          <a:schemeClr val="lt1"/>
                        </a:solidFill>
                        <a:ln w="6350">
                          <a:noFill/>
                        </a:ln>
                      </wps:spPr>
                      <wps:txbx>
                        <w:txbxContent>
                          <w:p w:rsidR="008B6A40" w:rsidRPr="00C05812" w:rsidRDefault="00BE3959" w:rsidP="00A12841">
                            <w:pPr>
                              <w:spacing w:line="480" w:lineRule="auto"/>
                              <w:jc w:val="center"/>
                              <w:rPr>
                                <w:rFonts w:cs="Times New Roman"/>
                                <w:sz w:val="32"/>
                                <w:szCs w:val="32"/>
                                <w:lang w:val="fr-FR"/>
                              </w:rPr>
                            </w:pPr>
                            <w:r w:rsidRPr="00C05812">
                              <w:rPr>
                                <w:rFonts w:cs="Times New Roman"/>
                                <w:sz w:val="32"/>
                                <w:szCs w:val="32"/>
                                <w:lang w:val="fr-FR"/>
                              </w:rPr>
                              <w:t>Projet statistique avec R ou python</w:t>
                            </w:r>
                          </w:p>
                          <w:p w:rsidR="008B6A40" w:rsidRPr="00C05812" w:rsidRDefault="00BE3959" w:rsidP="00A12841">
                            <w:pPr>
                              <w:spacing w:line="480" w:lineRule="auto"/>
                              <w:jc w:val="center"/>
                              <w:rPr>
                                <w:rFonts w:cs="Times New Roman"/>
                                <w:sz w:val="32"/>
                                <w:szCs w:val="32"/>
                                <w:lang w:val="fr-FR"/>
                              </w:rPr>
                            </w:pPr>
                            <w:r>
                              <w:rPr>
                                <w:rFonts w:cs="Times New Roman"/>
                                <w:sz w:val="32"/>
                                <w:szCs w:val="32"/>
                                <w:lang w:val="fr-FR"/>
                              </w:rPr>
                              <w:t>TP4</w:t>
                            </w:r>
                            <w:r w:rsidRPr="00C05812">
                              <w:rPr>
                                <w:rFonts w:cs="Times New Roman"/>
                                <w:sz w:val="32"/>
                                <w:szCs w:val="32"/>
                                <w:lang w:val="fr-FR"/>
                              </w:rPr>
                              <w:t xml:space="preserve"> : </w:t>
                            </w:r>
                            <w:r>
                              <w:rPr>
                                <w:rFonts w:cs="Times New Roman"/>
                                <w:sz w:val="32"/>
                                <w:szCs w:val="32"/>
                                <w:lang w:val="fr-FR"/>
                              </w:rPr>
                              <w:t xml:space="preserve">Analyse des parcelles agricoles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4169C6" id="Zone de texte 5" o:spid="_x0000_s1029" type="#_x0000_t202" style="position:absolute;left:0;text-align:left;margin-left:0;margin-top:134.05pt;width:450.25pt;height:117.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" fillcolor="white [3201]" stroked="f" strokeweight=".5pt">
                <v:textbox>
                  <w:txbxContent>
                    <w:p w:rsidR="008B6A40" w:rsidRPr="00C05812" w:rsidRDefault="00BE3959" w:rsidP="00A12841">
                      <w:pPr>
                        <w:spacing w:line="480" w:lineRule="auto"/>
                        <w:jc w:val="center"/>
                        <w:rPr>
                          <w:rFonts w:cs="Times New Roman"/>
                          <w:sz w:val="32"/>
                          <w:szCs w:val="32"/>
                          <w:lang w:val="fr-FR"/>
                        </w:rPr>
                      </w:pPr>
                      <w:r w:rsidRPr="00C05812">
                        <w:rPr>
                          <w:rFonts w:cs="Times New Roman"/>
                          <w:sz w:val="32"/>
                          <w:szCs w:val="32"/>
                          <w:lang w:val="fr-FR"/>
                        </w:rPr>
                        <w:t>Projet statistique avec R ou python</w:t>
                      </w:r>
                    </w:p>
                    <w:p w:rsidR="008B6A40" w:rsidRPr="00C05812" w:rsidRDefault="00BE3959" w:rsidP="00A12841">
                      <w:pPr>
                        <w:spacing w:line="480" w:lineRule="auto"/>
                        <w:jc w:val="center"/>
                        <w:rPr>
                          <w:rFonts w:cs="Times New Roman"/>
                          <w:sz w:val="32"/>
                          <w:szCs w:val="32"/>
                          <w:lang w:val="fr-FR"/>
                        </w:rPr>
                      </w:pPr>
                      <w:r>
                        <w:rPr>
                          <w:rFonts w:cs="Times New Roman"/>
                          <w:sz w:val="32"/>
                          <w:szCs w:val="32"/>
                          <w:lang w:val="fr-FR"/>
                        </w:rPr>
                        <w:t>TP4</w:t>
                      </w:r>
                      <w:r w:rsidRPr="00C05812">
                        <w:rPr>
                          <w:rFonts w:cs="Times New Roman"/>
                          <w:sz w:val="32"/>
                          <w:szCs w:val="32"/>
                          <w:lang w:val="fr-FR"/>
                        </w:rPr>
                        <w:t xml:space="preserve"> : </w:t>
                      </w:r>
                      <w:r>
                        <w:rPr>
                          <w:rFonts w:cs="Times New Roman"/>
                          <w:sz w:val="32"/>
                          <w:szCs w:val="32"/>
                          <w:lang w:val="fr-FR"/>
                        </w:rPr>
                        <w:t xml:space="preserve">Analyse des parcelles agricoles </w:t>
                      </w:r>
                    </w:p>
                  </w:txbxContent>
                </v:textbox>
                <w10:wrap anchorx="margin"/>
              </v:shape>
            </w:pict>
          </mc:Fallback>
        </mc:AlternateContent>
      </w:r>
      <w:r>
        <w:rPr>
          <w:noProof/>
          <w:lang w:eastAsia="en-US"/>
        </w:rPr>
        <mc:AlternateContent>
          <mc:Choice Requires="wps">
            <w:drawing>
              <wp:anchor distT="0" distB="0" distL="114300" distR="114300" simplePos="0" relativeHeight="251664384" behindDoc="0" locked="0" layoutInCell="1" allowOverlap="1" wp14:anchorId="25277CAD" wp14:editId="76E6BC81">
                <wp:simplePos x="0" y="0"/>
                <wp:positionH relativeFrom="margin">
                  <wp:posOffset>1043305</wp:posOffset>
                </wp:positionH>
                <wp:positionV relativeFrom="paragraph">
                  <wp:posOffset>3484245</wp:posOffset>
                </wp:positionV>
                <wp:extent cx="3665220" cy="717550"/>
                <wp:effectExtent l="0" t="0" r="0" b="6350"/>
                <wp:wrapNone/>
                <wp:docPr id="1887906207" name="Zone de texte 6"/>
                <wp:cNvGraphicFramePr/>
                <a:graphic xmlns:a="http://schemas.openxmlformats.org/drawingml/2006/main">
                  <a:graphicData uri="http://schemas.microsoft.com/office/word/2010/wordprocessingShape">
                    <wps:wsp>
                      <wps:cNvSpPr txBox="1"/>
                      <wps:spPr>
                        <a:xfrm>
                          <a:off x="0" y="0"/>
                          <a:ext cx="3665220" cy="717550"/>
                        </a:xfrm>
                        <a:prstGeom prst="rect">
                          <a:avLst/>
                        </a:prstGeom>
                        <a:solidFill>
                          <a:schemeClr val="lt1"/>
                        </a:solidFill>
                        <a:ln w="6350">
                          <a:noFill/>
                        </a:ln>
                      </wps:spPr>
                      <wps:txbx>
                        <w:txbxContent>
                          <w:p w:rsidR="008B6A40" w:rsidRPr="00273131" w:rsidRDefault="00BE3959" w:rsidP="00A066A7">
                            <w:pPr>
                              <w:spacing w:line="276" w:lineRule="auto"/>
                              <w:jc w:val="center"/>
                              <w:rPr>
                                <w:rFonts w:cs="Times New Roman"/>
                                <w:sz w:val="28"/>
                                <w:szCs w:val="28"/>
                                <w:lang w:val="fr-FR"/>
                              </w:rPr>
                            </w:pPr>
                            <w:r w:rsidRPr="00273131">
                              <w:rPr>
                                <w:rFonts w:cs="Times New Roman"/>
                                <w:sz w:val="28"/>
                                <w:szCs w:val="28"/>
                                <w:lang w:val="fr-FR"/>
                              </w:rPr>
                              <w:t>Auteur</w:t>
                            </w:r>
                            <w:r w:rsidRPr="00273131">
                              <w:rPr>
                                <w:rFonts w:cs="Times New Roman"/>
                                <w:sz w:val="28"/>
                                <w:szCs w:val="28"/>
                                <w:lang w:val="fr-FR"/>
                              </w:rPr>
                              <w:t>s</w:t>
                            </w:r>
                            <w:r w:rsidRPr="00273131">
                              <w:rPr>
                                <w:rFonts w:cs="Times New Roman"/>
                                <w:sz w:val="28"/>
                                <w:szCs w:val="28"/>
                                <w:lang w:val="fr-FR"/>
                              </w:rPr>
                              <w:t> :</w:t>
                            </w:r>
                          </w:p>
                          <w:p w:rsidR="008B6A40" w:rsidRPr="00273131" w:rsidRDefault="00BE3959" w:rsidP="00EE579F">
                            <w:pPr>
                              <w:spacing w:line="276" w:lineRule="auto"/>
                              <w:jc w:val="center"/>
                              <w:rPr>
                                <w:rFonts w:cs="Times New Roman"/>
                                <w:sz w:val="28"/>
                                <w:szCs w:val="28"/>
                                <w:lang w:val="fr-FR"/>
                              </w:rPr>
                            </w:pPr>
                            <w:r w:rsidRPr="00273131">
                              <w:rPr>
                                <w:rFonts w:cs="Times New Roman"/>
                                <w:sz w:val="28"/>
                                <w:szCs w:val="28"/>
                                <w:lang w:val="fr-FR"/>
                              </w:rPr>
                              <w:t>Cheikh Thioub    Oumarou Fi</w:t>
                            </w:r>
                            <w:r>
                              <w:rPr>
                                <w:rFonts w:cs="Times New Roman"/>
                                <w:sz w:val="28"/>
                                <w:szCs w:val="28"/>
                                <w:lang w:val="fr-FR"/>
                              </w:rPr>
                              <w:t>rhoun</w:t>
                            </w:r>
                          </w:p>
                          <w:p w:rsidR="008B6A40" w:rsidRPr="00273131" w:rsidRDefault="00BE3959" w:rsidP="00A066A7">
                            <w:pPr>
                              <w:spacing w:line="276" w:lineRule="auto"/>
                              <w:jc w:val="center"/>
                              <w:rPr>
                                <w:rFonts w:cs="Times New Roman"/>
                                <w:sz w:val="28"/>
                                <w:szCs w:val="28"/>
                                <w:lang w:val="fr-FR"/>
                              </w:rPr>
                            </w:pPr>
                          </w:p>
                          <w:p w:rsidR="008B6A40" w:rsidRPr="00273131" w:rsidRDefault="00BE3959">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77CAD" id="Zone de texte 6" o:spid="_x0000_s1030" type="#_x0000_t202" style="position:absolute;left:0;text-align:left;margin-left:82.15pt;margin-top:274.35pt;width:288.6pt;height:5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" fillcolor="white [3201]" stroked="f" strokeweight=".5pt">
                <v:textbox>
                  <w:txbxContent>
                    <w:p w:rsidR="008B6A40" w:rsidRPr="00273131" w:rsidRDefault="00BE3959" w:rsidP="00A066A7">
                      <w:pPr>
                        <w:spacing w:line="276" w:lineRule="auto"/>
                        <w:jc w:val="center"/>
                        <w:rPr>
                          <w:rFonts w:cs="Times New Roman"/>
                          <w:sz w:val="28"/>
                          <w:szCs w:val="28"/>
                          <w:lang w:val="fr-FR"/>
                        </w:rPr>
                      </w:pPr>
                      <w:r w:rsidRPr="00273131">
                        <w:rPr>
                          <w:rFonts w:cs="Times New Roman"/>
                          <w:sz w:val="28"/>
                          <w:szCs w:val="28"/>
                          <w:lang w:val="fr-FR"/>
                        </w:rPr>
                        <w:t>Auteur</w:t>
                      </w:r>
                      <w:r w:rsidRPr="00273131">
                        <w:rPr>
                          <w:rFonts w:cs="Times New Roman"/>
                          <w:sz w:val="28"/>
                          <w:szCs w:val="28"/>
                          <w:lang w:val="fr-FR"/>
                        </w:rPr>
                        <w:t>s</w:t>
                      </w:r>
                      <w:r w:rsidRPr="00273131">
                        <w:rPr>
                          <w:rFonts w:cs="Times New Roman"/>
                          <w:sz w:val="28"/>
                          <w:szCs w:val="28"/>
                          <w:lang w:val="fr-FR"/>
                        </w:rPr>
                        <w:t> :</w:t>
                      </w:r>
                    </w:p>
                    <w:p w:rsidR="008B6A40" w:rsidRPr="00273131" w:rsidRDefault="00BE3959" w:rsidP="00EE579F">
                      <w:pPr>
                        <w:spacing w:line="276" w:lineRule="auto"/>
                        <w:jc w:val="center"/>
                        <w:rPr>
                          <w:rFonts w:cs="Times New Roman"/>
                          <w:sz w:val="28"/>
                          <w:szCs w:val="28"/>
                          <w:lang w:val="fr-FR"/>
                        </w:rPr>
                      </w:pPr>
                      <w:r w:rsidRPr="00273131">
                        <w:rPr>
                          <w:rFonts w:cs="Times New Roman"/>
                          <w:sz w:val="28"/>
                          <w:szCs w:val="28"/>
                          <w:lang w:val="fr-FR"/>
                        </w:rPr>
                        <w:t>Cheikh Thioub    Oumarou Fi</w:t>
                      </w:r>
                      <w:r>
                        <w:rPr>
                          <w:rFonts w:cs="Times New Roman"/>
                          <w:sz w:val="28"/>
                          <w:szCs w:val="28"/>
                          <w:lang w:val="fr-FR"/>
                        </w:rPr>
                        <w:t>rhoun</w:t>
                      </w:r>
                    </w:p>
                    <w:p w:rsidR="008B6A40" w:rsidRPr="00273131" w:rsidRDefault="00BE3959" w:rsidP="00A066A7">
                      <w:pPr>
                        <w:spacing w:line="276" w:lineRule="auto"/>
                        <w:jc w:val="center"/>
                        <w:rPr>
                          <w:rFonts w:cs="Times New Roman"/>
                          <w:sz w:val="28"/>
                          <w:szCs w:val="28"/>
                          <w:lang w:val="fr-FR"/>
                        </w:rPr>
                      </w:pPr>
                    </w:p>
                    <w:p w:rsidR="008B6A40" w:rsidRPr="00273131" w:rsidRDefault="00BE3959">
                      <w:pPr>
                        <w:rPr>
                          <w:lang w:val="fr-FR"/>
                        </w:rPr>
                      </w:pPr>
                    </w:p>
                  </w:txbxContent>
                </v:textbox>
                <w10:wrap anchorx="margin"/>
              </v:shape>
            </w:pict>
          </mc:Fallback>
        </mc:AlternateContent>
      </w:r>
      <w:r>
        <w:rPr>
          <w:noProof/>
          <w:lang w:eastAsia="en-US"/>
        </w:rPr>
        <mc:AlternateContent>
          <mc:Choice Requires="wps">
            <w:drawing>
              <wp:anchor distT="0" distB="0" distL="114300" distR="114300" simplePos="0" relativeHeight="251665408" behindDoc="0" locked="0" layoutInCell="1" allowOverlap="1" wp14:anchorId="0CDAA1E5" wp14:editId="3A817993">
                <wp:simplePos x="0" y="0"/>
                <wp:positionH relativeFrom="margin">
                  <wp:posOffset>1040130</wp:posOffset>
                </wp:positionH>
                <wp:positionV relativeFrom="paragraph">
                  <wp:posOffset>4300855</wp:posOffset>
                </wp:positionV>
                <wp:extent cx="3680460" cy="388620"/>
                <wp:effectExtent l="0" t="0" r="0" b="0"/>
                <wp:wrapNone/>
                <wp:docPr id="1302987548" name="Zone de texte 7"/>
                <wp:cNvGraphicFramePr/>
                <a:graphic xmlns:a="http://schemas.openxmlformats.org/drawingml/2006/main">
                  <a:graphicData uri="http://schemas.microsoft.com/office/word/2010/wordprocessingShape">
                    <wps:wsp>
                      <wps:cNvSpPr txBox="1"/>
                      <wps:spPr>
                        <a:xfrm>
                          <a:off x="0" y="0"/>
                          <a:ext cx="3680460" cy="388620"/>
                        </a:xfrm>
                        <a:prstGeom prst="rect">
                          <a:avLst/>
                        </a:prstGeom>
                        <a:solidFill>
                          <a:schemeClr val="lt1"/>
                        </a:solidFill>
                        <a:ln w="6350">
                          <a:noFill/>
                        </a:ln>
                      </wps:spPr>
                      <wps:txbx>
                        <w:txbxContent>
                          <w:p w:rsidR="008B6A40" w:rsidRPr="00194C0A" w:rsidRDefault="00BE3959" w:rsidP="00194C0A">
                            <w:pPr>
                              <w:spacing w:line="276" w:lineRule="auto"/>
                              <w:jc w:val="center"/>
                              <w:rPr>
                                <w:rFonts w:cs="Times New Roman"/>
                                <w:sz w:val="28"/>
                                <w:szCs w:val="28"/>
                              </w:rPr>
                            </w:pPr>
                            <w:r w:rsidRPr="00194C0A">
                              <w:rPr>
                                <w:rFonts w:cs="Times New Roman"/>
                                <w:sz w:val="28"/>
                                <w:szCs w:val="28"/>
                              </w:rPr>
                              <w:t>ENSAE</w:t>
                            </w:r>
                            <w:r>
                              <w:rPr>
                                <w:rFonts w:cs="Times New Roman"/>
                                <w:sz w:val="28"/>
                                <w:szCs w:val="28"/>
                              </w:rPr>
                              <w:t xml:space="preserve"> </w:t>
                            </w:r>
                            <w:r w:rsidRPr="00194C0A">
                              <w:rPr>
                                <w:rFonts w:cs="Times New Roman"/>
                                <w:sz w:val="28"/>
                                <w:szCs w:val="28"/>
                              </w:rPr>
                              <w:t>- ISE1-CL / ISE1 MATH</w:t>
                            </w:r>
                            <w:r>
                              <w:rPr>
                                <w:rFonts w:cs="Times New Roman"/>
                                <w:sz w:val="28"/>
                                <w:szCs w:val="28"/>
                              </w:rPr>
                              <w:t xml:space="preserve"> </w:t>
                            </w:r>
                            <w:r>
                              <w:rPr>
                                <w:rFonts w:cs="Times New Roman"/>
                                <w:sz w:val="28"/>
                                <w:szCs w:val="28"/>
                              </w:rPr>
                              <w:t>- Avril</w:t>
                            </w:r>
                            <w:r w:rsidRPr="00194C0A">
                              <w:rPr>
                                <w:rFonts w:cs="Times New Roman"/>
                                <w:sz w:val="28"/>
                                <w:szCs w:val="28"/>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DAA1E5" id="Zone de texte 7" o:spid="_x0000_s1031" type="#_x0000_t202" style="position:absolute;left:0;text-align:left;margin-left:81.9pt;margin-top:338.65pt;width:289.8pt;height:30.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" fillcolor="white [3201]" stroked="f" strokeweight=".5pt">
                <v:textbox>
                  <w:txbxContent>
                    <w:p w:rsidR="008B6A40" w:rsidRPr="00194C0A" w:rsidRDefault="00BE3959" w:rsidP="00194C0A">
                      <w:pPr>
                        <w:spacing w:line="276" w:lineRule="auto"/>
                        <w:jc w:val="center"/>
                        <w:rPr>
                          <w:rFonts w:cs="Times New Roman"/>
                          <w:sz w:val="28"/>
                          <w:szCs w:val="28"/>
                        </w:rPr>
                      </w:pPr>
                      <w:r w:rsidRPr="00194C0A">
                        <w:rPr>
                          <w:rFonts w:cs="Times New Roman"/>
                          <w:sz w:val="28"/>
                          <w:szCs w:val="28"/>
                        </w:rPr>
                        <w:t>ENSAE</w:t>
                      </w:r>
                      <w:r>
                        <w:rPr>
                          <w:rFonts w:cs="Times New Roman"/>
                          <w:sz w:val="28"/>
                          <w:szCs w:val="28"/>
                        </w:rPr>
                        <w:t xml:space="preserve"> </w:t>
                      </w:r>
                      <w:r w:rsidRPr="00194C0A">
                        <w:rPr>
                          <w:rFonts w:cs="Times New Roman"/>
                          <w:sz w:val="28"/>
                          <w:szCs w:val="28"/>
                        </w:rPr>
                        <w:t>- ISE1-CL / ISE1 MATH</w:t>
                      </w:r>
                      <w:r>
                        <w:rPr>
                          <w:rFonts w:cs="Times New Roman"/>
                          <w:sz w:val="28"/>
                          <w:szCs w:val="28"/>
                        </w:rPr>
                        <w:t xml:space="preserve"> </w:t>
                      </w:r>
                      <w:r>
                        <w:rPr>
                          <w:rFonts w:cs="Times New Roman"/>
                          <w:sz w:val="28"/>
                          <w:szCs w:val="28"/>
                        </w:rPr>
                        <w:t>- Avril</w:t>
                      </w:r>
                      <w:r w:rsidRPr="00194C0A">
                        <w:rPr>
                          <w:rFonts w:cs="Times New Roman"/>
                          <w:sz w:val="28"/>
                          <w:szCs w:val="28"/>
                        </w:rPr>
                        <w:t xml:space="preserve"> 2026</w:t>
                      </w:r>
                    </w:p>
                  </w:txbxContent>
                </v:textbox>
                <w10:wrap anchorx="margin"/>
              </v:shape>
            </w:pict>
          </mc:Fallback>
        </mc:AlternateContent>
      </w:r>
      <w:r>
        <w:rPr>
          <w:noProof/>
          <w:lang w:eastAsia="en-US"/>
        </w:rPr>
        <mc:AlternateContent>
          <mc:Choice Requires="wps">
            <w:drawing>
              <wp:anchor distT="0" distB="0" distL="114300" distR="114300" simplePos="0" relativeHeight="251662336" behindDoc="0" locked="0" layoutInCell="1" allowOverlap="1" wp14:anchorId="1421DCC3" wp14:editId="721EEEF1">
                <wp:simplePos x="0" y="0"/>
                <wp:positionH relativeFrom="margin">
                  <wp:align>center</wp:align>
                </wp:positionH>
                <wp:positionV relativeFrom="paragraph">
                  <wp:posOffset>1287780</wp:posOffset>
                </wp:positionV>
                <wp:extent cx="3489960" cy="243840"/>
                <wp:effectExtent l="0" t="0" r="0" b="3810"/>
                <wp:wrapNone/>
                <wp:docPr id="462795272" name="Zone de texte 4"/>
                <wp:cNvGraphicFramePr/>
                <a:graphic xmlns:a="http://schemas.openxmlformats.org/drawingml/2006/main">
                  <a:graphicData uri="http://schemas.microsoft.com/office/word/2010/wordprocessingShape">
                    <wps:wsp>
                      <wps:cNvSpPr txBox="1"/>
                      <wps:spPr>
                        <a:xfrm>
                          <a:off x="0" y="0"/>
                          <a:ext cx="3489960" cy="243840"/>
                        </a:xfrm>
                        <a:prstGeom prst="rect">
                          <a:avLst/>
                        </a:prstGeom>
                        <a:solidFill>
                          <a:schemeClr val="lt1"/>
                        </a:solidFill>
                        <a:ln w="6350">
                          <a:noFill/>
                        </a:ln>
                      </wps:spPr>
                      <wps:txbx>
                        <w:txbxContent>
                          <w:p w:rsidR="008B6A40" w:rsidRPr="00A066A7" w:rsidRDefault="00BE3959" w:rsidP="00A066A7">
                            <w:pPr>
                              <w:jc w:val="center"/>
                              <w:rPr>
                                <w:rFonts w:cs="Times New Roman"/>
                              </w:r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21DCC3" id="_x0000_s1032" type="#_x0000_t202" style="position:absolute;left:0;text-align:left;margin-left:0;margin-top:101.4pt;width:274.8pt;height:19.2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" fillcolor="white [3201]" stroked="f" strokeweight=".5pt">
                <v:textbox>
                  <w:txbxContent>
                    <w:p w:rsidR="008B6A40" w:rsidRPr="00A066A7" w:rsidRDefault="00BE3959" w:rsidP="00A066A7">
                      <w:pPr>
                        <w:jc w:val="center"/>
                        <w:rPr>
                          <w:rFonts w:cs="Times New Roman"/>
                        </w:rPr>
                      </w:pPr>
                      <w:r>
                        <w:t>**********************************************</w:t>
                      </w:r>
                    </w:p>
                  </w:txbxContent>
                </v:textbox>
                <w10:wrap anchorx="margin"/>
              </v:shape>
            </w:pict>
          </mc:Fallback>
        </mc:AlternateContent>
      </w:r>
      <w:r>
        <w:rPr>
          <w:noProof/>
          <w:lang w:eastAsia="en-US"/>
        </w:rPr>
        <w:drawing>
          <wp:inline distT="0" distB="0" distL="0" distR="0" wp14:anchorId="27C1860B" wp14:editId="1F12967C">
            <wp:extent cx="1379220" cy="1203369"/>
            <wp:effectExtent l="0" t="0" r="4445" b="0"/>
            <wp:docPr id="158522868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28683" name="Image 15852286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79220" cy="1203369"/>
                    </a:xfrm>
                    <a:prstGeom prst="rect">
                      <a:avLst/>
                    </a:prstGeom>
                  </pic:spPr>
                </pic:pic>
              </a:graphicData>
            </a:graphic>
          </wp:inline>
        </w:drawing>
      </w:r>
    </w:p>
    <w:p w:rsidR="00663A34" w:rsidRDefault="00BE3959" w:rsidP="00273131"/>
    <w:p w:rsidR="00663A34" w:rsidRDefault="00BE3959" w:rsidP="00D6072A"/>
    <w:p w:rsidR="00F64049" w:rsidRDefault="00BE3959">
      <w:r>
        <w:br w:type="page"/>
      </w:r>
    </w:p>
    <w:p w:rsidR="00F64049" w:rsidRDefault="00BE3959">
      <w:pPr>
        <w:pStyle w:val="Titre1"/>
      </w:pPr>
      <w:bookmarkStart w:id="0" w:name="table-des-matières"/>
      <w:bookmarkStart w:id="1" w:name="_Toc226981208"/>
      <w:r>
        <w:lastRenderedPageBreak/>
        <w:t>Table des matières</w:t>
      </w:r>
      <w:bookmarkEnd w:id="1"/>
    </w:p>
    <w:p w:rsidR="00BE3959" w:rsidRDefault="00BE3959">
      <w:pPr>
        <w:pStyle w:val="TM1"/>
        <w:tabs>
          <w:tab w:val="right" w:leader="dot" w:pos="9396"/>
        </w:tabs>
        <w:rPr>
          <w:rFonts w:asciiTheme="minorHAnsi" w:hAnsiTheme="minorHAnsi"/>
          <w:noProof/>
          <w:sz w:val="22"/>
          <w:szCs w:val="22"/>
          <w:lang w:eastAsia="en-US"/>
        </w:rPr>
      </w:pPr>
      <w:r>
        <w:fldChar w:fldCharType="begin"/>
      </w:r>
      <w:r>
        <w:instrText>TOC \o "1-3" \h \z \u</w:instrText>
      </w:r>
      <w:r>
        <w:fldChar w:fldCharType="separate"/>
      </w:r>
      <w:hyperlink w:anchor="_Toc226981208" w:history="1">
        <w:r w:rsidRPr="00F240A5">
          <w:rPr>
            <w:rStyle w:val="Lienhypertexte"/>
            <w:noProof/>
          </w:rPr>
          <w:t>Table des matières</w:t>
        </w:r>
        <w:r>
          <w:rPr>
            <w:noProof/>
            <w:webHidden/>
          </w:rPr>
          <w:tab/>
        </w:r>
        <w:r>
          <w:rPr>
            <w:noProof/>
            <w:webHidden/>
          </w:rPr>
          <w:fldChar w:fldCharType="begin"/>
        </w:r>
        <w:r>
          <w:rPr>
            <w:noProof/>
            <w:webHidden/>
          </w:rPr>
          <w:instrText xml:space="preserve"> PAGEREF _Toc226981208 \h </w:instrText>
        </w:r>
        <w:r>
          <w:rPr>
            <w:noProof/>
            <w:webHidden/>
          </w:rPr>
        </w:r>
        <w:r>
          <w:rPr>
            <w:noProof/>
            <w:webHidden/>
          </w:rPr>
          <w:fldChar w:fldCharType="separate"/>
        </w:r>
        <w:r>
          <w:rPr>
            <w:noProof/>
            <w:webHidden/>
          </w:rPr>
          <w:t>2</w:t>
        </w:r>
        <w:r>
          <w:rPr>
            <w:noProof/>
            <w:webHidden/>
          </w:rPr>
          <w:fldChar w:fldCharType="end"/>
        </w:r>
      </w:hyperlink>
    </w:p>
    <w:p w:rsidR="00BE3959" w:rsidRDefault="00BE3959">
      <w:pPr>
        <w:pStyle w:val="TM1"/>
        <w:tabs>
          <w:tab w:val="right" w:leader="dot" w:pos="9396"/>
        </w:tabs>
        <w:rPr>
          <w:rFonts w:asciiTheme="minorHAnsi" w:hAnsiTheme="minorHAnsi"/>
          <w:noProof/>
          <w:sz w:val="22"/>
          <w:szCs w:val="22"/>
          <w:lang w:eastAsia="en-US"/>
        </w:rPr>
      </w:pPr>
      <w:hyperlink w:anchor="_Toc226981209" w:history="1">
        <w:r w:rsidRPr="00F240A5">
          <w:rPr>
            <w:rStyle w:val="Lienhypertexte"/>
            <w:noProof/>
          </w:rPr>
          <w:t>Résumé</w:t>
        </w:r>
        <w:r>
          <w:rPr>
            <w:noProof/>
            <w:webHidden/>
          </w:rPr>
          <w:tab/>
        </w:r>
        <w:r>
          <w:rPr>
            <w:noProof/>
            <w:webHidden/>
          </w:rPr>
          <w:fldChar w:fldCharType="begin"/>
        </w:r>
        <w:r>
          <w:rPr>
            <w:noProof/>
            <w:webHidden/>
          </w:rPr>
          <w:instrText xml:space="preserve"> PAGEREF _Toc226981209 \h </w:instrText>
        </w:r>
        <w:r>
          <w:rPr>
            <w:noProof/>
            <w:webHidden/>
          </w:rPr>
        </w:r>
        <w:r>
          <w:rPr>
            <w:noProof/>
            <w:webHidden/>
          </w:rPr>
          <w:fldChar w:fldCharType="separate"/>
        </w:r>
        <w:r>
          <w:rPr>
            <w:noProof/>
            <w:webHidden/>
          </w:rPr>
          <w:t>4</w:t>
        </w:r>
        <w:r>
          <w:rPr>
            <w:noProof/>
            <w:webHidden/>
          </w:rPr>
          <w:fldChar w:fldCharType="end"/>
        </w:r>
      </w:hyperlink>
    </w:p>
    <w:p w:rsidR="00BE3959" w:rsidRDefault="00BE3959">
      <w:pPr>
        <w:pStyle w:val="TM1"/>
        <w:tabs>
          <w:tab w:val="right" w:leader="dot" w:pos="9396"/>
        </w:tabs>
        <w:rPr>
          <w:rFonts w:asciiTheme="minorHAnsi" w:hAnsiTheme="minorHAnsi"/>
          <w:noProof/>
          <w:sz w:val="22"/>
          <w:szCs w:val="22"/>
          <w:lang w:eastAsia="en-US"/>
        </w:rPr>
      </w:pPr>
      <w:hyperlink w:anchor="_Toc226981210" w:history="1">
        <w:r w:rsidRPr="00F240A5">
          <w:rPr>
            <w:rStyle w:val="Lienhypertexte"/>
            <w:noProof/>
          </w:rPr>
          <w:t>Introduction</w:t>
        </w:r>
        <w:r>
          <w:rPr>
            <w:noProof/>
            <w:webHidden/>
          </w:rPr>
          <w:tab/>
        </w:r>
        <w:r>
          <w:rPr>
            <w:noProof/>
            <w:webHidden/>
          </w:rPr>
          <w:fldChar w:fldCharType="begin"/>
        </w:r>
        <w:r>
          <w:rPr>
            <w:noProof/>
            <w:webHidden/>
          </w:rPr>
          <w:instrText xml:space="preserve"> PAGEREF _Toc226981210 \h </w:instrText>
        </w:r>
        <w:r>
          <w:rPr>
            <w:noProof/>
            <w:webHidden/>
          </w:rPr>
        </w:r>
        <w:r>
          <w:rPr>
            <w:noProof/>
            <w:webHidden/>
          </w:rPr>
          <w:fldChar w:fldCharType="separate"/>
        </w:r>
        <w:r>
          <w:rPr>
            <w:noProof/>
            <w:webHidden/>
          </w:rPr>
          <w:t>5</w:t>
        </w:r>
        <w:r>
          <w:rPr>
            <w:noProof/>
            <w:webHidden/>
          </w:rPr>
          <w:fldChar w:fldCharType="end"/>
        </w:r>
      </w:hyperlink>
    </w:p>
    <w:p w:rsidR="00BE3959" w:rsidRDefault="00BE3959">
      <w:pPr>
        <w:pStyle w:val="TM2"/>
        <w:tabs>
          <w:tab w:val="right" w:leader="dot" w:pos="9396"/>
        </w:tabs>
        <w:rPr>
          <w:rFonts w:asciiTheme="minorHAnsi" w:hAnsiTheme="minorHAnsi"/>
          <w:noProof/>
          <w:sz w:val="22"/>
          <w:szCs w:val="22"/>
          <w:lang w:eastAsia="en-US"/>
        </w:rPr>
      </w:pPr>
      <w:hyperlink w:anchor="_Toc226981211" w:history="1">
        <w:r w:rsidRPr="00F240A5">
          <w:rPr>
            <w:rStyle w:val="Lienhypertexte"/>
            <w:noProof/>
          </w:rPr>
          <w:t>Contexte et enjeux</w:t>
        </w:r>
        <w:r>
          <w:rPr>
            <w:noProof/>
            <w:webHidden/>
          </w:rPr>
          <w:tab/>
        </w:r>
        <w:r>
          <w:rPr>
            <w:noProof/>
            <w:webHidden/>
          </w:rPr>
          <w:fldChar w:fldCharType="begin"/>
        </w:r>
        <w:r>
          <w:rPr>
            <w:noProof/>
            <w:webHidden/>
          </w:rPr>
          <w:instrText xml:space="preserve"> PAGEREF _Toc226981211 \h </w:instrText>
        </w:r>
        <w:r>
          <w:rPr>
            <w:noProof/>
            <w:webHidden/>
          </w:rPr>
        </w:r>
        <w:r>
          <w:rPr>
            <w:noProof/>
            <w:webHidden/>
          </w:rPr>
          <w:fldChar w:fldCharType="separate"/>
        </w:r>
        <w:r>
          <w:rPr>
            <w:noProof/>
            <w:webHidden/>
          </w:rPr>
          <w:t>5</w:t>
        </w:r>
        <w:r>
          <w:rPr>
            <w:noProof/>
            <w:webHidden/>
          </w:rPr>
          <w:fldChar w:fldCharType="end"/>
        </w:r>
      </w:hyperlink>
    </w:p>
    <w:p w:rsidR="00BE3959" w:rsidRDefault="00BE3959">
      <w:pPr>
        <w:pStyle w:val="TM2"/>
        <w:tabs>
          <w:tab w:val="right" w:leader="dot" w:pos="9396"/>
        </w:tabs>
        <w:rPr>
          <w:rFonts w:asciiTheme="minorHAnsi" w:hAnsiTheme="minorHAnsi"/>
          <w:noProof/>
          <w:sz w:val="22"/>
          <w:szCs w:val="22"/>
          <w:lang w:eastAsia="en-US"/>
        </w:rPr>
      </w:pPr>
      <w:hyperlink w:anchor="_Toc226981212" w:history="1">
        <w:r w:rsidRPr="00F240A5">
          <w:rPr>
            <w:rStyle w:val="Lienhypertexte"/>
            <w:noProof/>
          </w:rPr>
          <w:t>Présentation du dispositif GHS-Panel</w:t>
        </w:r>
        <w:r>
          <w:rPr>
            <w:noProof/>
            <w:webHidden/>
          </w:rPr>
          <w:tab/>
        </w:r>
        <w:r>
          <w:rPr>
            <w:noProof/>
            <w:webHidden/>
          </w:rPr>
          <w:fldChar w:fldCharType="begin"/>
        </w:r>
        <w:r>
          <w:rPr>
            <w:noProof/>
            <w:webHidden/>
          </w:rPr>
          <w:instrText xml:space="preserve"> PAGEREF _Toc226981212 \h </w:instrText>
        </w:r>
        <w:r>
          <w:rPr>
            <w:noProof/>
            <w:webHidden/>
          </w:rPr>
        </w:r>
        <w:r>
          <w:rPr>
            <w:noProof/>
            <w:webHidden/>
          </w:rPr>
          <w:fldChar w:fldCharType="separate"/>
        </w:r>
        <w:r>
          <w:rPr>
            <w:noProof/>
            <w:webHidden/>
          </w:rPr>
          <w:t>5</w:t>
        </w:r>
        <w:r>
          <w:rPr>
            <w:noProof/>
            <w:webHidden/>
          </w:rPr>
          <w:fldChar w:fldCharType="end"/>
        </w:r>
      </w:hyperlink>
    </w:p>
    <w:p w:rsidR="00BE3959" w:rsidRDefault="00BE3959">
      <w:pPr>
        <w:pStyle w:val="TM2"/>
        <w:tabs>
          <w:tab w:val="right" w:leader="dot" w:pos="9396"/>
        </w:tabs>
        <w:rPr>
          <w:rFonts w:asciiTheme="minorHAnsi" w:hAnsiTheme="minorHAnsi"/>
          <w:noProof/>
          <w:sz w:val="22"/>
          <w:szCs w:val="22"/>
          <w:lang w:eastAsia="en-US"/>
        </w:rPr>
      </w:pPr>
      <w:hyperlink w:anchor="_Toc226981213" w:history="1">
        <w:r w:rsidRPr="00F240A5">
          <w:rPr>
            <w:rStyle w:val="Lienhypertexte"/>
            <w:noProof/>
          </w:rPr>
          <w:t>Objectifs et organisation du rapport</w:t>
        </w:r>
        <w:r>
          <w:rPr>
            <w:noProof/>
            <w:webHidden/>
          </w:rPr>
          <w:tab/>
        </w:r>
        <w:r>
          <w:rPr>
            <w:noProof/>
            <w:webHidden/>
          </w:rPr>
          <w:fldChar w:fldCharType="begin"/>
        </w:r>
        <w:r>
          <w:rPr>
            <w:noProof/>
            <w:webHidden/>
          </w:rPr>
          <w:instrText xml:space="preserve"> PAGEREF _Toc226981213 \h </w:instrText>
        </w:r>
        <w:r>
          <w:rPr>
            <w:noProof/>
            <w:webHidden/>
          </w:rPr>
        </w:r>
        <w:r>
          <w:rPr>
            <w:noProof/>
            <w:webHidden/>
          </w:rPr>
          <w:fldChar w:fldCharType="separate"/>
        </w:r>
        <w:r>
          <w:rPr>
            <w:noProof/>
            <w:webHidden/>
          </w:rPr>
          <w:t>6</w:t>
        </w:r>
        <w:r>
          <w:rPr>
            <w:noProof/>
            <w:webHidden/>
          </w:rPr>
          <w:fldChar w:fldCharType="end"/>
        </w:r>
      </w:hyperlink>
    </w:p>
    <w:p w:rsidR="00BE3959" w:rsidRDefault="00BE3959">
      <w:pPr>
        <w:pStyle w:val="TM1"/>
        <w:tabs>
          <w:tab w:val="right" w:leader="dot" w:pos="9396"/>
        </w:tabs>
        <w:rPr>
          <w:rFonts w:asciiTheme="minorHAnsi" w:hAnsiTheme="minorHAnsi"/>
          <w:noProof/>
          <w:sz w:val="22"/>
          <w:szCs w:val="22"/>
          <w:lang w:eastAsia="en-US"/>
        </w:rPr>
      </w:pPr>
      <w:hyperlink w:anchor="_Toc226981214" w:history="1">
        <w:r w:rsidRPr="00F240A5">
          <w:rPr>
            <w:rStyle w:val="Lienhypertexte"/>
            <w:noProof/>
          </w:rPr>
          <w:t>1. Données et pipeline de traitement</w:t>
        </w:r>
        <w:r>
          <w:rPr>
            <w:noProof/>
            <w:webHidden/>
          </w:rPr>
          <w:tab/>
        </w:r>
        <w:r>
          <w:rPr>
            <w:noProof/>
            <w:webHidden/>
          </w:rPr>
          <w:fldChar w:fldCharType="begin"/>
        </w:r>
        <w:r>
          <w:rPr>
            <w:noProof/>
            <w:webHidden/>
          </w:rPr>
          <w:instrText xml:space="preserve"> PAGEREF _Toc226981214 \h </w:instrText>
        </w:r>
        <w:r>
          <w:rPr>
            <w:noProof/>
            <w:webHidden/>
          </w:rPr>
        </w:r>
        <w:r>
          <w:rPr>
            <w:noProof/>
            <w:webHidden/>
          </w:rPr>
          <w:fldChar w:fldCharType="separate"/>
        </w:r>
        <w:r>
          <w:rPr>
            <w:noProof/>
            <w:webHidden/>
          </w:rPr>
          <w:t>7</w:t>
        </w:r>
        <w:r>
          <w:rPr>
            <w:noProof/>
            <w:webHidden/>
          </w:rPr>
          <w:fldChar w:fldCharType="end"/>
        </w:r>
      </w:hyperlink>
    </w:p>
    <w:p w:rsidR="00BE3959" w:rsidRDefault="00BE3959">
      <w:pPr>
        <w:pStyle w:val="TM2"/>
        <w:tabs>
          <w:tab w:val="right" w:leader="dot" w:pos="9396"/>
        </w:tabs>
        <w:rPr>
          <w:rFonts w:asciiTheme="minorHAnsi" w:hAnsiTheme="minorHAnsi"/>
          <w:noProof/>
          <w:sz w:val="22"/>
          <w:szCs w:val="22"/>
          <w:lang w:eastAsia="en-US"/>
        </w:rPr>
      </w:pPr>
      <w:hyperlink w:anchor="_Toc226981215" w:history="1">
        <w:r w:rsidRPr="00F240A5">
          <w:rPr>
            <w:rStyle w:val="Lienhypertexte"/>
            <w:noProof/>
          </w:rPr>
          <w:t>1.1 Bases de données mobilisées</w:t>
        </w:r>
        <w:r>
          <w:rPr>
            <w:noProof/>
            <w:webHidden/>
          </w:rPr>
          <w:tab/>
        </w:r>
        <w:r>
          <w:rPr>
            <w:noProof/>
            <w:webHidden/>
          </w:rPr>
          <w:fldChar w:fldCharType="begin"/>
        </w:r>
        <w:r>
          <w:rPr>
            <w:noProof/>
            <w:webHidden/>
          </w:rPr>
          <w:instrText xml:space="preserve"> PAGEREF _Toc226981215 \h </w:instrText>
        </w:r>
        <w:r>
          <w:rPr>
            <w:noProof/>
            <w:webHidden/>
          </w:rPr>
        </w:r>
        <w:r>
          <w:rPr>
            <w:noProof/>
            <w:webHidden/>
          </w:rPr>
          <w:fldChar w:fldCharType="separate"/>
        </w:r>
        <w:r>
          <w:rPr>
            <w:noProof/>
            <w:webHidden/>
          </w:rPr>
          <w:t>7</w:t>
        </w:r>
        <w:r>
          <w:rPr>
            <w:noProof/>
            <w:webHidden/>
          </w:rPr>
          <w:fldChar w:fldCharType="end"/>
        </w:r>
      </w:hyperlink>
    </w:p>
    <w:p w:rsidR="00BE3959" w:rsidRDefault="00BE3959">
      <w:pPr>
        <w:pStyle w:val="TM2"/>
        <w:tabs>
          <w:tab w:val="right" w:leader="dot" w:pos="9396"/>
        </w:tabs>
        <w:rPr>
          <w:rFonts w:asciiTheme="minorHAnsi" w:hAnsiTheme="minorHAnsi"/>
          <w:noProof/>
          <w:sz w:val="22"/>
          <w:szCs w:val="22"/>
          <w:lang w:eastAsia="en-US"/>
        </w:rPr>
      </w:pPr>
      <w:hyperlink w:anchor="_Toc226981216" w:history="1">
        <w:r w:rsidRPr="00F240A5">
          <w:rPr>
            <w:rStyle w:val="Lienhypertexte"/>
            <w:noProof/>
          </w:rPr>
          <w:t>1.2 Pipeline de traitement</w:t>
        </w:r>
        <w:r>
          <w:rPr>
            <w:noProof/>
            <w:webHidden/>
          </w:rPr>
          <w:tab/>
        </w:r>
        <w:r>
          <w:rPr>
            <w:noProof/>
            <w:webHidden/>
          </w:rPr>
          <w:fldChar w:fldCharType="begin"/>
        </w:r>
        <w:r>
          <w:rPr>
            <w:noProof/>
            <w:webHidden/>
          </w:rPr>
          <w:instrText xml:space="preserve"> PAGEREF _Toc226981216 \h </w:instrText>
        </w:r>
        <w:r>
          <w:rPr>
            <w:noProof/>
            <w:webHidden/>
          </w:rPr>
        </w:r>
        <w:r>
          <w:rPr>
            <w:noProof/>
            <w:webHidden/>
          </w:rPr>
          <w:fldChar w:fldCharType="separate"/>
        </w:r>
        <w:r>
          <w:rPr>
            <w:noProof/>
            <w:webHidden/>
          </w:rPr>
          <w:t>7</w:t>
        </w:r>
        <w:r>
          <w:rPr>
            <w:noProof/>
            <w:webHidden/>
          </w:rPr>
          <w:fldChar w:fldCharType="end"/>
        </w:r>
      </w:hyperlink>
    </w:p>
    <w:p w:rsidR="00BE3959" w:rsidRDefault="00BE3959">
      <w:pPr>
        <w:pStyle w:val="TM2"/>
        <w:tabs>
          <w:tab w:val="right" w:leader="dot" w:pos="9396"/>
        </w:tabs>
        <w:rPr>
          <w:rFonts w:asciiTheme="minorHAnsi" w:hAnsiTheme="minorHAnsi"/>
          <w:noProof/>
          <w:sz w:val="22"/>
          <w:szCs w:val="22"/>
          <w:lang w:eastAsia="en-US"/>
        </w:rPr>
      </w:pPr>
      <w:hyperlink w:anchor="_Toc226981217" w:history="1">
        <w:r w:rsidRPr="00F240A5">
          <w:rPr>
            <w:rStyle w:val="Lienhypertexte"/>
            <w:noProof/>
          </w:rPr>
          <w:t>1.3 Poids de sondage</w:t>
        </w:r>
        <w:r>
          <w:rPr>
            <w:noProof/>
            <w:webHidden/>
          </w:rPr>
          <w:tab/>
        </w:r>
        <w:r>
          <w:rPr>
            <w:noProof/>
            <w:webHidden/>
          </w:rPr>
          <w:fldChar w:fldCharType="begin"/>
        </w:r>
        <w:r>
          <w:rPr>
            <w:noProof/>
            <w:webHidden/>
          </w:rPr>
          <w:instrText xml:space="preserve"> PAGEREF _Toc226981217 \h </w:instrText>
        </w:r>
        <w:r>
          <w:rPr>
            <w:noProof/>
            <w:webHidden/>
          </w:rPr>
        </w:r>
        <w:r>
          <w:rPr>
            <w:noProof/>
            <w:webHidden/>
          </w:rPr>
          <w:fldChar w:fldCharType="separate"/>
        </w:r>
        <w:r>
          <w:rPr>
            <w:noProof/>
            <w:webHidden/>
          </w:rPr>
          <w:t>8</w:t>
        </w:r>
        <w:r>
          <w:rPr>
            <w:noProof/>
            <w:webHidden/>
          </w:rPr>
          <w:fldChar w:fldCharType="end"/>
        </w:r>
      </w:hyperlink>
    </w:p>
    <w:p w:rsidR="00BE3959" w:rsidRDefault="00BE3959">
      <w:pPr>
        <w:pStyle w:val="TM1"/>
        <w:tabs>
          <w:tab w:val="right" w:leader="dot" w:pos="9396"/>
        </w:tabs>
        <w:rPr>
          <w:rFonts w:asciiTheme="minorHAnsi" w:hAnsiTheme="minorHAnsi"/>
          <w:noProof/>
          <w:sz w:val="22"/>
          <w:szCs w:val="22"/>
          <w:lang w:eastAsia="en-US"/>
        </w:rPr>
      </w:pPr>
      <w:hyperlink w:anchor="_Toc226981218" w:history="1">
        <w:r w:rsidRPr="00F240A5">
          <w:rPr>
            <w:rStyle w:val="Lienhypertexte"/>
            <w:noProof/>
          </w:rPr>
          <w:t>2. Distribution de la superficie parcellaire (Tâche 19)</w:t>
        </w:r>
        <w:r>
          <w:rPr>
            <w:noProof/>
            <w:webHidden/>
          </w:rPr>
          <w:tab/>
        </w:r>
        <w:r>
          <w:rPr>
            <w:noProof/>
            <w:webHidden/>
          </w:rPr>
          <w:fldChar w:fldCharType="begin"/>
        </w:r>
        <w:r>
          <w:rPr>
            <w:noProof/>
            <w:webHidden/>
          </w:rPr>
          <w:instrText xml:space="preserve"> PAGEREF _Toc226981218 \h </w:instrText>
        </w:r>
        <w:r>
          <w:rPr>
            <w:noProof/>
            <w:webHidden/>
          </w:rPr>
        </w:r>
        <w:r>
          <w:rPr>
            <w:noProof/>
            <w:webHidden/>
          </w:rPr>
          <w:fldChar w:fldCharType="separate"/>
        </w:r>
        <w:r>
          <w:rPr>
            <w:noProof/>
            <w:webHidden/>
          </w:rPr>
          <w:t>9</w:t>
        </w:r>
        <w:r>
          <w:rPr>
            <w:noProof/>
            <w:webHidden/>
          </w:rPr>
          <w:fldChar w:fldCharType="end"/>
        </w:r>
      </w:hyperlink>
    </w:p>
    <w:p w:rsidR="00BE3959" w:rsidRDefault="00BE3959">
      <w:pPr>
        <w:pStyle w:val="TM2"/>
        <w:tabs>
          <w:tab w:val="right" w:leader="dot" w:pos="9396"/>
        </w:tabs>
        <w:rPr>
          <w:rFonts w:asciiTheme="minorHAnsi" w:hAnsiTheme="minorHAnsi"/>
          <w:noProof/>
          <w:sz w:val="22"/>
          <w:szCs w:val="22"/>
          <w:lang w:eastAsia="en-US"/>
        </w:rPr>
      </w:pPr>
      <w:hyperlink w:anchor="_Toc226981219" w:history="1">
        <w:r w:rsidRPr="00F240A5">
          <w:rPr>
            <w:rStyle w:val="Lienhypertexte"/>
            <w:noProof/>
          </w:rPr>
          <w:t>2.1 Construction de la variable superficie</w:t>
        </w:r>
        <w:r>
          <w:rPr>
            <w:noProof/>
            <w:webHidden/>
          </w:rPr>
          <w:tab/>
        </w:r>
        <w:r>
          <w:rPr>
            <w:noProof/>
            <w:webHidden/>
          </w:rPr>
          <w:fldChar w:fldCharType="begin"/>
        </w:r>
        <w:r>
          <w:rPr>
            <w:noProof/>
            <w:webHidden/>
          </w:rPr>
          <w:instrText xml:space="preserve"> PAGEREF _Toc226981219 \h </w:instrText>
        </w:r>
        <w:r>
          <w:rPr>
            <w:noProof/>
            <w:webHidden/>
          </w:rPr>
        </w:r>
        <w:r>
          <w:rPr>
            <w:noProof/>
            <w:webHidden/>
          </w:rPr>
          <w:fldChar w:fldCharType="separate"/>
        </w:r>
        <w:r>
          <w:rPr>
            <w:noProof/>
            <w:webHidden/>
          </w:rPr>
          <w:t>9</w:t>
        </w:r>
        <w:r>
          <w:rPr>
            <w:noProof/>
            <w:webHidden/>
          </w:rPr>
          <w:fldChar w:fldCharType="end"/>
        </w:r>
      </w:hyperlink>
    </w:p>
    <w:p w:rsidR="00BE3959" w:rsidRDefault="00BE3959">
      <w:pPr>
        <w:pStyle w:val="TM2"/>
        <w:tabs>
          <w:tab w:val="right" w:leader="dot" w:pos="9396"/>
        </w:tabs>
        <w:rPr>
          <w:rFonts w:asciiTheme="minorHAnsi" w:hAnsiTheme="minorHAnsi"/>
          <w:noProof/>
          <w:sz w:val="22"/>
          <w:szCs w:val="22"/>
          <w:lang w:eastAsia="en-US"/>
        </w:rPr>
      </w:pPr>
      <w:hyperlink w:anchor="_Toc226981220" w:history="1">
        <w:r w:rsidRPr="00F240A5">
          <w:rPr>
            <w:rStyle w:val="Lienhypertexte"/>
            <w:noProof/>
          </w:rPr>
          <w:t>2.2 Statistiques descriptives de la superficie parcellaire</w:t>
        </w:r>
        <w:r>
          <w:rPr>
            <w:noProof/>
            <w:webHidden/>
          </w:rPr>
          <w:tab/>
        </w:r>
        <w:r>
          <w:rPr>
            <w:noProof/>
            <w:webHidden/>
          </w:rPr>
          <w:fldChar w:fldCharType="begin"/>
        </w:r>
        <w:r>
          <w:rPr>
            <w:noProof/>
            <w:webHidden/>
          </w:rPr>
          <w:instrText xml:space="preserve"> PAGEREF _Toc226981220 \h </w:instrText>
        </w:r>
        <w:r>
          <w:rPr>
            <w:noProof/>
            <w:webHidden/>
          </w:rPr>
        </w:r>
        <w:r>
          <w:rPr>
            <w:noProof/>
            <w:webHidden/>
          </w:rPr>
          <w:fldChar w:fldCharType="separate"/>
        </w:r>
        <w:r>
          <w:rPr>
            <w:noProof/>
            <w:webHidden/>
          </w:rPr>
          <w:t>9</w:t>
        </w:r>
        <w:r>
          <w:rPr>
            <w:noProof/>
            <w:webHidden/>
          </w:rPr>
          <w:fldChar w:fldCharType="end"/>
        </w:r>
      </w:hyperlink>
    </w:p>
    <w:p w:rsidR="00BE3959" w:rsidRDefault="00BE3959">
      <w:pPr>
        <w:pStyle w:val="TM2"/>
        <w:tabs>
          <w:tab w:val="right" w:leader="dot" w:pos="9396"/>
        </w:tabs>
        <w:rPr>
          <w:rFonts w:asciiTheme="minorHAnsi" w:hAnsiTheme="minorHAnsi"/>
          <w:noProof/>
          <w:sz w:val="22"/>
          <w:szCs w:val="22"/>
          <w:lang w:eastAsia="en-US"/>
        </w:rPr>
      </w:pPr>
      <w:hyperlink w:anchor="_Toc226981221" w:history="1">
        <w:r w:rsidRPr="00F240A5">
          <w:rPr>
            <w:rStyle w:val="Lienhypertexte"/>
            <w:noProof/>
          </w:rPr>
          <w:t>2.3 Distributions graphiques</w:t>
        </w:r>
        <w:r>
          <w:rPr>
            <w:noProof/>
            <w:webHidden/>
          </w:rPr>
          <w:tab/>
        </w:r>
        <w:r>
          <w:rPr>
            <w:noProof/>
            <w:webHidden/>
          </w:rPr>
          <w:fldChar w:fldCharType="begin"/>
        </w:r>
        <w:r>
          <w:rPr>
            <w:noProof/>
            <w:webHidden/>
          </w:rPr>
          <w:instrText xml:space="preserve"> PAGEREF _Toc226981221 \h </w:instrText>
        </w:r>
        <w:r>
          <w:rPr>
            <w:noProof/>
            <w:webHidden/>
          </w:rPr>
        </w:r>
        <w:r>
          <w:rPr>
            <w:noProof/>
            <w:webHidden/>
          </w:rPr>
          <w:fldChar w:fldCharType="separate"/>
        </w:r>
        <w:r>
          <w:rPr>
            <w:noProof/>
            <w:webHidden/>
          </w:rPr>
          <w:t>11</w:t>
        </w:r>
        <w:r>
          <w:rPr>
            <w:noProof/>
            <w:webHidden/>
          </w:rPr>
          <w:fldChar w:fldCharType="end"/>
        </w:r>
      </w:hyperlink>
    </w:p>
    <w:p w:rsidR="00BE3959" w:rsidRDefault="00BE3959">
      <w:pPr>
        <w:pStyle w:val="TM2"/>
        <w:tabs>
          <w:tab w:val="right" w:leader="dot" w:pos="9396"/>
        </w:tabs>
        <w:rPr>
          <w:rFonts w:asciiTheme="minorHAnsi" w:hAnsiTheme="minorHAnsi"/>
          <w:noProof/>
          <w:sz w:val="22"/>
          <w:szCs w:val="22"/>
          <w:lang w:eastAsia="en-US"/>
        </w:rPr>
      </w:pPr>
      <w:hyperlink w:anchor="_Toc226981222" w:history="1">
        <w:r w:rsidRPr="00F240A5">
          <w:rPr>
            <w:rStyle w:val="Lienhypertexte"/>
            <w:noProof/>
          </w:rPr>
          <w:t>2.4 Déciles de superficie au niveau ménage</w:t>
        </w:r>
        <w:r>
          <w:rPr>
            <w:noProof/>
            <w:webHidden/>
          </w:rPr>
          <w:tab/>
        </w:r>
        <w:r>
          <w:rPr>
            <w:noProof/>
            <w:webHidden/>
          </w:rPr>
          <w:fldChar w:fldCharType="begin"/>
        </w:r>
        <w:r>
          <w:rPr>
            <w:noProof/>
            <w:webHidden/>
          </w:rPr>
          <w:instrText xml:space="preserve"> PAGEREF _Toc226981222 \h </w:instrText>
        </w:r>
        <w:r>
          <w:rPr>
            <w:noProof/>
            <w:webHidden/>
          </w:rPr>
        </w:r>
        <w:r>
          <w:rPr>
            <w:noProof/>
            <w:webHidden/>
          </w:rPr>
          <w:fldChar w:fldCharType="separate"/>
        </w:r>
        <w:r>
          <w:rPr>
            <w:noProof/>
            <w:webHidden/>
          </w:rPr>
          <w:t>13</w:t>
        </w:r>
        <w:r>
          <w:rPr>
            <w:noProof/>
            <w:webHidden/>
          </w:rPr>
          <w:fldChar w:fldCharType="end"/>
        </w:r>
      </w:hyperlink>
    </w:p>
    <w:p w:rsidR="00BE3959" w:rsidRDefault="00BE3959">
      <w:pPr>
        <w:pStyle w:val="TM1"/>
        <w:tabs>
          <w:tab w:val="right" w:leader="dot" w:pos="9396"/>
        </w:tabs>
        <w:rPr>
          <w:rFonts w:asciiTheme="minorHAnsi" w:hAnsiTheme="minorHAnsi"/>
          <w:noProof/>
          <w:sz w:val="22"/>
          <w:szCs w:val="22"/>
          <w:lang w:eastAsia="en-US"/>
        </w:rPr>
      </w:pPr>
      <w:hyperlink w:anchor="_Toc226981223" w:history="1">
        <w:r w:rsidRPr="00F240A5">
          <w:rPr>
            <w:rStyle w:val="Lienhypertexte"/>
            <w:noProof/>
          </w:rPr>
          <w:t>3. Robustesse des estimations et biais de mesure GPS (Tâche 20)</w:t>
        </w:r>
        <w:r>
          <w:rPr>
            <w:noProof/>
            <w:webHidden/>
          </w:rPr>
          <w:tab/>
        </w:r>
        <w:r>
          <w:rPr>
            <w:noProof/>
            <w:webHidden/>
          </w:rPr>
          <w:fldChar w:fldCharType="begin"/>
        </w:r>
        <w:r>
          <w:rPr>
            <w:noProof/>
            <w:webHidden/>
          </w:rPr>
          <w:instrText xml:space="preserve"> PAGEREF _Toc226981223 \h </w:instrText>
        </w:r>
        <w:r>
          <w:rPr>
            <w:noProof/>
            <w:webHidden/>
          </w:rPr>
        </w:r>
        <w:r>
          <w:rPr>
            <w:noProof/>
            <w:webHidden/>
          </w:rPr>
          <w:fldChar w:fldCharType="separate"/>
        </w:r>
        <w:r>
          <w:rPr>
            <w:noProof/>
            <w:webHidden/>
          </w:rPr>
          <w:t>15</w:t>
        </w:r>
        <w:r>
          <w:rPr>
            <w:noProof/>
            <w:webHidden/>
          </w:rPr>
          <w:fldChar w:fldCharType="end"/>
        </w:r>
      </w:hyperlink>
    </w:p>
    <w:p w:rsidR="00BE3959" w:rsidRDefault="00BE3959">
      <w:pPr>
        <w:pStyle w:val="TM2"/>
        <w:tabs>
          <w:tab w:val="right" w:leader="dot" w:pos="9396"/>
        </w:tabs>
        <w:rPr>
          <w:rFonts w:asciiTheme="minorHAnsi" w:hAnsiTheme="minorHAnsi"/>
          <w:noProof/>
          <w:sz w:val="22"/>
          <w:szCs w:val="22"/>
          <w:lang w:eastAsia="en-US"/>
        </w:rPr>
      </w:pPr>
      <w:hyperlink w:anchor="_Toc226981224" w:history="1">
        <w:r w:rsidRPr="00F240A5">
          <w:rPr>
            <w:rStyle w:val="Lienhypertexte"/>
            <w:noProof/>
          </w:rPr>
          <w:t>3.1 Statistiques pondérées versus non pondérées</w:t>
        </w:r>
        <w:r>
          <w:rPr>
            <w:noProof/>
            <w:webHidden/>
          </w:rPr>
          <w:tab/>
        </w:r>
        <w:r>
          <w:rPr>
            <w:noProof/>
            <w:webHidden/>
          </w:rPr>
          <w:fldChar w:fldCharType="begin"/>
        </w:r>
        <w:r>
          <w:rPr>
            <w:noProof/>
            <w:webHidden/>
          </w:rPr>
          <w:instrText xml:space="preserve"> PAGEREF _Toc226981224 \h </w:instrText>
        </w:r>
        <w:r>
          <w:rPr>
            <w:noProof/>
            <w:webHidden/>
          </w:rPr>
        </w:r>
        <w:r>
          <w:rPr>
            <w:noProof/>
            <w:webHidden/>
          </w:rPr>
          <w:fldChar w:fldCharType="separate"/>
        </w:r>
        <w:r>
          <w:rPr>
            <w:noProof/>
            <w:webHidden/>
          </w:rPr>
          <w:t>15</w:t>
        </w:r>
        <w:r>
          <w:rPr>
            <w:noProof/>
            <w:webHidden/>
          </w:rPr>
          <w:fldChar w:fldCharType="end"/>
        </w:r>
      </w:hyperlink>
    </w:p>
    <w:p w:rsidR="00BE3959" w:rsidRDefault="00BE3959">
      <w:pPr>
        <w:pStyle w:val="TM2"/>
        <w:tabs>
          <w:tab w:val="right" w:leader="dot" w:pos="9396"/>
        </w:tabs>
        <w:rPr>
          <w:rFonts w:asciiTheme="minorHAnsi" w:hAnsiTheme="minorHAnsi"/>
          <w:noProof/>
          <w:sz w:val="22"/>
          <w:szCs w:val="22"/>
          <w:lang w:eastAsia="en-US"/>
        </w:rPr>
      </w:pPr>
      <w:hyperlink w:anchor="_Toc226981225" w:history="1">
        <w:r w:rsidRPr="00F240A5">
          <w:rPr>
            <w:rStyle w:val="Lienhypertexte"/>
            <w:noProof/>
          </w:rPr>
          <w:t>3.2 Cohérence et biais des mesures GPS entre passages</w:t>
        </w:r>
        <w:r>
          <w:rPr>
            <w:noProof/>
            <w:webHidden/>
          </w:rPr>
          <w:tab/>
        </w:r>
        <w:r>
          <w:rPr>
            <w:noProof/>
            <w:webHidden/>
          </w:rPr>
          <w:fldChar w:fldCharType="begin"/>
        </w:r>
        <w:r>
          <w:rPr>
            <w:noProof/>
            <w:webHidden/>
          </w:rPr>
          <w:instrText xml:space="preserve"> PAGEREF _Toc226981225 \h </w:instrText>
        </w:r>
        <w:r>
          <w:rPr>
            <w:noProof/>
            <w:webHidden/>
          </w:rPr>
        </w:r>
        <w:r>
          <w:rPr>
            <w:noProof/>
            <w:webHidden/>
          </w:rPr>
          <w:fldChar w:fldCharType="separate"/>
        </w:r>
        <w:r>
          <w:rPr>
            <w:noProof/>
            <w:webHidden/>
          </w:rPr>
          <w:t>17</w:t>
        </w:r>
        <w:r>
          <w:rPr>
            <w:noProof/>
            <w:webHidden/>
          </w:rPr>
          <w:fldChar w:fldCharType="end"/>
        </w:r>
      </w:hyperlink>
    </w:p>
    <w:p w:rsidR="00BE3959" w:rsidRDefault="00BE3959">
      <w:pPr>
        <w:pStyle w:val="TM1"/>
        <w:tabs>
          <w:tab w:val="right" w:leader="dot" w:pos="9396"/>
        </w:tabs>
        <w:rPr>
          <w:rFonts w:asciiTheme="minorHAnsi" w:hAnsiTheme="minorHAnsi"/>
          <w:noProof/>
          <w:sz w:val="22"/>
          <w:szCs w:val="22"/>
          <w:lang w:eastAsia="en-US"/>
        </w:rPr>
      </w:pPr>
      <w:hyperlink w:anchor="_Toc226981226" w:history="1">
        <w:r w:rsidRPr="00F240A5">
          <w:rPr>
            <w:rStyle w:val="Lienhypertexte"/>
            <w:noProof/>
          </w:rPr>
          <w:t>4. Régimes de tenure foncière (Tâche 21)</w:t>
        </w:r>
        <w:r>
          <w:rPr>
            <w:noProof/>
            <w:webHidden/>
          </w:rPr>
          <w:tab/>
        </w:r>
        <w:r>
          <w:rPr>
            <w:noProof/>
            <w:webHidden/>
          </w:rPr>
          <w:fldChar w:fldCharType="begin"/>
        </w:r>
        <w:r>
          <w:rPr>
            <w:noProof/>
            <w:webHidden/>
          </w:rPr>
          <w:instrText xml:space="preserve"> PAGEREF _Toc226981226 \h </w:instrText>
        </w:r>
        <w:r>
          <w:rPr>
            <w:noProof/>
            <w:webHidden/>
          </w:rPr>
        </w:r>
        <w:r>
          <w:rPr>
            <w:noProof/>
            <w:webHidden/>
          </w:rPr>
          <w:fldChar w:fldCharType="separate"/>
        </w:r>
        <w:r>
          <w:rPr>
            <w:noProof/>
            <w:webHidden/>
          </w:rPr>
          <w:t>20</w:t>
        </w:r>
        <w:r>
          <w:rPr>
            <w:noProof/>
            <w:webHidden/>
          </w:rPr>
          <w:fldChar w:fldCharType="end"/>
        </w:r>
      </w:hyperlink>
    </w:p>
    <w:p w:rsidR="00BE3959" w:rsidRDefault="00BE3959">
      <w:pPr>
        <w:pStyle w:val="TM2"/>
        <w:tabs>
          <w:tab w:val="right" w:leader="dot" w:pos="9396"/>
        </w:tabs>
        <w:rPr>
          <w:rFonts w:asciiTheme="minorHAnsi" w:hAnsiTheme="minorHAnsi"/>
          <w:noProof/>
          <w:sz w:val="22"/>
          <w:szCs w:val="22"/>
          <w:lang w:eastAsia="en-US"/>
        </w:rPr>
      </w:pPr>
      <w:hyperlink w:anchor="_Toc226981227" w:history="1">
        <w:r w:rsidRPr="00F240A5">
          <w:rPr>
            <w:rStyle w:val="Lienhypertexte"/>
            <w:noProof/>
          </w:rPr>
          <w:t>4.1 Fréquences et répartition des modes d’acquisition</w:t>
        </w:r>
        <w:r>
          <w:rPr>
            <w:noProof/>
            <w:webHidden/>
          </w:rPr>
          <w:tab/>
        </w:r>
        <w:r>
          <w:rPr>
            <w:noProof/>
            <w:webHidden/>
          </w:rPr>
          <w:fldChar w:fldCharType="begin"/>
        </w:r>
        <w:r>
          <w:rPr>
            <w:noProof/>
            <w:webHidden/>
          </w:rPr>
          <w:instrText xml:space="preserve"> PAGEREF _Toc226981227 \h </w:instrText>
        </w:r>
        <w:r>
          <w:rPr>
            <w:noProof/>
            <w:webHidden/>
          </w:rPr>
        </w:r>
        <w:r>
          <w:rPr>
            <w:noProof/>
            <w:webHidden/>
          </w:rPr>
          <w:fldChar w:fldCharType="separate"/>
        </w:r>
        <w:r>
          <w:rPr>
            <w:noProof/>
            <w:webHidden/>
          </w:rPr>
          <w:t>20</w:t>
        </w:r>
        <w:r>
          <w:rPr>
            <w:noProof/>
            <w:webHidden/>
          </w:rPr>
          <w:fldChar w:fldCharType="end"/>
        </w:r>
      </w:hyperlink>
    </w:p>
    <w:p w:rsidR="00BE3959" w:rsidRDefault="00BE3959">
      <w:pPr>
        <w:pStyle w:val="TM2"/>
        <w:tabs>
          <w:tab w:val="right" w:leader="dot" w:pos="9396"/>
        </w:tabs>
        <w:rPr>
          <w:rFonts w:asciiTheme="minorHAnsi" w:hAnsiTheme="minorHAnsi"/>
          <w:noProof/>
          <w:sz w:val="22"/>
          <w:szCs w:val="22"/>
          <w:lang w:eastAsia="en-US"/>
        </w:rPr>
      </w:pPr>
      <w:hyperlink w:anchor="_Toc226981228" w:history="1">
        <w:r w:rsidRPr="00F240A5">
          <w:rPr>
            <w:rStyle w:val="Lienhypertexte"/>
            <w:noProof/>
          </w:rPr>
          <w:t>4.2 Association entre tenure et milieu de résidence</w:t>
        </w:r>
        <w:r>
          <w:rPr>
            <w:noProof/>
            <w:webHidden/>
          </w:rPr>
          <w:tab/>
        </w:r>
        <w:r>
          <w:rPr>
            <w:noProof/>
            <w:webHidden/>
          </w:rPr>
          <w:fldChar w:fldCharType="begin"/>
        </w:r>
        <w:r>
          <w:rPr>
            <w:noProof/>
            <w:webHidden/>
          </w:rPr>
          <w:instrText xml:space="preserve"> PAGEREF _Toc226981228 \h </w:instrText>
        </w:r>
        <w:r>
          <w:rPr>
            <w:noProof/>
            <w:webHidden/>
          </w:rPr>
        </w:r>
        <w:r>
          <w:rPr>
            <w:noProof/>
            <w:webHidden/>
          </w:rPr>
          <w:fldChar w:fldCharType="separate"/>
        </w:r>
        <w:r>
          <w:rPr>
            <w:noProof/>
            <w:webHidden/>
          </w:rPr>
          <w:t>21</w:t>
        </w:r>
        <w:r>
          <w:rPr>
            <w:noProof/>
            <w:webHidden/>
          </w:rPr>
          <w:fldChar w:fldCharType="end"/>
        </w:r>
      </w:hyperlink>
    </w:p>
    <w:p w:rsidR="00BE3959" w:rsidRDefault="00BE3959">
      <w:pPr>
        <w:pStyle w:val="TM3"/>
        <w:tabs>
          <w:tab w:val="right" w:leader="dot" w:pos="9396"/>
        </w:tabs>
        <w:rPr>
          <w:rFonts w:asciiTheme="minorHAnsi" w:hAnsiTheme="minorHAnsi"/>
          <w:noProof/>
          <w:sz w:val="22"/>
          <w:szCs w:val="22"/>
          <w:lang w:eastAsia="en-US"/>
        </w:rPr>
      </w:pPr>
      <w:hyperlink w:anchor="_Toc226981229" w:history="1">
        <w:r w:rsidRPr="00F240A5">
          <w:rPr>
            <w:rStyle w:val="Lienhypertexte"/>
            <w:noProof/>
          </w:rPr>
          <w:t>4.2.1 Test du χ² d’indépendance</w:t>
        </w:r>
        <w:r>
          <w:rPr>
            <w:noProof/>
            <w:webHidden/>
          </w:rPr>
          <w:tab/>
        </w:r>
        <w:r>
          <w:rPr>
            <w:noProof/>
            <w:webHidden/>
          </w:rPr>
          <w:fldChar w:fldCharType="begin"/>
        </w:r>
        <w:r>
          <w:rPr>
            <w:noProof/>
            <w:webHidden/>
          </w:rPr>
          <w:instrText xml:space="preserve"> PAGEREF _Toc226981229 \h </w:instrText>
        </w:r>
        <w:r>
          <w:rPr>
            <w:noProof/>
            <w:webHidden/>
          </w:rPr>
        </w:r>
        <w:r>
          <w:rPr>
            <w:noProof/>
            <w:webHidden/>
          </w:rPr>
          <w:fldChar w:fldCharType="separate"/>
        </w:r>
        <w:r>
          <w:rPr>
            <w:noProof/>
            <w:webHidden/>
          </w:rPr>
          <w:t>21</w:t>
        </w:r>
        <w:r>
          <w:rPr>
            <w:noProof/>
            <w:webHidden/>
          </w:rPr>
          <w:fldChar w:fldCharType="end"/>
        </w:r>
      </w:hyperlink>
    </w:p>
    <w:p w:rsidR="00BE3959" w:rsidRDefault="00BE3959">
      <w:pPr>
        <w:pStyle w:val="TM3"/>
        <w:tabs>
          <w:tab w:val="right" w:leader="dot" w:pos="9396"/>
        </w:tabs>
        <w:rPr>
          <w:rFonts w:asciiTheme="minorHAnsi" w:hAnsiTheme="minorHAnsi"/>
          <w:noProof/>
          <w:sz w:val="22"/>
          <w:szCs w:val="22"/>
          <w:lang w:eastAsia="en-US"/>
        </w:rPr>
      </w:pPr>
      <w:hyperlink w:anchor="_Toc226981230" w:history="1">
        <w:r w:rsidRPr="00F240A5">
          <w:rPr>
            <w:rStyle w:val="Lienhypertexte"/>
            <w:noProof/>
          </w:rPr>
          <w:t>4.2.2 Résidus standardisés d’Haberman</w:t>
        </w:r>
        <w:r>
          <w:rPr>
            <w:noProof/>
            <w:webHidden/>
          </w:rPr>
          <w:tab/>
        </w:r>
        <w:r>
          <w:rPr>
            <w:noProof/>
            <w:webHidden/>
          </w:rPr>
          <w:fldChar w:fldCharType="begin"/>
        </w:r>
        <w:r>
          <w:rPr>
            <w:noProof/>
            <w:webHidden/>
          </w:rPr>
          <w:instrText xml:space="preserve"> PAGEREF _Toc226981230 \h </w:instrText>
        </w:r>
        <w:r>
          <w:rPr>
            <w:noProof/>
            <w:webHidden/>
          </w:rPr>
        </w:r>
        <w:r>
          <w:rPr>
            <w:noProof/>
            <w:webHidden/>
          </w:rPr>
          <w:fldChar w:fldCharType="separate"/>
        </w:r>
        <w:r>
          <w:rPr>
            <w:noProof/>
            <w:webHidden/>
          </w:rPr>
          <w:t>22</w:t>
        </w:r>
        <w:r>
          <w:rPr>
            <w:noProof/>
            <w:webHidden/>
          </w:rPr>
          <w:fldChar w:fldCharType="end"/>
        </w:r>
      </w:hyperlink>
    </w:p>
    <w:p w:rsidR="00BE3959" w:rsidRDefault="00BE3959">
      <w:pPr>
        <w:pStyle w:val="TM1"/>
        <w:tabs>
          <w:tab w:val="right" w:leader="dot" w:pos="9396"/>
        </w:tabs>
        <w:rPr>
          <w:rFonts w:asciiTheme="minorHAnsi" w:hAnsiTheme="minorHAnsi"/>
          <w:noProof/>
          <w:sz w:val="22"/>
          <w:szCs w:val="22"/>
          <w:lang w:eastAsia="en-US"/>
        </w:rPr>
      </w:pPr>
      <w:hyperlink w:anchor="_Toc226981231" w:history="1">
        <w:r w:rsidRPr="00F240A5">
          <w:rPr>
            <w:rStyle w:val="Lienhypertexte"/>
            <w:noProof/>
          </w:rPr>
          <w:t>5. Superficie totale et fragmentation foncière (Tâche 23)</w:t>
        </w:r>
        <w:r>
          <w:rPr>
            <w:noProof/>
            <w:webHidden/>
          </w:rPr>
          <w:tab/>
        </w:r>
        <w:r>
          <w:rPr>
            <w:noProof/>
            <w:webHidden/>
          </w:rPr>
          <w:fldChar w:fldCharType="begin"/>
        </w:r>
        <w:r>
          <w:rPr>
            <w:noProof/>
            <w:webHidden/>
          </w:rPr>
          <w:instrText xml:space="preserve"> PAGEREF _Toc226981231 \h </w:instrText>
        </w:r>
        <w:r>
          <w:rPr>
            <w:noProof/>
            <w:webHidden/>
          </w:rPr>
        </w:r>
        <w:r>
          <w:rPr>
            <w:noProof/>
            <w:webHidden/>
          </w:rPr>
          <w:fldChar w:fldCharType="separate"/>
        </w:r>
        <w:r>
          <w:rPr>
            <w:noProof/>
            <w:webHidden/>
          </w:rPr>
          <w:t>24</w:t>
        </w:r>
        <w:r>
          <w:rPr>
            <w:noProof/>
            <w:webHidden/>
          </w:rPr>
          <w:fldChar w:fldCharType="end"/>
        </w:r>
      </w:hyperlink>
    </w:p>
    <w:p w:rsidR="00BE3959" w:rsidRDefault="00BE3959">
      <w:pPr>
        <w:pStyle w:val="TM2"/>
        <w:tabs>
          <w:tab w:val="right" w:leader="dot" w:pos="9396"/>
        </w:tabs>
        <w:rPr>
          <w:rFonts w:asciiTheme="minorHAnsi" w:hAnsiTheme="minorHAnsi"/>
          <w:noProof/>
          <w:sz w:val="22"/>
          <w:szCs w:val="22"/>
          <w:lang w:eastAsia="en-US"/>
        </w:rPr>
      </w:pPr>
      <w:hyperlink w:anchor="_Toc226981232" w:history="1">
        <w:r w:rsidRPr="00F240A5">
          <w:rPr>
            <w:rStyle w:val="Lienhypertexte"/>
            <w:noProof/>
          </w:rPr>
          <w:t>5.1 Cadre analytique</w:t>
        </w:r>
        <w:r>
          <w:rPr>
            <w:noProof/>
            <w:webHidden/>
          </w:rPr>
          <w:tab/>
        </w:r>
        <w:r>
          <w:rPr>
            <w:noProof/>
            <w:webHidden/>
          </w:rPr>
          <w:fldChar w:fldCharType="begin"/>
        </w:r>
        <w:r>
          <w:rPr>
            <w:noProof/>
            <w:webHidden/>
          </w:rPr>
          <w:instrText xml:space="preserve"> PAGEREF _Toc226981232 \h </w:instrText>
        </w:r>
        <w:r>
          <w:rPr>
            <w:noProof/>
            <w:webHidden/>
          </w:rPr>
        </w:r>
        <w:r>
          <w:rPr>
            <w:noProof/>
            <w:webHidden/>
          </w:rPr>
          <w:fldChar w:fldCharType="separate"/>
        </w:r>
        <w:r>
          <w:rPr>
            <w:noProof/>
            <w:webHidden/>
          </w:rPr>
          <w:t>24</w:t>
        </w:r>
        <w:r>
          <w:rPr>
            <w:noProof/>
            <w:webHidden/>
          </w:rPr>
          <w:fldChar w:fldCharType="end"/>
        </w:r>
      </w:hyperlink>
    </w:p>
    <w:p w:rsidR="00BE3959" w:rsidRDefault="00BE3959">
      <w:pPr>
        <w:pStyle w:val="TM2"/>
        <w:tabs>
          <w:tab w:val="right" w:leader="dot" w:pos="9396"/>
        </w:tabs>
        <w:rPr>
          <w:rFonts w:asciiTheme="minorHAnsi" w:hAnsiTheme="minorHAnsi"/>
          <w:noProof/>
          <w:sz w:val="22"/>
          <w:szCs w:val="22"/>
          <w:lang w:eastAsia="en-US"/>
        </w:rPr>
      </w:pPr>
      <w:hyperlink w:anchor="_Toc226981233" w:history="1">
        <w:r w:rsidRPr="00F240A5">
          <w:rPr>
            <w:rStyle w:val="Lienhypertexte"/>
            <w:noProof/>
          </w:rPr>
          <w:t>5.2 Superficie selon le nombre de parcelles</w:t>
        </w:r>
        <w:r>
          <w:rPr>
            <w:noProof/>
            <w:webHidden/>
          </w:rPr>
          <w:tab/>
        </w:r>
        <w:r>
          <w:rPr>
            <w:noProof/>
            <w:webHidden/>
          </w:rPr>
          <w:fldChar w:fldCharType="begin"/>
        </w:r>
        <w:r>
          <w:rPr>
            <w:noProof/>
            <w:webHidden/>
          </w:rPr>
          <w:instrText xml:space="preserve"> PAGEREF _Toc226981233 \h </w:instrText>
        </w:r>
        <w:r>
          <w:rPr>
            <w:noProof/>
            <w:webHidden/>
          </w:rPr>
        </w:r>
        <w:r>
          <w:rPr>
            <w:noProof/>
            <w:webHidden/>
          </w:rPr>
          <w:fldChar w:fldCharType="separate"/>
        </w:r>
        <w:r>
          <w:rPr>
            <w:noProof/>
            <w:webHidden/>
          </w:rPr>
          <w:t>24</w:t>
        </w:r>
        <w:r>
          <w:rPr>
            <w:noProof/>
            <w:webHidden/>
          </w:rPr>
          <w:fldChar w:fldCharType="end"/>
        </w:r>
      </w:hyperlink>
    </w:p>
    <w:p w:rsidR="00BE3959" w:rsidRDefault="00BE3959">
      <w:pPr>
        <w:pStyle w:val="TM2"/>
        <w:tabs>
          <w:tab w:val="right" w:leader="dot" w:pos="9396"/>
        </w:tabs>
        <w:rPr>
          <w:rFonts w:asciiTheme="minorHAnsi" w:hAnsiTheme="minorHAnsi"/>
          <w:noProof/>
          <w:sz w:val="22"/>
          <w:szCs w:val="22"/>
          <w:lang w:eastAsia="en-US"/>
        </w:rPr>
      </w:pPr>
      <w:hyperlink w:anchor="_Toc226981234" w:history="1">
        <w:r w:rsidRPr="00F240A5">
          <w:rPr>
            <w:rStyle w:val="Lienhypertexte"/>
            <w:noProof/>
          </w:rPr>
          <w:t>5.3 Corrélation de Spearman avec intervalle de confiance</w:t>
        </w:r>
        <w:r>
          <w:rPr>
            <w:noProof/>
            <w:webHidden/>
          </w:rPr>
          <w:tab/>
        </w:r>
        <w:r>
          <w:rPr>
            <w:noProof/>
            <w:webHidden/>
          </w:rPr>
          <w:fldChar w:fldCharType="begin"/>
        </w:r>
        <w:r>
          <w:rPr>
            <w:noProof/>
            <w:webHidden/>
          </w:rPr>
          <w:instrText xml:space="preserve"> PAGEREF _Toc226981234 \h </w:instrText>
        </w:r>
        <w:r>
          <w:rPr>
            <w:noProof/>
            <w:webHidden/>
          </w:rPr>
        </w:r>
        <w:r>
          <w:rPr>
            <w:noProof/>
            <w:webHidden/>
          </w:rPr>
          <w:fldChar w:fldCharType="separate"/>
        </w:r>
        <w:r>
          <w:rPr>
            <w:noProof/>
            <w:webHidden/>
          </w:rPr>
          <w:t>25</w:t>
        </w:r>
        <w:r>
          <w:rPr>
            <w:noProof/>
            <w:webHidden/>
          </w:rPr>
          <w:fldChar w:fldCharType="end"/>
        </w:r>
      </w:hyperlink>
    </w:p>
    <w:p w:rsidR="00BE3959" w:rsidRDefault="00BE3959">
      <w:pPr>
        <w:pStyle w:val="TM1"/>
        <w:tabs>
          <w:tab w:val="right" w:leader="dot" w:pos="9396"/>
        </w:tabs>
        <w:rPr>
          <w:rFonts w:asciiTheme="minorHAnsi" w:hAnsiTheme="minorHAnsi"/>
          <w:noProof/>
          <w:sz w:val="22"/>
          <w:szCs w:val="22"/>
          <w:lang w:eastAsia="en-US"/>
        </w:rPr>
      </w:pPr>
      <w:hyperlink w:anchor="_Toc226981235" w:history="1">
        <w:r w:rsidRPr="00F240A5">
          <w:rPr>
            <w:rStyle w:val="Lienhypertexte"/>
            <w:noProof/>
          </w:rPr>
          <w:t>6. Disparités géographiques entre États (Tâche 24)</w:t>
        </w:r>
        <w:r>
          <w:rPr>
            <w:noProof/>
            <w:webHidden/>
          </w:rPr>
          <w:tab/>
        </w:r>
        <w:r>
          <w:rPr>
            <w:noProof/>
            <w:webHidden/>
          </w:rPr>
          <w:fldChar w:fldCharType="begin"/>
        </w:r>
        <w:r>
          <w:rPr>
            <w:noProof/>
            <w:webHidden/>
          </w:rPr>
          <w:instrText xml:space="preserve"> PAGEREF _Toc226981235 \h </w:instrText>
        </w:r>
        <w:r>
          <w:rPr>
            <w:noProof/>
            <w:webHidden/>
          </w:rPr>
        </w:r>
        <w:r>
          <w:rPr>
            <w:noProof/>
            <w:webHidden/>
          </w:rPr>
          <w:fldChar w:fldCharType="separate"/>
        </w:r>
        <w:r>
          <w:rPr>
            <w:noProof/>
            <w:webHidden/>
          </w:rPr>
          <w:t>28</w:t>
        </w:r>
        <w:r>
          <w:rPr>
            <w:noProof/>
            <w:webHidden/>
          </w:rPr>
          <w:fldChar w:fldCharType="end"/>
        </w:r>
      </w:hyperlink>
    </w:p>
    <w:p w:rsidR="00BE3959" w:rsidRDefault="00BE3959">
      <w:pPr>
        <w:pStyle w:val="TM2"/>
        <w:tabs>
          <w:tab w:val="right" w:leader="dot" w:pos="9396"/>
        </w:tabs>
        <w:rPr>
          <w:rFonts w:asciiTheme="minorHAnsi" w:hAnsiTheme="minorHAnsi"/>
          <w:noProof/>
          <w:sz w:val="22"/>
          <w:szCs w:val="22"/>
          <w:lang w:eastAsia="en-US"/>
        </w:rPr>
      </w:pPr>
      <w:hyperlink w:anchor="_Toc226981236" w:history="1">
        <w:r w:rsidRPr="00F240A5">
          <w:rPr>
            <w:rStyle w:val="Lienhypertexte"/>
            <w:noProof/>
          </w:rPr>
          <w:t>6.1 Méthodologie</w:t>
        </w:r>
        <w:r>
          <w:rPr>
            <w:noProof/>
            <w:webHidden/>
          </w:rPr>
          <w:tab/>
        </w:r>
        <w:r>
          <w:rPr>
            <w:noProof/>
            <w:webHidden/>
          </w:rPr>
          <w:fldChar w:fldCharType="begin"/>
        </w:r>
        <w:r>
          <w:rPr>
            <w:noProof/>
            <w:webHidden/>
          </w:rPr>
          <w:instrText xml:space="preserve"> PAGEREF _Toc226981236 \h </w:instrText>
        </w:r>
        <w:r>
          <w:rPr>
            <w:noProof/>
            <w:webHidden/>
          </w:rPr>
        </w:r>
        <w:r>
          <w:rPr>
            <w:noProof/>
            <w:webHidden/>
          </w:rPr>
          <w:fldChar w:fldCharType="separate"/>
        </w:r>
        <w:r>
          <w:rPr>
            <w:noProof/>
            <w:webHidden/>
          </w:rPr>
          <w:t>28</w:t>
        </w:r>
        <w:r>
          <w:rPr>
            <w:noProof/>
            <w:webHidden/>
          </w:rPr>
          <w:fldChar w:fldCharType="end"/>
        </w:r>
      </w:hyperlink>
    </w:p>
    <w:p w:rsidR="00BE3959" w:rsidRDefault="00BE3959">
      <w:pPr>
        <w:pStyle w:val="TM2"/>
        <w:tabs>
          <w:tab w:val="right" w:leader="dot" w:pos="9396"/>
        </w:tabs>
        <w:rPr>
          <w:rFonts w:asciiTheme="minorHAnsi" w:hAnsiTheme="minorHAnsi"/>
          <w:noProof/>
          <w:sz w:val="22"/>
          <w:szCs w:val="22"/>
          <w:lang w:eastAsia="en-US"/>
        </w:rPr>
      </w:pPr>
      <w:hyperlink w:anchor="_Toc226981237" w:history="1">
        <w:r w:rsidRPr="00F240A5">
          <w:rPr>
            <w:rStyle w:val="Lienhypertexte"/>
            <w:noProof/>
          </w:rPr>
          <w:t>6.2 Carte choroplèthe des superficies médianes</w:t>
        </w:r>
        <w:r>
          <w:rPr>
            <w:noProof/>
            <w:webHidden/>
          </w:rPr>
          <w:tab/>
        </w:r>
        <w:r>
          <w:rPr>
            <w:noProof/>
            <w:webHidden/>
          </w:rPr>
          <w:fldChar w:fldCharType="begin"/>
        </w:r>
        <w:r>
          <w:rPr>
            <w:noProof/>
            <w:webHidden/>
          </w:rPr>
          <w:instrText xml:space="preserve"> PAGEREF _Toc226981237 \h </w:instrText>
        </w:r>
        <w:r>
          <w:rPr>
            <w:noProof/>
            <w:webHidden/>
          </w:rPr>
        </w:r>
        <w:r>
          <w:rPr>
            <w:noProof/>
            <w:webHidden/>
          </w:rPr>
          <w:fldChar w:fldCharType="separate"/>
        </w:r>
        <w:r>
          <w:rPr>
            <w:noProof/>
            <w:webHidden/>
          </w:rPr>
          <w:t>29</w:t>
        </w:r>
        <w:r>
          <w:rPr>
            <w:noProof/>
            <w:webHidden/>
          </w:rPr>
          <w:fldChar w:fldCharType="end"/>
        </w:r>
      </w:hyperlink>
    </w:p>
    <w:p w:rsidR="00BE3959" w:rsidRDefault="00BE3959">
      <w:pPr>
        <w:pStyle w:val="TM2"/>
        <w:tabs>
          <w:tab w:val="right" w:leader="dot" w:pos="9396"/>
        </w:tabs>
        <w:rPr>
          <w:rFonts w:asciiTheme="minorHAnsi" w:hAnsiTheme="minorHAnsi"/>
          <w:noProof/>
          <w:sz w:val="22"/>
          <w:szCs w:val="22"/>
          <w:lang w:eastAsia="en-US"/>
        </w:rPr>
      </w:pPr>
      <w:hyperlink w:anchor="_Toc226981238" w:history="1">
        <w:r w:rsidRPr="00F240A5">
          <w:rPr>
            <w:rStyle w:val="Lienhypertexte"/>
            <w:noProof/>
          </w:rPr>
          <w:t>6.3 Top 5 et Bottom 5 des États</w:t>
        </w:r>
        <w:r>
          <w:rPr>
            <w:noProof/>
            <w:webHidden/>
          </w:rPr>
          <w:tab/>
        </w:r>
        <w:r>
          <w:rPr>
            <w:noProof/>
            <w:webHidden/>
          </w:rPr>
          <w:fldChar w:fldCharType="begin"/>
        </w:r>
        <w:r>
          <w:rPr>
            <w:noProof/>
            <w:webHidden/>
          </w:rPr>
          <w:instrText xml:space="preserve"> PAGEREF _Toc226981238 \h </w:instrText>
        </w:r>
        <w:r>
          <w:rPr>
            <w:noProof/>
            <w:webHidden/>
          </w:rPr>
        </w:r>
        <w:r>
          <w:rPr>
            <w:noProof/>
            <w:webHidden/>
          </w:rPr>
          <w:fldChar w:fldCharType="separate"/>
        </w:r>
        <w:r>
          <w:rPr>
            <w:noProof/>
            <w:webHidden/>
          </w:rPr>
          <w:t>30</w:t>
        </w:r>
        <w:r>
          <w:rPr>
            <w:noProof/>
            <w:webHidden/>
          </w:rPr>
          <w:fldChar w:fldCharType="end"/>
        </w:r>
      </w:hyperlink>
    </w:p>
    <w:p w:rsidR="00BE3959" w:rsidRDefault="00BE3959">
      <w:pPr>
        <w:pStyle w:val="TM1"/>
        <w:tabs>
          <w:tab w:val="right" w:leader="dot" w:pos="9396"/>
        </w:tabs>
        <w:rPr>
          <w:rFonts w:asciiTheme="minorHAnsi" w:hAnsiTheme="minorHAnsi"/>
          <w:noProof/>
          <w:sz w:val="22"/>
          <w:szCs w:val="22"/>
          <w:lang w:eastAsia="en-US"/>
        </w:rPr>
      </w:pPr>
      <w:hyperlink w:anchor="_Toc226981239" w:history="1">
        <w:r w:rsidRPr="00F240A5">
          <w:rPr>
            <w:rStyle w:val="Lienhypertexte"/>
            <w:noProof/>
          </w:rPr>
          <w:t>7. Confrontation avec le rapport officiel LSMS 2019</w:t>
        </w:r>
        <w:r>
          <w:rPr>
            <w:noProof/>
            <w:webHidden/>
          </w:rPr>
          <w:tab/>
        </w:r>
        <w:r>
          <w:rPr>
            <w:noProof/>
            <w:webHidden/>
          </w:rPr>
          <w:fldChar w:fldCharType="begin"/>
        </w:r>
        <w:r>
          <w:rPr>
            <w:noProof/>
            <w:webHidden/>
          </w:rPr>
          <w:instrText xml:space="preserve"> PAGEREF _Toc226981239 \h </w:instrText>
        </w:r>
        <w:r>
          <w:rPr>
            <w:noProof/>
            <w:webHidden/>
          </w:rPr>
        </w:r>
        <w:r>
          <w:rPr>
            <w:noProof/>
            <w:webHidden/>
          </w:rPr>
          <w:fldChar w:fldCharType="separate"/>
        </w:r>
        <w:r>
          <w:rPr>
            <w:noProof/>
            <w:webHidden/>
          </w:rPr>
          <w:t>32</w:t>
        </w:r>
        <w:r>
          <w:rPr>
            <w:noProof/>
            <w:webHidden/>
          </w:rPr>
          <w:fldChar w:fldCharType="end"/>
        </w:r>
      </w:hyperlink>
    </w:p>
    <w:p w:rsidR="00BE3959" w:rsidRDefault="00BE3959">
      <w:pPr>
        <w:pStyle w:val="TM2"/>
        <w:tabs>
          <w:tab w:val="right" w:leader="dot" w:pos="9396"/>
        </w:tabs>
        <w:rPr>
          <w:rFonts w:asciiTheme="minorHAnsi" w:hAnsiTheme="minorHAnsi"/>
          <w:noProof/>
          <w:sz w:val="22"/>
          <w:szCs w:val="22"/>
          <w:lang w:eastAsia="en-US"/>
        </w:rPr>
      </w:pPr>
      <w:hyperlink w:anchor="_Toc226981240" w:history="1">
        <w:r w:rsidRPr="00F240A5">
          <w:rPr>
            <w:rStyle w:val="Lienhypertexte"/>
            <w:noProof/>
          </w:rPr>
          <w:t>7.1 Comparaison des indicateurs clés</w:t>
        </w:r>
        <w:r>
          <w:rPr>
            <w:noProof/>
            <w:webHidden/>
          </w:rPr>
          <w:tab/>
        </w:r>
        <w:r>
          <w:rPr>
            <w:noProof/>
            <w:webHidden/>
          </w:rPr>
          <w:fldChar w:fldCharType="begin"/>
        </w:r>
        <w:r>
          <w:rPr>
            <w:noProof/>
            <w:webHidden/>
          </w:rPr>
          <w:instrText xml:space="preserve"> PAGEREF _Toc226981240 \h </w:instrText>
        </w:r>
        <w:r>
          <w:rPr>
            <w:noProof/>
            <w:webHidden/>
          </w:rPr>
        </w:r>
        <w:r>
          <w:rPr>
            <w:noProof/>
            <w:webHidden/>
          </w:rPr>
          <w:fldChar w:fldCharType="separate"/>
        </w:r>
        <w:r>
          <w:rPr>
            <w:noProof/>
            <w:webHidden/>
          </w:rPr>
          <w:t>32</w:t>
        </w:r>
        <w:r>
          <w:rPr>
            <w:noProof/>
            <w:webHidden/>
          </w:rPr>
          <w:fldChar w:fldCharType="end"/>
        </w:r>
      </w:hyperlink>
    </w:p>
    <w:p w:rsidR="00BE3959" w:rsidRDefault="00BE3959">
      <w:pPr>
        <w:pStyle w:val="TM2"/>
        <w:tabs>
          <w:tab w:val="right" w:leader="dot" w:pos="9396"/>
        </w:tabs>
        <w:rPr>
          <w:rFonts w:asciiTheme="minorHAnsi" w:hAnsiTheme="minorHAnsi"/>
          <w:noProof/>
          <w:sz w:val="22"/>
          <w:szCs w:val="22"/>
          <w:lang w:eastAsia="en-US"/>
        </w:rPr>
      </w:pPr>
      <w:hyperlink w:anchor="_Toc226981241" w:history="1">
        <w:r w:rsidRPr="00F240A5">
          <w:rPr>
            <w:rStyle w:val="Lienhypertexte"/>
            <w:noProof/>
          </w:rPr>
          <w:t>7.2 Apports spécifiques de cette étude</w:t>
        </w:r>
        <w:r>
          <w:rPr>
            <w:noProof/>
            <w:webHidden/>
          </w:rPr>
          <w:tab/>
        </w:r>
        <w:r>
          <w:rPr>
            <w:noProof/>
            <w:webHidden/>
          </w:rPr>
          <w:fldChar w:fldCharType="begin"/>
        </w:r>
        <w:r>
          <w:rPr>
            <w:noProof/>
            <w:webHidden/>
          </w:rPr>
          <w:instrText xml:space="preserve"> PAGEREF _Toc226981241 \h </w:instrText>
        </w:r>
        <w:r>
          <w:rPr>
            <w:noProof/>
            <w:webHidden/>
          </w:rPr>
        </w:r>
        <w:r>
          <w:rPr>
            <w:noProof/>
            <w:webHidden/>
          </w:rPr>
          <w:fldChar w:fldCharType="separate"/>
        </w:r>
        <w:r>
          <w:rPr>
            <w:noProof/>
            <w:webHidden/>
          </w:rPr>
          <w:t>32</w:t>
        </w:r>
        <w:r>
          <w:rPr>
            <w:noProof/>
            <w:webHidden/>
          </w:rPr>
          <w:fldChar w:fldCharType="end"/>
        </w:r>
      </w:hyperlink>
    </w:p>
    <w:p w:rsidR="00BE3959" w:rsidRDefault="00BE3959">
      <w:pPr>
        <w:pStyle w:val="TM1"/>
        <w:tabs>
          <w:tab w:val="right" w:leader="dot" w:pos="9396"/>
        </w:tabs>
        <w:rPr>
          <w:rFonts w:asciiTheme="minorHAnsi" w:hAnsiTheme="minorHAnsi"/>
          <w:noProof/>
          <w:sz w:val="22"/>
          <w:szCs w:val="22"/>
          <w:lang w:eastAsia="en-US"/>
        </w:rPr>
      </w:pPr>
      <w:hyperlink w:anchor="_Toc226981242" w:history="1">
        <w:r w:rsidRPr="00F240A5">
          <w:rPr>
            <w:rStyle w:val="Lienhypertexte"/>
            <w:noProof/>
          </w:rPr>
          <w:t>Conclusion</w:t>
        </w:r>
        <w:r>
          <w:rPr>
            <w:noProof/>
            <w:webHidden/>
          </w:rPr>
          <w:tab/>
        </w:r>
        <w:r>
          <w:rPr>
            <w:noProof/>
            <w:webHidden/>
          </w:rPr>
          <w:fldChar w:fldCharType="begin"/>
        </w:r>
        <w:r>
          <w:rPr>
            <w:noProof/>
            <w:webHidden/>
          </w:rPr>
          <w:instrText xml:space="preserve"> PAGEREF _Toc226981242 \h </w:instrText>
        </w:r>
        <w:r>
          <w:rPr>
            <w:noProof/>
            <w:webHidden/>
          </w:rPr>
        </w:r>
        <w:r>
          <w:rPr>
            <w:noProof/>
            <w:webHidden/>
          </w:rPr>
          <w:fldChar w:fldCharType="separate"/>
        </w:r>
        <w:r>
          <w:rPr>
            <w:noProof/>
            <w:webHidden/>
          </w:rPr>
          <w:t>34</w:t>
        </w:r>
        <w:r>
          <w:rPr>
            <w:noProof/>
            <w:webHidden/>
          </w:rPr>
          <w:fldChar w:fldCharType="end"/>
        </w:r>
      </w:hyperlink>
    </w:p>
    <w:p w:rsidR="00BE3959" w:rsidRDefault="00BE3959">
      <w:pPr>
        <w:pStyle w:val="TM1"/>
        <w:tabs>
          <w:tab w:val="right" w:leader="dot" w:pos="9396"/>
        </w:tabs>
        <w:rPr>
          <w:rFonts w:asciiTheme="minorHAnsi" w:hAnsiTheme="minorHAnsi"/>
          <w:noProof/>
          <w:sz w:val="22"/>
          <w:szCs w:val="22"/>
          <w:lang w:eastAsia="en-US"/>
        </w:rPr>
      </w:pPr>
      <w:hyperlink w:anchor="_Toc226981243" w:history="1">
        <w:r w:rsidRPr="00F240A5">
          <w:rPr>
            <w:rStyle w:val="Lienhypertexte"/>
            <w:noProof/>
          </w:rPr>
          <w:t>Références bibliographiques</w:t>
        </w:r>
        <w:r>
          <w:rPr>
            <w:noProof/>
            <w:webHidden/>
          </w:rPr>
          <w:tab/>
        </w:r>
        <w:r>
          <w:rPr>
            <w:noProof/>
            <w:webHidden/>
          </w:rPr>
          <w:fldChar w:fldCharType="begin"/>
        </w:r>
        <w:r>
          <w:rPr>
            <w:noProof/>
            <w:webHidden/>
          </w:rPr>
          <w:instrText xml:space="preserve"> PAGEREF _Toc226981243 \h </w:instrText>
        </w:r>
        <w:r>
          <w:rPr>
            <w:noProof/>
            <w:webHidden/>
          </w:rPr>
        </w:r>
        <w:r>
          <w:rPr>
            <w:noProof/>
            <w:webHidden/>
          </w:rPr>
          <w:fldChar w:fldCharType="separate"/>
        </w:r>
        <w:r>
          <w:rPr>
            <w:noProof/>
            <w:webHidden/>
          </w:rPr>
          <w:t>36</w:t>
        </w:r>
        <w:r>
          <w:rPr>
            <w:noProof/>
            <w:webHidden/>
          </w:rPr>
          <w:fldChar w:fldCharType="end"/>
        </w:r>
      </w:hyperlink>
    </w:p>
    <w:p w:rsidR="00F64049" w:rsidRDefault="00BE3959">
      <w:r>
        <w:fldChar w:fldCharType="end"/>
      </w:r>
    </w:p>
    <w:p w:rsidR="00F64049" w:rsidRDefault="00BE3959">
      <w:r>
        <w:br w:type="page"/>
      </w:r>
    </w:p>
    <w:p w:rsidR="00F64049" w:rsidRDefault="00BE3959">
      <w:pPr>
        <w:pStyle w:val="Titre1"/>
      </w:pPr>
      <w:bookmarkStart w:id="2" w:name="résumé"/>
      <w:bookmarkStart w:id="3" w:name="_Toc226981209"/>
      <w:bookmarkEnd w:id="0"/>
      <w:r>
        <w:lastRenderedPageBreak/>
        <w:t>Résumé</w:t>
      </w:r>
      <w:bookmarkEnd w:id="3"/>
    </w:p>
    <w:p w:rsidR="00F64049" w:rsidRDefault="00BE3959">
      <w:pPr>
        <w:pStyle w:val="FirstParagraph"/>
      </w:pPr>
      <w:r>
        <w:t xml:space="preserve">Ce rapport analyse la structure foncière des exploitations agricoles nigérianes à partir des modules parcelles du </w:t>
      </w:r>
      <w:r>
        <w:rPr>
          <w:b/>
          <w:bCs/>
        </w:rPr>
        <w:t>General Household Survey Panel (GHS-Panel), vague 4</w:t>
      </w:r>
      <w:r>
        <w:t xml:space="preserve">, conduite en 2018-2019 par le Bureau National de Statistique (NBS) du Nigeria en collaboration avec la Banque mondiale dans le cadre du programme LSMS-ISA. L’étude couvre </w:t>
      </w:r>
      <w:r>
        <w:rPr>
          <w:b/>
          <w:bCs/>
        </w:rPr>
        <w:t>10 961 parcelles agricoles</w:t>
      </w:r>
      <w:r>
        <w:t xml:space="preserve"> appartenant à </w:t>
      </w:r>
      <w:r>
        <w:rPr>
          <w:b/>
          <w:bCs/>
        </w:rPr>
        <w:t>4 976 ménages</w:t>
      </w:r>
      <w:r>
        <w:t xml:space="preserve"> répartis sur les 36 États féd</w:t>
      </w:r>
      <w:r>
        <w:t>érés et le Territoire de la Capitale Fédérale.</w:t>
      </w:r>
    </w:p>
    <w:p w:rsidR="00F64049" w:rsidRDefault="00BE3959">
      <w:pPr>
        <w:pStyle w:val="Corpsdetexte"/>
      </w:pPr>
      <w:r>
        <w:t>Quatre résultats structurants se dégagent :</w:t>
      </w:r>
    </w:p>
    <w:p w:rsidR="00F64049" w:rsidRDefault="00BE3959">
      <w:pPr>
        <w:numPr>
          <w:ilvl w:val="0"/>
          <w:numId w:val="11"/>
        </w:numPr>
      </w:pPr>
      <w:r>
        <w:rPr>
          <w:b/>
          <w:bCs/>
        </w:rPr>
        <w:t>Petite agriculture familiale dominante.</w:t>
      </w:r>
      <w:r>
        <w:t xml:space="preserve"> La superficie médiane par parcelle est de </w:t>
      </w:r>
      <w:r>
        <w:rPr>
          <w:b/>
          <w:bCs/>
        </w:rPr>
        <w:t>0,26 ha</w:t>
      </w:r>
      <w:r>
        <w:t xml:space="preserve"> et la superficie totale médiane du ménage agricole de 0,66 ha. La distribut</w:t>
      </w:r>
      <w:r>
        <w:t>ion est fortement asymétrique à droite (CV = 150 %), révélant la coexistence d’une grande majorité de petits exploitants et d’une minorité de grandes exploitations qui tirent la moyenne vers le haut.</w:t>
      </w:r>
    </w:p>
    <w:p w:rsidR="00F64049" w:rsidRDefault="00BE3959">
      <w:pPr>
        <w:numPr>
          <w:ilvl w:val="0"/>
          <w:numId w:val="11"/>
        </w:numPr>
      </w:pPr>
      <w:r>
        <w:rPr>
          <w:b/>
          <w:bCs/>
        </w:rPr>
        <w:t>Prédominance du régime coutumier.</w:t>
      </w:r>
      <w:r>
        <w:t xml:space="preserve"> L’héritage familial re</w:t>
      </w:r>
      <w:r>
        <w:t xml:space="preserve">présente </w:t>
      </w:r>
      <w:r>
        <w:rPr>
          <w:b/>
          <w:bCs/>
        </w:rPr>
        <w:t>62,9 % des parcelles</w:t>
      </w:r>
      <w:r>
        <w:t xml:space="preserve">. Son association avec le milieu de résidence est extrêmement significative (χ² = 508,7 ; p &lt; 10⁻¹⁰⁰), traduisant la dualité structurelle entre un système foncier coutumier en zone rurale et un marché foncier marchand émergent </w:t>
      </w:r>
      <w:r>
        <w:t>en zone urbaine.</w:t>
      </w:r>
    </w:p>
    <w:p w:rsidR="00F64049" w:rsidRDefault="00BE3959">
      <w:pPr>
        <w:numPr>
          <w:ilvl w:val="0"/>
          <w:numId w:val="11"/>
        </w:numPr>
      </w:pPr>
      <w:r>
        <w:rPr>
          <w:b/>
          <w:bCs/>
        </w:rPr>
        <w:t>Fragmentation foncière faiblement déterminante.</w:t>
      </w:r>
      <w:r>
        <w:t xml:space="preserve"> La corrélation entre superficie totale du ménage et nombre de parcelles est positive mais faible (ρ = 0,19) : la taille individuelle des parcelles, et non leur nombre, est le principal déterm</w:t>
      </w:r>
      <w:r>
        <w:t>inant de la superficie totale.</w:t>
      </w:r>
    </w:p>
    <w:p w:rsidR="00F64049" w:rsidRDefault="00BE3959">
      <w:pPr>
        <w:numPr>
          <w:ilvl w:val="0"/>
          <w:numId w:val="11"/>
        </w:numPr>
      </w:pPr>
      <w:r>
        <w:rPr>
          <w:b/>
          <w:bCs/>
        </w:rPr>
        <w:t>Disparités géographiques marquées.</w:t>
      </w:r>
      <w:r>
        <w:t xml:space="preserve"> Les États du Nord affichent des superficies médianes plus de </w:t>
      </w:r>
      <w:r>
        <w:rPr>
          <w:b/>
          <w:bCs/>
        </w:rPr>
        <w:t>8 fois supérieures</w:t>
      </w:r>
      <w:r>
        <w:t xml:space="preserve"> à celles des États du Sud-Est, reflet de conditions agro-écologiques et démographiques très différenciées.</w:t>
      </w:r>
    </w:p>
    <w:p w:rsidR="00F64049" w:rsidRDefault="00BE3959">
      <w:r>
        <w:br w:type="page"/>
      </w:r>
    </w:p>
    <w:p w:rsidR="00F64049" w:rsidRDefault="00BE3959">
      <w:pPr>
        <w:pStyle w:val="Titre1"/>
      </w:pPr>
      <w:bookmarkStart w:id="4" w:name="introduction"/>
      <w:bookmarkStart w:id="5" w:name="_Toc226981210"/>
      <w:bookmarkEnd w:id="2"/>
      <w:r>
        <w:lastRenderedPageBreak/>
        <w:t>I</w:t>
      </w:r>
      <w:r>
        <w:t>ntroduction</w:t>
      </w:r>
      <w:bookmarkEnd w:id="5"/>
    </w:p>
    <w:p w:rsidR="00F64049" w:rsidRDefault="00BE3959">
      <w:pPr>
        <w:pStyle w:val="Titre2"/>
      </w:pPr>
      <w:bookmarkStart w:id="6" w:name="contexte-et-enjeux"/>
      <w:bookmarkStart w:id="7" w:name="_Toc226981211"/>
      <w:r>
        <w:t>Contexte et enjeux</w:t>
      </w:r>
      <w:bookmarkEnd w:id="7"/>
    </w:p>
    <w:p w:rsidR="00F64049" w:rsidRDefault="00BE3959">
      <w:pPr>
        <w:pStyle w:val="FirstParagraph"/>
      </w:pPr>
      <w:r>
        <w:t xml:space="preserve">La question foncière est au cœur des enjeux de développement agricole en Afrique subsaharienne. L’accès à la terre, sa sécurisation juridique et sa distribution conditionnent directement la productivité agricole, les revenus </w:t>
      </w:r>
      <w:r>
        <w:t>ruraux et la sécurité alimentaire. Au Nigeria, premier pays agricole du continent par la taille de sa population rurale, la compréhension fine de la structure des exploitations est indispensable pour concevoir des politiques publiques efficaces.</w:t>
      </w:r>
    </w:p>
    <w:p w:rsidR="00F64049" w:rsidRDefault="00BE3959">
      <w:pPr>
        <w:pStyle w:val="Corpsdetexte"/>
      </w:pPr>
      <w:r>
        <w:t>L’agricult</w:t>
      </w:r>
      <w:r>
        <w:t>ure nigériane se caractérise par une diversité extrême : grandes exploitations commerciales dans les zones sahéliennes du Nord, agriculture vivrière intensive sur de minuscules parcelles dans le Delta du Niger, systèmes d’exploitation familiaux dans la cei</w:t>
      </w:r>
      <w:r>
        <w:t>nture intermédiaire. Cette hétérogénéité rend toute analyse agrégée délicate et justifie l’utilisation de données d’enquête représentatives à l’échelle nationale.</w:t>
      </w:r>
    </w:p>
    <w:p w:rsidR="00F64049" w:rsidRDefault="00BE3959">
      <w:pPr>
        <w:pStyle w:val="Titre2"/>
      </w:pPr>
      <w:bookmarkStart w:id="8" w:name="présentation-du-dispositif-ghs-panel"/>
      <w:bookmarkStart w:id="9" w:name="_Toc226981212"/>
      <w:bookmarkEnd w:id="6"/>
      <w:r>
        <w:t>Présentation du dispositif GHS-Panel</w:t>
      </w:r>
      <w:bookmarkEnd w:id="9"/>
    </w:p>
    <w:p w:rsidR="00F64049" w:rsidRDefault="00BE3959">
      <w:pPr>
        <w:pStyle w:val="FirstParagraph"/>
      </w:pPr>
      <w:r>
        <w:t xml:space="preserve">Le </w:t>
      </w:r>
      <w:r>
        <w:rPr>
          <w:b/>
          <w:bCs/>
        </w:rPr>
        <w:t>General Household Survey Panel (GHS-Panel)</w:t>
      </w:r>
      <w:r>
        <w:t>, mis en œu</w:t>
      </w:r>
      <w:r>
        <w:t>vre depuis 2010 par le NBS en partenariat avec la Banque mondiale dans le cadre du programme LSMS-ISA (</w:t>
      </w:r>
      <w:r>
        <w:rPr>
          <w:i/>
          <w:iCs/>
        </w:rPr>
        <w:t>Living Standards Measurement Study — Integrated Surveys on Agriculture</w:t>
      </w:r>
      <w:r>
        <w:t>), constitue à ce jour la source de données la plus complète sur les ménages agrico</w:t>
      </w:r>
      <w:r>
        <w:t xml:space="preserve">les nigérians. Ce dispositif de suivi longitudinal combine des modules ménages classiques avec des modules agriculture détaillés, dont un module parcelles permettant de recenser individuellement chaque parcelle cultivée, d’en mesurer la superficie par GPS </w:t>
      </w:r>
      <w:r>
        <w:t>et d’en documenter le régime de tenure.</w:t>
      </w:r>
    </w:p>
    <w:p w:rsidR="00F64049" w:rsidRDefault="00BE3959">
      <w:pPr>
        <w:pStyle w:val="Corpsdetexte"/>
      </w:pPr>
      <w:r>
        <w:t xml:space="preserve">La </w:t>
      </w:r>
      <w:r>
        <w:rPr>
          <w:b/>
          <w:bCs/>
        </w:rPr>
        <w:t>quatrième vague</w:t>
      </w:r>
      <w:r>
        <w:t xml:space="preserve"> (2018-2019) mobilise un échantillon de </w:t>
      </w:r>
      <w:r>
        <w:rPr>
          <w:b/>
          <w:bCs/>
        </w:rPr>
        <w:t>4 976 ménages</w:t>
      </w:r>
      <w:r>
        <w:t xml:space="preserve"> répartis dans </w:t>
      </w:r>
      <w:r>
        <w:rPr>
          <w:b/>
          <w:bCs/>
        </w:rPr>
        <w:t>517 zones de dénombrement</w:t>
      </w:r>
      <w:r>
        <w:t xml:space="preserve"> tirées de manière aléatoire à l’échelle nationale, selon un plan de sondage stratifié à deux degrés (Éta</w:t>
      </w:r>
      <w:r>
        <w:t>t × milieu de résidence). Deux passages d’enquête sont conduits : un passage post-semis (juillet-août 2018) et un passage post-récolte (janvier-février 2019).</w:t>
      </w:r>
    </w:p>
    <w:p w:rsidR="00F64049" w:rsidRDefault="00BE3959">
      <w:pPr>
        <w:pStyle w:val="Titre2"/>
      </w:pPr>
      <w:bookmarkStart w:id="10" w:name="objectifs-et-organisation-du-rapport"/>
      <w:bookmarkStart w:id="11" w:name="_Toc226981213"/>
      <w:bookmarkEnd w:id="8"/>
      <w:r>
        <w:lastRenderedPageBreak/>
        <w:t>Objectifs et organisation du rapport</w:t>
      </w:r>
      <w:bookmarkEnd w:id="11"/>
    </w:p>
    <w:p w:rsidR="00F64049" w:rsidRDefault="00BE3959">
      <w:pPr>
        <w:pStyle w:val="FirstParagraph"/>
      </w:pPr>
      <w:r>
        <w:t xml:space="preserve">Ce travail pratique vise à analyser, de façon rigoureuse et </w:t>
      </w:r>
      <w:r>
        <w:t xml:space="preserve">reproductible, plusieurs dimensions du foncier agricole : la construction et la distribution de la variable superficie (Tâche 19), la robustesse des estimations et les biais de mesure GPS (Tâche 20), les régimes de tenure foncière et leur association avec </w:t>
      </w:r>
      <w:r>
        <w:t>le milieu de résidence (Tâche 21), la relation entre fragmentation parcellaire et superficie totale (Tâche 23), et les disparités géographiques entre États fédérés (Tâche 24).</w:t>
      </w:r>
    </w:p>
    <w:p w:rsidR="00F64049" w:rsidRDefault="00BE3959">
      <w:pPr>
        <w:pStyle w:val="Corpsdetexte"/>
      </w:pPr>
      <w:r>
        <w:t>Le rapport est organisé comme suit : la section 1 présente les données et le pip</w:t>
      </w:r>
      <w:r>
        <w:t>eline de traitement ; les sections 2 à 6 développent les cinq tâches analytiques ; la section 7 confronte nos résultats au rapport officiel LSMS 2019 ; une conclusion synthétise les principaux enseignements.</w:t>
      </w:r>
    </w:p>
    <w:p w:rsidR="00F64049" w:rsidRDefault="00BE3959">
      <w:r>
        <w:br w:type="page"/>
      </w:r>
    </w:p>
    <w:p w:rsidR="00F64049" w:rsidRDefault="00BE3959">
      <w:pPr>
        <w:pStyle w:val="Titre1"/>
      </w:pPr>
      <w:bookmarkStart w:id="12" w:name="données-et-pipeline-de-traitement"/>
      <w:bookmarkStart w:id="13" w:name="_Toc226981214"/>
      <w:bookmarkEnd w:id="4"/>
      <w:bookmarkEnd w:id="10"/>
      <w:r>
        <w:lastRenderedPageBreak/>
        <w:t>1. Données et pipeline de traitement</w:t>
      </w:r>
      <w:bookmarkEnd w:id="13"/>
    </w:p>
    <w:p w:rsidR="00F64049" w:rsidRDefault="00BE3959">
      <w:pPr>
        <w:pStyle w:val="Titre2"/>
      </w:pPr>
      <w:bookmarkStart w:id="14" w:name="bases-de-données-mobilisées"/>
      <w:bookmarkStart w:id="15" w:name="_Toc226981215"/>
      <w:r>
        <w:t>1.1 Bases</w:t>
      </w:r>
      <w:r>
        <w:t xml:space="preserve"> de données mobilisées</w:t>
      </w:r>
      <w:bookmarkEnd w:id="15"/>
    </w:p>
    <w:p w:rsidR="00F64049" w:rsidRDefault="00BE3959">
      <w:pPr>
        <w:pStyle w:val="FirstParagraph"/>
      </w:pPr>
      <w:r>
        <w:t>L’analyse repose sur quatre bases de données issues du GHS-Panel Wave 4, toutes au format Stata (</w:t>
      </w:r>
      <w:r>
        <w:rPr>
          <w:rStyle w:val="VerbatimChar"/>
        </w:rPr>
        <w:t>.dta</w:t>
      </w:r>
      <w:r>
        <w:t>) et disponibles librement sur le portail de microdonnées de la Banque mondiale (LSMS Data Catalog). Ces bases couvrent deux passage</w:t>
      </w:r>
      <w:r>
        <w:t>s d’enquête distincts et sont jointes via les identifiants ménage (</w:t>
      </w:r>
      <w:r>
        <w:rPr>
          <w:rStyle w:val="VerbatimChar"/>
        </w:rPr>
        <w:t>hhid</w:t>
      </w:r>
      <w:r>
        <w:t>) et parcelle (</w:t>
      </w:r>
      <w:r>
        <w:rPr>
          <w:rStyle w:val="VerbatimChar"/>
        </w:rPr>
        <w:t>plotid</w:t>
      </w:r>
      <w:r>
        <w:t>).</w:t>
      </w:r>
    </w:p>
    <w:p w:rsidR="00F64049" w:rsidRDefault="00BE3959">
      <w:pPr>
        <w:pStyle w:val="TableCaption"/>
      </w:pPr>
      <w:r>
        <w:t>Bases de données du GHS-Panel Wave 4 mobilisées</w:t>
      </w:r>
    </w:p>
    <w:tbl>
      <w:tblPr>
        <w:tblStyle w:val="Table"/>
        <w:tblW w:w="5000" w:type="pct"/>
        <w:tblLayout w:type="fixed"/>
        <w:tblLook w:val="0020" w:firstRow="1" w:lastRow="0" w:firstColumn="0" w:lastColumn="0" w:noHBand="0" w:noVBand="0"/>
        <w:tblCaption w:val="Bases de données du GHS-Panel Wave 4 mobilisées"/>
      </w:tblPr>
      <w:tblGrid>
        <w:gridCol w:w="1727"/>
        <w:gridCol w:w="1639"/>
        <w:gridCol w:w="603"/>
        <w:gridCol w:w="5437"/>
      </w:tblGrid>
      <w:tr w:rsidR="00F64049" w:rsidTr="00F64049">
        <w:trPr>
          <w:cnfStyle w:val="100000000000" w:firstRow="1" w:lastRow="0" w:firstColumn="0" w:lastColumn="0" w:oddVBand="0" w:evenVBand="0" w:oddHBand="0" w:evenHBand="0" w:firstRowFirstColumn="0" w:firstRowLastColumn="0" w:lastRowFirstColumn="0" w:lastRowLastColumn="0"/>
          <w:tblHeader/>
        </w:trPr>
        <w:tc>
          <w:tcPr>
            <w:tcW w:w="1453" w:type="dxa"/>
          </w:tcPr>
          <w:p w:rsidR="00F64049" w:rsidRDefault="00BE3959">
            <w:pPr>
              <w:pStyle w:val="Compact"/>
              <w:jc w:val="left"/>
            </w:pPr>
            <w:r>
              <w:t>Base</w:t>
            </w:r>
          </w:p>
        </w:tc>
        <w:tc>
          <w:tcPr>
            <w:tcW w:w="1380" w:type="dxa"/>
          </w:tcPr>
          <w:p w:rsidR="00F64049" w:rsidRDefault="00BE3959">
            <w:pPr>
              <w:pStyle w:val="Compact"/>
              <w:jc w:val="left"/>
            </w:pPr>
            <w:r>
              <w:t>Niveau</w:t>
            </w:r>
          </w:p>
        </w:tc>
        <w:tc>
          <w:tcPr>
            <w:tcW w:w="508" w:type="dxa"/>
          </w:tcPr>
          <w:p w:rsidR="00F64049" w:rsidRDefault="00BE3959">
            <w:pPr>
              <w:pStyle w:val="Compact"/>
              <w:jc w:val="left"/>
            </w:pPr>
            <w:r>
              <w:t>Obs.</w:t>
            </w:r>
          </w:p>
        </w:tc>
        <w:tc>
          <w:tcPr>
            <w:tcW w:w="4577" w:type="dxa"/>
          </w:tcPr>
          <w:p w:rsidR="00F64049" w:rsidRDefault="00BE3959">
            <w:pPr>
              <w:pStyle w:val="Compact"/>
              <w:jc w:val="left"/>
            </w:pPr>
            <w:r>
              <w:t>Variables clés</w:t>
            </w:r>
          </w:p>
        </w:tc>
      </w:tr>
      <w:tr w:rsidR="00F64049">
        <w:tc>
          <w:tcPr>
            <w:tcW w:w="1453" w:type="dxa"/>
          </w:tcPr>
          <w:p w:rsidR="00F64049" w:rsidRDefault="00BE3959">
            <w:pPr>
              <w:pStyle w:val="Compact"/>
              <w:jc w:val="left"/>
            </w:pPr>
            <w:r>
              <w:t>secta_harvestw4</w:t>
            </w:r>
          </w:p>
        </w:tc>
        <w:tc>
          <w:tcPr>
            <w:tcW w:w="1380" w:type="dxa"/>
          </w:tcPr>
          <w:p w:rsidR="00F64049" w:rsidRDefault="00BE3959">
            <w:pPr>
              <w:pStyle w:val="Compact"/>
              <w:jc w:val="left"/>
            </w:pPr>
            <w:r>
              <w:t>Ménage</w:t>
            </w:r>
          </w:p>
        </w:tc>
        <w:tc>
          <w:tcPr>
            <w:tcW w:w="508" w:type="dxa"/>
          </w:tcPr>
          <w:p w:rsidR="00F64049" w:rsidRDefault="00BE3959">
            <w:pPr>
              <w:pStyle w:val="Compact"/>
              <w:jc w:val="left"/>
            </w:pPr>
            <w:r>
              <w:t>4 976</w:t>
            </w:r>
          </w:p>
        </w:tc>
        <w:tc>
          <w:tcPr>
            <w:tcW w:w="4577" w:type="dxa"/>
          </w:tcPr>
          <w:p w:rsidR="00F64049" w:rsidRDefault="00BE3959">
            <w:pPr>
              <w:pStyle w:val="Compact"/>
              <w:jc w:val="left"/>
            </w:pPr>
            <w:r>
              <w:t>Poids de sondage (weight_wave4), État fédéré, milieu résidence</w:t>
            </w:r>
          </w:p>
        </w:tc>
      </w:tr>
      <w:tr w:rsidR="00F64049">
        <w:tc>
          <w:tcPr>
            <w:tcW w:w="1453" w:type="dxa"/>
          </w:tcPr>
          <w:p w:rsidR="00F64049" w:rsidRDefault="00BE3959">
            <w:pPr>
              <w:pStyle w:val="Compact"/>
              <w:jc w:val="left"/>
            </w:pPr>
            <w:r>
              <w:t>secta1_harvestw4</w:t>
            </w:r>
          </w:p>
        </w:tc>
        <w:tc>
          <w:tcPr>
            <w:tcW w:w="1380" w:type="dxa"/>
          </w:tcPr>
          <w:p w:rsidR="00F64049" w:rsidRDefault="00BE3959">
            <w:pPr>
              <w:pStyle w:val="Compact"/>
              <w:jc w:val="left"/>
            </w:pPr>
            <w:r>
              <w:t>Parcelle (récolte)</w:t>
            </w:r>
          </w:p>
        </w:tc>
        <w:tc>
          <w:tcPr>
            <w:tcW w:w="508" w:type="dxa"/>
          </w:tcPr>
          <w:p w:rsidR="00F64049" w:rsidRDefault="00BE3959">
            <w:pPr>
              <w:pStyle w:val="Compact"/>
              <w:jc w:val="left"/>
            </w:pPr>
            <w:r>
              <w:t>10 961</w:t>
            </w:r>
          </w:p>
        </w:tc>
        <w:tc>
          <w:tcPr>
            <w:tcW w:w="4577" w:type="dxa"/>
          </w:tcPr>
          <w:p w:rsidR="00F64049" w:rsidRDefault="00BE3959">
            <w:pPr>
              <w:pStyle w:val="Compact"/>
              <w:jc w:val="left"/>
            </w:pPr>
            <w:r>
              <w:t>Superficie GPS récolte (sa1q11), indicateur re-mesure (sa1q9)</w:t>
            </w:r>
          </w:p>
        </w:tc>
      </w:tr>
      <w:tr w:rsidR="00F64049">
        <w:tc>
          <w:tcPr>
            <w:tcW w:w="1453" w:type="dxa"/>
          </w:tcPr>
          <w:p w:rsidR="00F64049" w:rsidRDefault="00BE3959">
            <w:pPr>
              <w:pStyle w:val="Compact"/>
              <w:jc w:val="left"/>
            </w:pPr>
            <w:r>
              <w:t>sect11a1_plantingw4</w:t>
            </w:r>
          </w:p>
        </w:tc>
        <w:tc>
          <w:tcPr>
            <w:tcW w:w="1380" w:type="dxa"/>
          </w:tcPr>
          <w:p w:rsidR="00F64049" w:rsidRDefault="00BE3959">
            <w:pPr>
              <w:pStyle w:val="Compact"/>
              <w:jc w:val="left"/>
            </w:pPr>
            <w:r>
              <w:t>Parcelle (semis)</w:t>
            </w:r>
          </w:p>
        </w:tc>
        <w:tc>
          <w:tcPr>
            <w:tcW w:w="508" w:type="dxa"/>
          </w:tcPr>
          <w:p w:rsidR="00F64049" w:rsidRDefault="00BE3959">
            <w:pPr>
              <w:pStyle w:val="Compact"/>
              <w:jc w:val="left"/>
            </w:pPr>
            <w:r>
              <w:t>Var.</w:t>
            </w:r>
          </w:p>
        </w:tc>
        <w:tc>
          <w:tcPr>
            <w:tcW w:w="4577" w:type="dxa"/>
          </w:tcPr>
          <w:p w:rsidR="00F64049" w:rsidRDefault="00BE3959">
            <w:pPr>
              <w:pStyle w:val="Compact"/>
              <w:jc w:val="left"/>
            </w:pPr>
            <w:r>
              <w:t>Superficie GPS semis (s11aq4c)</w:t>
            </w:r>
          </w:p>
        </w:tc>
      </w:tr>
      <w:tr w:rsidR="00F64049">
        <w:tc>
          <w:tcPr>
            <w:tcW w:w="1453" w:type="dxa"/>
          </w:tcPr>
          <w:p w:rsidR="00F64049" w:rsidRDefault="00BE3959">
            <w:pPr>
              <w:pStyle w:val="Compact"/>
              <w:jc w:val="left"/>
            </w:pPr>
            <w:r>
              <w:t>sect11b1_plantingw4</w:t>
            </w:r>
          </w:p>
        </w:tc>
        <w:tc>
          <w:tcPr>
            <w:tcW w:w="1380" w:type="dxa"/>
          </w:tcPr>
          <w:p w:rsidR="00F64049" w:rsidRDefault="00BE3959">
            <w:pPr>
              <w:pStyle w:val="Compact"/>
              <w:jc w:val="left"/>
            </w:pPr>
            <w:r>
              <w:t>Parcelle (semis)</w:t>
            </w:r>
          </w:p>
        </w:tc>
        <w:tc>
          <w:tcPr>
            <w:tcW w:w="508" w:type="dxa"/>
          </w:tcPr>
          <w:p w:rsidR="00F64049" w:rsidRDefault="00BE3959">
            <w:pPr>
              <w:pStyle w:val="Compact"/>
              <w:jc w:val="left"/>
            </w:pPr>
            <w:r>
              <w:t>Var.</w:t>
            </w:r>
          </w:p>
        </w:tc>
        <w:tc>
          <w:tcPr>
            <w:tcW w:w="4577" w:type="dxa"/>
          </w:tcPr>
          <w:p w:rsidR="00F64049" w:rsidRDefault="00BE3959">
            <w:pPr>
              <w:pStyle w:val="Compact"/>
              <w:jc w:val="left"/>
            </w:pPr>
            <w:r>
              <w:t>Mode d’acquisition (tenure), titre foncier, qualité des sols</w:t>
            </w:r>
          </w:p>
        </w:tc>
      </w:tr>
    </w:tbl>
    <w:p w:rsidR="00F64049" w:rsidRDefault="00BE3959">
      <w:pPr>
        <w:pStyle w:val="Corpsdetexte"/>
      </w:pPr>
      <w:r>
        <w:t xml:space="preserve">La base principale est </w:t>
      </w:r>
      <w:r>
        <w:rPr>
          <w:b/>
          <w:bCs/>
        </w:rPr>
        <w:t>secta1_harvestw4</w:t>
      </w:r>
      <w:r>
        <w:t>, qui liste l’ensemble des parcelles déclarées comme cultivées lors du passage récolte. Elle est enrichie par les</w:t>
      </w:r>
      <w:r>
        <w:t xml:space="preserve"> informations foncières de </w:t>
      </w:r>
      <w:r>
        <w:rPr>
          <w:b/>
          <w:bCs/>
        </w:rPr>
        <w:t>sect11b1</w:t>
      </w:r>
      <w:r>
        <w:t xml:space="preserve"> et les mesures GPS complémentaires de </w:t>
      </w:r>
      <w:r>
        <w:rPr>
          <w:b/>
          <w:bCs/>
        </w:rPr>
        <w:t>sect11a1</w:t>
      </w:r>
      <w:r>
        <w:t>.</w:t>
      </w:r>
    </w:p>
    <w:p w:rsidR="00F64049" w:rsidRDefault="00BE3959">
      <w:pPr>
        <w:pStyle w:val="Titre2"/>
      </w:pPr>
      <w:bookmarkStart w:id="16" w:name="pipeline-de-traitement"/>
      <w:bookmarkStart w:id="17" w:name="_Toc226981216"/>
      <w:bookmarkEnd w:id="14"/>
      <w:r>
        <w:t>1.2 Pipeline de traitement</w:t>
      </w:r>
      <w:bookmarkEnd w:id="17"/>
    </w:p>
    <w:p w:rsidR="00F64049" w:rsidRDefault="00BE3959">
      <w:pPr>
        <w:pStyle w:val="FirstParagraph"/>
      </w:pPr>
      <w:r>
        <w:t>Le pipeline de traitement, implémenté en R et organisé en six scripts modulaires numérotés, applique les étapes suivantes dans un ordre strict po</w:t>
      </w:r>
      <w:r>
        <w:t>ur garantir la reproductibilité.</w:t>
      </w:r>
    </w:p>
    <w:p w:rsidR="00F64049" w:rsidRDefault="00BE3959">
      <w:pPr>
        <w:pStyle w:val="Corpsdetexte"/>
      </w:pPr>
      <w:r>
        <w:rPr>
          <w:b/>
          <w:bCs/>
        </w:rPr>
        <w:lastRenderedPageBreak/>
        <w:t>Étape 1 — Vérification des clés d’identification.</w:t>
      </w:r>
      <w:r>
        <w:t xml:space="preserve"> Les paires (</w:t>
      </w:r>
      <w:r>
        <w:rPr>
          <w:rStyle w:val="VerbatimChar"/>
        </w:rPr>
        <w:t>hhid</w:t>
      </w:r>
      <w:r>
        <w:t xml:space="preserve">, </w:t>
      </w:r>
      <w:r>
        <w:rPr>
          <w:rStyle w:val="VerbatimChar"/>
        </w:rPr>
        <w:t>plotid</w:t>
      </w:r>
      <w:r>
        <w:t xml:space="preserve">) sont vérifiées pour unicité dans chaque base avant toute fusion. Des doublons de clé produiraient des fusions cartésiennes biaisantes. Résultat : </w:t>
      </w:r>
      <w:r>
        <w:rPr>
          <w:i/>
          <w:iCs/>
        </w:rPr>
        <w:t>a</w:t>
      </w:r>
      <w:r>
        <w:rPr>
          <w:i/>
          <w:iCs/>
        </w:rPr>
        <w:t>ucun doublon détecté</w:t>
      </w:r>
      <w:r>
        <w:t>.</w:t>
      </w:r>
    </w:p>
    <w:p w:rsidR="00F64049" w:rsidRDefault="00BE3959">
      <w:pPr>
        <w:pStyle w:val="Corpsdetexte"/>
      </w:pPr>
      <w:r>
        <w:rPr>
          <w:b/>
          <w:bCs/>
        </w:rPr>
        <w:t>Étape 2 — Traitement des codes spéciaux.</w:t>
      </w:r>
      <w:r>
        <w:t xml:space="preserve"> Les valeurs 999, 9999, -99 et -999 (convention Banque mondiale pour les non-réponses et refus) sont remplacées par </w:t>
      </w:r>
      <w:r>
        <w:rPr>
          <w:rStyle w:val="VerbatimChar"/>
        </w:rPr>
        <w:t>NA</w:t>
      </w:r>
      <w:r>
        <w:t xml:space="preserve"> dans toutes les variables numériques.</w:t>
      </w:r>
    </w:p>
    <w:p w:rsidR="00F64049" w:rsidRDefault="00BE3959">
      <w:pPr>
        <w:pStyle w:val="Corpsdetexte"/>
      </w:pPr>
      <w:r>
        <w:rPr>
          <w:b/>
          <w:bCs/>
        </w:rPr>
        <w:t>Étape 3 — Consolidation de la superfi</w:t>
      </w:r>
      <w:r>
        <w:rPr>
          <w:b/>
          <w:bCs/>
        </w:rPr>
        <w:t>cie GPS.</w:t>
      </w:r>
      <w:r>
        <w:t xml:space="preserve"> Trois sources de mesure sont intégrées par ordre de priorité : (1) re-mesure GPS à la récolte (</w:t>
      </w:r>
      <w:r>
        <w:rPr>
          <w:rStyle w:val="VerbatimChar"/>
        </w:rPr>
        <w:t>sa1q11</w:t>
      </w:r>
      <w:r>
        <w:t xml:space="preserve">, si </w:t>
      </w:r>
      <w:r>
        <w:rPr>
          <w:rStyle w:val="VerbatimChar"/>
        </w:rPr>
        <w:t>sa1q9 = 1</w:t>
      </w:r>
      <w:r>
        <w:t>) ; (2) GPS semis (</w:t>
      </w:r>
      <w:r>
        <w:rPr>
          <w:rStyle w:val="VerbatimChar"/>
        </w:rPr>
        <w:t>s11aq4c</w:t>
      </w:r>
      <w:r>
        <w:t>) ; (3) superficie pré-remplie vague précédente. Toutes les mesures (en m²) sont converties en hectares (÷</w:t>
      </w:r>
      <w:r>
        <w:t xml:space="preserve"> 10 000).</w:t>
      </w:r>
    </w:p>
    <w:p w:rsidR="00F64049" w:rsidRDefault="00BE3959">
      <w:pPr>
        <w:pStyle w:val="Corpsdetexte"/>
      </w:pPr>
      <w:r>
        <w:rPr>
          <w:b/>
          <w:bCs/>
        </w:rPr>
        <w:t>Étape 4 — Labellisation et recodage.</w:t>
      </w:r>
      <w:r>
        <w:t xml:space="preserve"> La tenure (</w:t>
      </w:r>
      <w:r>
        <w:rPr>
          <w:rStyle w:val="VerbatimChar"/>
        </w:rPr>
        <w:t>tenure_6</w:t>
      </w:r>
      <w:r>
        <w:t xml:space="preserve">) est recodée en six catégories : </w:t>
      </w:r>
      <w:r>
        <w:rPr>
          <w:i/>
          <w:iCs/>
        </w:rPr>
        <w:t>Héritage</w:t>
      </w:r>
      <w:r>
        <w:t xml:space="preserve">, </w:t>
      </w:r>
      <w:r>
        <w:rPr>
          <w:i/>
          <w:iCs/>
        </w:rPr>
        <w:t>Propriété pleine</w:t>
      </w:r>
      <w:r>
        <w:t xml:space="preserve">, </w:t>
      </w:r>
      <w:r>
        <w:rPr>
          <w:i/>
          <w:iCs/>
        </w:rPr>
        <w:t>Location</w:t>
      </w:r>
      <w:r>
        <w:t xml:space="preserve">, </w:t>
      </w:r>
      <w:r>
        <w:rPr>
          <w:i/>
          <w:iCs/>
        </w:rPr>
        <w:t>Prêt</w:t>
      </w:r>
      <w:r>
        <w:t xml:space="preserve">, </w:t>
      </w:r>
      <w:r>
        <w:rPr>
          <w:i/>
          <w:iCs/>
        </w:rPr>
        <w:t>Don communautaire</w:t>
      </w:r>
      <w:r>
        <w:t xml:space="preserve">, </w:t>
      </w:r>
      <w:r>
        <w:rPr>
          <w:i/>
          <w:iCs/>
        </w:rPr>
        <w:t>Métayage</w:t>
      </w:r>
      <w:r>
        <w:t xml:space="preserve">. Le milieu est dichotomisé en </w:t>
      </w:r>
      <w:r>
        <w:rPr>
          <w:i/>
          <w:iCs/>
        </w:rPr>
        <w:t>Rural</w:t>
      </w:r>
      <w:r>
        <w:t xml:space="preserve"> / </w:t>
      </w:r>
      <w:r>
        <w:rPr>
          <w:i/>
          <w:iCs/>
        </w:rPr>
        <w:t>Urbain</w:t>
      </w:r>
      <w:r>
        <w:t>.</w:t>
      </w:r>
    </w:p>
    <w:p w:rsidR="00F64049" w:rsidRDefault="00BE3959">
      <w:pPr>
        <w:pStyle w:val="Corpsdetexte"/>
      </w:pPr>
      <w:r>
        <w:rPr>
          <w:b/>
          <w:bCs/>
        </w:rPr>
        <w:t>Étape 5 — Jointure des poids de sondag</w:t>
      </w:r>
      <w:r>
        <w:rPr>
          <w:b/>
          <w:bCs/>
        </w:rPr>
        <w:t>e.</w:t>
      </w:r>
      <w:r>
        <w:t xml:space="preserve"> Les poids transversaux (</w:t>
      </w:r>
      <w:r>
        <w:rPr>
          <w:rStyle w:val="VerbatimChar"/>
        </w:rPr>
        <w:t>weight_wave4</w:t>
      </w:r>
      <w:r>
        <w:t xml:space="preserve">), stockés dans la base ménage, sont joints aux bases parcelles via </w:t>
      </w:r>
      <w:r>
        <w:rPr>
          <w:rStyle w:val="VerbatimChar"/>
        </w:rPr>
        <w:t>hhid</w:t>
      </w:r>
      <w:r>
        <w:t>.</w:t>
      </w:r>
    </w:p>
    <w:p w:rsidR="00F64049" w:rsidRDefault="00BE3959">
      <w:pPr>
        <w:pStyle w:val="Corpsdetexte"/>
      </w:pPr>
      <w:r>
        <w:rPr>
          <w:b/>
          <w:bCs/>
        </w:rPr>
        <w:t>Étape 6 — Agrégation ménage.</w:t>
      </w:r>
      <w:r>
        <w:t xml:space="preserve"> La superficie totale et le nombre de parcelles sont calculés par ménage pour les tâches 23 et 24.</w:t>
      </w:r>
    </w:p>
    <w:p w:rsidR="00F64049" w:rsidRDefault="00BE3959">
      <w:pPr>
        <w:pStyle w:val="Titre2"/>
      </w:pPr>
      <w:bookmarkStart w:id="18" w:name="poids-de-sondage"/>
      <w:bookmarkStart w:id="19" w:name="_Toc226981217"/>
      <w:bookmarkEnd w:id="16"/>
      <w:r>
        <w:t>1.3 Poids de sondage</w:t>
      </w:r>
      <w:bookmarkEnd w:id="19"/>
    </w:p>
    <w:p w:rsidR="00F64049" w:rsidRDefault="00BE3959">
      <w:pPr>
        <w:pStyle w:val="FirstParagraph"/>
      </w:pPr>
      <w:r>
        <w:t xml:space="preserve">Le </w:t>
      </w:r>
      <w:r>
        <w:rPr>
          <w:b/>
          <w:bCs/>
        </w:rPr>
        <w:t>poids transversal</w:t>
      </w:r>
      <w:r>
        <w:t xml:space="preserve"> (</w:t>
      </w:r>
      <w:r>
        <w:rPr>
          <w:rStyle w:val="VerbatimChar"/>
        </w:rPr>
        <w:t>weight_wave4</w:t>
      </w:r>
      <w:r>
        <w:t xml:space="preserve">) rend l’échantillon représentatif de la population nigériane 2018-2019 en corrigeant les probabilités d’inclusion inégales et les non-réponses. Il est utilisé dans </w:t>
      </w:r>
      <w:r>
        <w:rPr>
          <w:b/>
          <w:bCs/>
        </w:rPr>
        <w:t>toutes les analyses</w:t>
      </w:r>
      <w:r>
        <w:t>. Le poids longit</w:t>
      </w:r>
      <w:r>
        <w:t>udinal (</w:t>
      </w:r>
      <w:r>
        <w:rPr>
          <w:rStyle w:val="VerbatimChar"/>
        </w:rPr>
        <w:t>wt_longpanel</w:t>
      </w:r>
      <w:r>
        <w:t>), réservé au sous-échantillon suivi depuis 2010, n’est pas mobilisé ici.</w:t>
      </w:r>
    </w:p>
    <w:p w:rsidR="00F64049" w:rsidRDefault="00BE3959">
      <w:r>
        <w:br w:type="page"/>
      </w:r>
    </w:p>
    <w:p w:rsidR="00F64049" w:rsidRDefault="00BE3959">
      <w:pPr>
        <w:pStyle w:val="Titre1"/>
      </w:pPr>
      <w:bookmarkStart w:id="20" w:name="X4e90020d8fca7c0230b23b98e8f2a657b1721c8"/>
      <w:bookmarkStart w:id="21" w:name="_Toc226981218"/>
      <w:bookmarkEnd w:id="12"/>
      <w:bookmarkEnd w:id="18"/>
      <w:r>
        <w:lastRenderedPageBreak/>
        <w:t>2. Distribution de la superficie parcellaire (Tâche 19)</w:t>
      </w:r>
      <w:bookmarkEnd w:id="21"/>
    </w:p>
    <w:p w:rsidR="00F64049" w:rsidRDefault="00BE3959">
      <w:pPr>
        <w:pStyle w:val="Titre2"/>
      </w:pPr>
      <w:bookmarkStart w:id="22" w:name="construction-de-la-variable-superficie"/>
      <w:bookmarkStart w:id="23" w:name="_Toc226981219"/>
      <w:r>
        <w:t>2.1 Construction de la variable superficie</w:t>
      </w:r>
      <w:bookmarkEnd w:id="23"/>
    </w:p>
    <w:p w:rsidR="00F64049" w:rsidRDefault="00BE3959">
      <w:pPr>
        <w:pStyle w:val="FirstParagraph"/>
      </w:pPr>
      <w:r>
        <w:t xml:space="preserve">Sur les </w:t>
      </w:r>
      <w:r>
        <w:rPr>
          <w:b/>
          <w:bCs/>
        </w:rPr>
        <w:t>10 961 parcelles</w:t>
      </w:r>
      <w:r>
        <w:t xml:space="preserve"> </w:t>
      </w:r>
      <w:r>
        <w:t xml:space="preserve">de la base récolte, une mesure GPS est disponible pour </w:t>
      </w:r>
      <w:r>
        <w:rPr>
          <w:b/>
          <w:bCs/>
        </w:rPr>
        <w:t>7320 parcelles</w:t>
      </w:r>
      <w:r>
        <w:t xml:space="preserve"> (66.8 % du total). Les 3641 parcelles restantes (33.2 %) ne disposent d’aucune mesure GPS objective et sont exclues de l’analyse afin de garantir la comparabilité des mesures.</w:t>
      </w:r>
    </w:p>
    <w:p w:rsidR="00F64049" w:rsidRDefault="00BE3959">
      <w:pPr>
        <w:pStyle w:val="TableCaption"/>
      </w:pPr>
      <w:r>
        <w:t>Répartitio</w:t>
      </w:r>
      <w:r>
        <w:t>n des parcelles selon la source de superficie GPS retenue</w:t>
      </w:r>
    </w:p>
    <w:tbl>
      <w:tblPr>
        <w:tblStyle w:val="Table"/>
        <w:tblW w:w="0" w:type="auto"/>
        <w:tblLook w:val="0020" w:firstRow="1" w:lastRow="0" w:firstColumn="0" w:lastColumn="0" w:noHBand="0" w:noVBand="0"/>
        <w:tblCaption w:val="Répartition des parcelles selon la source de superficie GPS retenue"/>
      </w:tblPr>
      <w:tblGrid>
        <w:gridCol w:w="2216"/>
        <w:gridCol w:w="949"/>
        <w:gridCol w:w="1203"/>
      </w:tblGrid>
      <w:tr w:rsidR="00F64049" w:rsidTr="00F64049">
        <w:trPr>
          <w:cnfStyle w:val="100000000000" w:firstRow="1" w:lastRow="0" w:firstColumn="0" w:lastColumn="0" w:oddVBand="0" w:evenVBand="0" w:oddHBand="0" w:evenHBand="0" w:firstRowFirstColumn="0" w:firstRowLastColumn="0" w:lastRowFirstColumn="0" w:lastRowLastColumn="0"/>
          <w:tblHeader/>
        </w:trPr>
        <w:tc>
          <w:tcPr>
            <w:tcW w:w="0" w:type="auto"/>
          </w:tcPr>
          <w:p w:rsidR="00F64049" w:rsidRDefault="00BE3959">
            <w:pPr>
              <w:pStyle w:val="Compact"/>
              <w:jc w:val="left"/>
            </w:pPr>
            <w:r>
              <w:t>Source de mesure</w:t>
            </w:r>
          </w:p>
        </w:tc>
        <w:tc>
          <w:tcPr>
            <w:tcW w:w="0" w:type="auto"/>
          </w:tcPr>
          <w:p w:rsidR="00F64049" w:rsidRDefault="00BE3959">
            <w:pPr>
              <w:pStyle w:val="Compact"/>
              <w:jc w:val="right"/>
            </w:pPr>
            <w:r>
              <w:t>Effectif</w:t>
            </w:r>
          </w:p>
        </w:tc>
        <w:tc>
          <w:tcPr>
            <w:tcW w:w="0" w:type="auto"/>
          </w:tcPr>
          <w:p w:rsidR="00F64049" w:rsidRDefault="00BE3959">
            <w:pPr>
              <w:pStyle w:val="Compact"/>
              <w:jc w:val="right"/>
            </w:pPr>
            <w:r>
              <w:t>% du total</w:t>
            </w:r>
          </w:p>
        </w:tc>
      </w:tr>
      <w:tr w:rsidR="00F64049">
        <w:tc>
          <w:tcPr>
            <w:tcW w:w="0" w:type="auto"/>
          </w:tcPr>
          <w:p w:rsidR="00F64049" w:rsidRDefault="00BE3959">
            <w:pPr>
              <w:pStyle w:val="Compact"/>
              <w:jc w:val="left"/>
            </w:pPr>
            <w:r>
              <w:t>GPS semis</w:t>
            </w:r>
          </w:p>
        </w:tc>
        <w:tc>
          <w:tcPr>
            <w:tcW w:w="0" w:type="auto"/>
          </w:tcPr>
          <w:p w:rsidR="00F64049" w:rsidRDefault="00BE3959">
            <w:pPr>
              <w:pStyle w:val="Compact"/>
              <w:jc w:val="right"/>
            </w:pPr>
            <w:r>
              <w:t>6254</w:t>
            </w:r>
          </w:p>
        </w:tc>
        <w:tc>
          <w:tcPr>
            <w:tcW w:w="0" w:type="auto"/>
          </w:tcPr>
          <w:p w:rsidR="00F64049" w:rsidRDefault="00BE3959">
            <w:pPr>
              <w:pStyle w:val="Compact"/>
              <w:jc w:val="right"/>
            </w:pPr>
            <w:r>
              <w:t>57.1</w:t>
            </w:r>
          </w:p>
        </w:tc>
      </w:tr>
      <w:tr w:rsidR="00F64049">
        <w:tc>
          <w:tcPr>
            <w:tcW w:w="0" w:type="auto"/>
          </w:tcPr>
          <w:p w:rsidR="00F64049" w:rsidRDefault="00BE3959">
            <w:pPr>
              <w:pStyle w:val="Compact"/>
              <w:jc w:val="left"/>
            </w:pPr>
            <w:r>
              <w:t>Aucune mesure GPS</w:t>
            </w:r>
          </w:p>
        </w:tc>
        <w:tc>
          <w:tcPr>
            <w:tcW w:w="0" w:type="auto"/>
          </w:tcPr>
          <w:p w:rsidR="00F64049" w:rsidRDefault="00BE3959">
            <w:pPr>
              <w:pStyle w:val="Compact"/>
              <w:jc w:val="right"/>
            </w:pPr>
            <w:r>
              <w:t>3641</w:t>
            </w:r>
          </w:p>
        </w:tc>
        <w:tc>
          <w:tcPr>
            <w:tcW w:w="0" w:type="auto"/>
          </w:tcPr>
          <w:p w:rsidR="00F64049" w:rsidRDefault="00BE3959">
            <w:pPr>
              <w:pStyle w:val="Compact"/>
              <w:jc w:val="right"/>
            </w:pPr>
            <w:r>
              <w:t>33.2</w:t>
            </w:r>
          </w:p>
        </w:tc>
      </w:tr>
      <w:tr w:rsidR="00F64049">
        <w:tc>
          <w:tcPr>
            <w:tcW w:w="0" w:type="auto"/>
          </w:tcPr>
          <w:p w:rsidR="00F64049" w:rsidRDefault="00BE3959">
            <w:pPr>
              <w:pStyle w:val="Compact"/>
              <w:jc w:val="left"/>
            </w:pPr>
            <w:r>
              <w:t>GPS récolte</w:t>
            </w:r>
          </w:p>
        </w:tc>
        <w:tc>
          <w:tcPr>
            <w:tcW w:w="0" w:type="auto"/>
          </w:tcPr>
          <w:p w:rsidR="00F64049" w:rsidRDefault="00BE3959">
            <w:pPr>
              <w:pStyle w:val="Compact"/>
              <w:jc w:val="right"/>
            </w:pPr>
            <w:r>
              <w:t>1066</w:t>
            </w:r>
          </w:p>
        </w:tc>
        <w:tc>
          <w:tcPr>
            <w:tcW w:w="0" w:type="auto"/>
          </w:tcPr>
          <w:p w:rsidR="00F64049" w:rsidRDefault="00BE3959">
            <w:pPr>
              <w:pStyle w:val="Compact"/>
              <w:jc w:val="right"/>
            </w:pPr>
            <w:r>
              <w:t>9.7</w:t>
            </w:r>
          </w:p>
        </w:tc>
      </w:tr>
    </w:tbl>
    <w:p w:rsidR="00F64049" w:rsidRDefault="00BE3959">
      <w:pPr>
        <w:pStyle w:val="Corpsdetexte"/>
      </w:pPr>
      <w:r>
        <w:t>La source dominante est la mesure GPS au semis (57.1 % des parcelles). La re-mesure récolte, bien que plus précise car effectuée après délimitation définitive de la parcelle cultivée, n’est disponible que pour 9.7 % des parcelles — ce qui explique l’import</w:t>
      </w:r>
      <w:r>
        <w:t>ance de la source semis dans notre variable consolidée.</w:t>
      </w:r>
    </w:p>
    <w:p w:rsidR="00F64049" w:rsidRDefault="00BE3959">
      <w:pPr>
        <w:pStyle w:val="Titre2"/>
      </w:pPr>
      <w:bookmarkStart w:id="24" w:name="X42a3229be34b2bb45b3965026d5d1f92f033772"/>
      <w:bookmarkStart w:id="25" w:name="_Toc226981220"/>
      <w:bookmarkEnd w:id="22"/>
      <w:r>
        <w:t>2.2 Statistiques descriptives de la superficie parcellaire</w:t>
      </w:r>
      <w:bookmarkEnd w:id="25"/>
    </w:p>
    <w:p w:rsidR="00F64049" w:rsidRDefault="00BE3959">
      <w:pPr>
        <w:pStyle w:val="TableCaption"/>
      </w:pPr>
      <w:r>
        <w:t>Statistiques descriptives de la superficie parcellaire (ha)</w:t>
      </w:r>
    </w:p>
    <w:tbl>
      <w:tblPr>
        <w:tblStyle w:val="Table"/>
        <w:tblW w:w="0" w:type="auto"/>
        <w:tblLook w:val="0020" w:firstRow="1" w:lastRow="0" w:firstColumn="0" w:lastColumn="0" w:noHBand="0" w:noVBand="0"/>
        <w:tblCaption w:val="Statistiques descriptives de la superficie parcellaire (ha)"/>
      </w:tblPr>
      <w:tblGrid>
        <w:gridCol w:w="3022"/>
        <w:gridCol w:w="996"/>
      </w:tblGrid>
      <w:tr w:rsidR="00F64049" w:rsidTr="00F64049">
        <w:trPr>
          <w:cnfStyle w:val="100000000000" w:firstRow="1" w:lastRow="0" w:firstColumn="0" w:lastColumn="0" w:oddVBand="0" w:evenVBand="0" w:oddHBand="0" w:evenHBand="0" w:firstRowFirstColumn="0" w:firstRowLastColumn="0" w:lastRowFirstColumn="0" w:lastRowLastColumn="0"/>
          <w:tblHeader/>
        </w:trPr>
        <w:tc>
          <w:tcPr>
            <w:tcW w:w="0" w:type="auto"/>
          </w:tcPr>
          <w:p w:rsidR="00F64049" w:rsidRDefault="00BE3959">
            <w:pPr>
              <w:pStyle w:val="Compact"/>
              <w:jc w:val="left"/>
            </w:pPr>
            <w:r>
              <w:t>Indicateur</w:t>
            </w:r>
          </w:p>
        </w:tc>
        <w:tc>
          <w:tcPr>
            <w:tcW w:w="0" w:type="auto"/>
          </w:tcPr>
          <w:p w:rsidR="00F64049" w:rsidRDefault="00BE3959">
            <w:pPr>
              <w:pStyle w:val="Compact"/>
              <w:jc w:val="left"/>
            </w:pPr>
            <w:r>
              <w:t>Valeur</w:t>
            </w:r>
          </w:p>
        </w:tc>
      </w:tr>
      <w:tr w:rsidR="00F64049">
        <w:tc>
          <w:tcPr>
            <w:tcW w:w="0" w:type="auto"/>
          </w:tcPr>
          <w:p w:rsidR="00F64049" w:rsidRDefault="00BE3959">
            <w:pPr>
              <w:pStyle w:val="Compact"/>
              <w:jc w:val="left"/>
            </w:pPr>
            <w:r>
              <w:t>Effectif (parcelles avec GPS)</w:t>
            </w:r>
          </w:p>
        </w:tc>
        <w:tc>
          <w:tcPr>
            <w:tcW w:w="0" w:type="auto"/>
          </w:tcPr>
          <w:p w:rsidR="00F64049" w:rsidRDefault="00BE3959">
            <w:pPr>
              <w:pStyle w:val="Compact"/>
              <w:jc w:val="left"/>
            </w:pPr>
            <w:r>
              <w:t>7 320</w:t>
            </w:r>
          </w:p>
        </w:tc>
      </w:tr>
      <w:tr w:rsidR="00F64049">
        <w:tc>
          <w:tcPr>
            <w:tcW w:w="0" w:type="auto"/>
          </w:tcPr>
          <w:p w:rsidR="00F64049" w:rsidRDefault="00BE3959">
            <w:pPr>
              <w:pStyle w:val="Compact"/>
              <w:jc w:val="left"/>
            </w:pPr>
            <w:r>
              <w:t>Moyenne (ha)</w:t>
            </w:r>
          </w:p>
        </w:tc>
        <w:tc>
          <w:tcPr>
            <w:tcW w:w="0" w:type="auto"/>
          </w:tcPr>
          <w:p w:rsidR="00F64049" w:rsidRDefault="00BE3959">
            <w:pPr>
              <w:pStyle w:val="Compact"/>
              <w:jc w:val="left"/>
            </w:pPr>
            <w:r>
              <w:t>0.5154</w:t>
            </w:r>
          </w:p>
        </w:tc>
      </w:tr>
      <w:tr w:rsidR="00F64049">
        <w:tc>
          <w:tcPr>
            <w:tcW w:w="0" w:type="auto"/>
          </w:tcPr>
          <w:p w:rsidR="00F64049" w:rsidRDefault="00BE3959">
            <w:pPr>
              <w:pStyle w:val="Compact"/>
              <w:jc w:val="left"/>
            </w:pPr>
            <w:r>
              <w:t>Médi</w:t>
            </w:r>
            <w:r>
              <w:t>ane (ha)</w:t>
            </w:r>
          </w:p>
        </w:tc>
        <w:tc>
          <w:tcPr>
            <w:tcW w:w="0" w:type="auto"/>
          </w:tcPr>
          <w:p w:rsidR="00F64049" w:rsidRDefault="00BE3959">
            <w:pPr>
              <w:pStyle w:val="Compact"/>
              <w:jc w:val="left"/>
            </w:pPr>
            <w:r>
              <w:t>0.26</w:t>
            </w:r>
          </w:p>
        </w:tc>
      </w:tr>
      <w:tr w:rsidR="00F64049">
        <w:tc>
          <w:tcPr>
            <w:tcW w:w="0" w:type="auto"/>
          </w:tcPr>
          <w:p w:rsidR="00F64049" w:rsidRDefault="00BE3959">
            <w:pPr>
              <w:pStyle w:val="Compact"/>
              <w:jc w:val="left"/>
            </w:pPr>
            <w:r>
              <w:t>Écart-type (ha)</w:t>
            </w:r>
          </w:p>
        </w:tc>
        <w:tc>
          <w:tcPr>
            <w:tcW w:w="0" w:type="auto"/>
          </w:tcPr>
          <w:p w:rsidR="00F64049" w:rsidRDefault="00BE3959">
            <w:pPr>
              <w:pStyle w:val="Compact"/>
              <w:jc w:val="left"/>
            </w:pPr>
            <w:r>
              <w:t>0.7751</w:t>
            </w:r>
          </w:p>
        </w:tc>
      </w:tr>
      <w:tr w:rsidR="00F64049">
        <w:tc>
          <w:tcPr>
            <w:tcW w:w="0" w:type="auto"/>
          </w:tcPr>
          <w:p w:rsidR="00F64049" w:rsidRDefault="00BE3959">
            <w:pPr>
              <w:pStyle w:val="Compact"/>
              <w:jc w:val="left"/>
            </w:pPr>
            <w:r>
              <w:t>Coefficient de variation (%)</w:t>
            </w:r>
          </w:p>
        </w:tc>
        <w:tc>
          <w:tcPr>
            <w:tcW w:w="0" w:type="auto"/>
          </w:tcPr>
          <w:p w:rsidR="00F64049" w:rsidRDefault="00BE3959">
            <w:pPr>
              <w:pStyle w:val="Compact"/>
              <w:jc w:val="left"/>
            </w:pPr>
            <w:r>
              <w:t>150.4</w:t>
            </w:r>
          </w:p>
        </w:tc>
      </w:tr>
      <w:tr w:rsidR="00F64049">
        <w:tc>
          <w:tcPr>
            <w:tcW w:w="0" w:type="auto"/>
          </w:tcPr>
          <w:p w:rsidR="00F64049" w:rsidRDefault="00BE3959">
            <w:pPr>
              <w:pStyle w:val="Compact"/>
              <w:jc w:val="left"/>
            </w:pPr>
            <w:r>
              <w:lastRenderedPageBreak/>
              <w:t>Minimum (ha)</w:t>
            </w:r>
          </w:p>
        </w:tc>
        <w:tc>
          <w:tcPr>
            <w:tcW w:w="0" w:type="auto"/>
          </w:tcPr>
          <w:p w:rsidR="00F64049" w:rsidRDefault="00BE3959">
            <w:pPr>
              <w:pStyle w:val="Compact"/>
              <w:jc w:val="left"/>
            </w:pPr>
            <w:r>
              <w:t>5e-04</w:t>
            </w:r>
          </w:p>
        </w:tc>
      </w:tr>
      <w:tr w:rsidR="00F64049">
        <w:tc>
          <w:tcPr>
            <w:tcW w:w="0" w:type="auto"/>
          </w:tcPr>
          <w:p w:rsidR="00F64049" w:rsidRDefault="00BE3959">
            <w:pPr>
              <w:pStyle w:val="Compact"/>
              <w:jc w:val="left"/>
            </w:pPr>
            <w:r>
              <w:t>P10 (ha)</w:t>
            </w:r>
          </w:p>
        </w:tc>
        <w:tc>
          <w:tcPr>
            <w:tcW w:w="0" w:type="auto"/>
          </w:tcPr>
          <w:p w:rsidR="00F64049" w:rsidRDefault="00BE3959">
            <w:pPr>
              <w:pStyle w:val="Compact"/>
              <w:jc w:val="left"/>
            </w:pPr>
            <w:r>
              <w:t>0.0384</w:t>
            </w:r>
          </w:p>
        </w:tc>
      </w:tr>
      <w:tr w:rsidR="00F64049">
        <w:tc>
          <w:tcPr>
            <w:tcW w:w="0" w:type="auto"/>
          </w:tcPr>
          <w:p w:rsidR="00F64049" w:rsidRDefault="00BE3959">
            <w:pPr>
              <w:pStyle w:val="Compact"/>
              <w:jc w:val="left"/>
            </w:pPr>
            <w:r>
              <w:t>P25 — 1er quartile (ha)</w:t>
            </w:r>
          </w:p>
        </w:tc>
        <w:tc>
          <w:tcPr>
            <w:tcW w:w="0" w:type="auto"/>
          </w:tcPr>
          <w:p w:rsidR="00F64049" w:rsidRDefault="00BE3959">
            <w:pPr>
              <w:pStyle w:val="Compact"/>
              <w:jc w:val="left"/>
            </w:pPr>
            <w:r>
              <w:t>0.0947</w:t>
            </w:r>
          </w:p>
        </w:tc>
      </w:tr>
      <w:tr w:rsidR="00F64049">
        <w:tc>
          <w:tcPr>
            <w:tcW w:w="0" w:type="auto"/>
          </w:tcPr>
          <w:p w:rsidR="00F64049" w:rsidRDefault="00BE3959">
            <w:pPr>
              <w:pStyle w:val="Compact"/>
              <w:jc w:val="left"/>
            </w:pPr>
            <w:r>
              <w:t>P75 — 3e quartile (ha)</w:t>
            </w:r>
          </w:p>
        </w:tc>
        <w:tc>
          <w:tcPr>
            <w:tcW w:w="0" w:type="auto"/>
          </w:tcPr>
          <w:p w:rsidR="00F64049" w:rsidRDefault="00BE3959">
            <w:pPr>
              <w:pStyle w:val="Compact"/>
              <w:jc w:val="left"/>
            </w:pPr>
            <w:r>
              <w:t>0.6133</w:t>
            </w:r>
          </w:p>
        </w:tc>
      </w:tr>
      <w:tr w:rsidR="00F64049">
        <w:tc>
          <w:tcPr>
            <w:tcW w:w="0" w:type="auto"/>
          </w:tcPr>
          <w:p w:rsidR="00F64049" w:rsidRDefault="00BE3959">
            <w:pPr>
              <w:pStyle w:val="Compact"/>
              <w:jc w:val="left"/>
            </w:pPr>
            <w:r>
              <w:t>P90 (ha)</w:t>
            </w:r>
          </w:p>
        </w:tc>
        <w:tc>
          <w:tcPr>
            <w:tcW w:w="0" w:type="auto"/>
          </w:tcPr>
          <w:p w:rsidR="00F64049" w:rsidRDefault="00BE3959">
            <w:pPr>
              <w:pStyle w:val="Compact"/>
              <w:jc w:val="left"/>
            </w:pPr>
            <w:r>
              <w:t>1.2344</w:t>
            </w:r>
          </w:p>
        </w:tc>
      </w:tr>
      <w:tr w:rsidR="00F64049">
        <w:tc>
          <w:tcPr>
            <w:tcW w:w="0" w:type="auto"/>
          </w:tcPr>
          <w:p w:rsidR="00F64049" w:rsidRDefault="00BE3959">
            <w:pPr>
              <w:pStyle w:val="Compact"/>
              <w:jc w:val="left"/>
            </w:pPr>
            <w:r>
              <w:t>Maximum (ha)</w:t>
            </w:r>
          </w:p>
        </w:tc>
        <w:tc>
          <w:tcPr>
            <w:tcW w:w="0" w:type="auto"/>
          </w:tcPr>
          <w:p w:rsidR="00F64049" w:rsidRDefault="00BE3959">
            <w:pPr>
              <w:pStyle w:val="Compact"/>
              <w:jc w:val="left"/>
            </w:pPr>
            <w:r>
              <w:t>11.5423</w:t>
            </w:r>
          </w:p>
        </w:tc>
      </w:tr>
    </w:tbl>
    <w:p w:rsidR="00F64049" w:rsidRDefault="00BE3959">
      <w:pPr>
        <w:pStyle w:val="Corpsdetexte"/>
      </w:pPr>
      <w:r>
        <w:t>Ces résultats appellent plusieurs commentaires analytiques.</w:t>
      </w:r>
    </w:p>
    <w:p w:rsidR="00F64049" w:rsidRDefault="00BE3959">
      <w:pPr>
        <w:pStyle w:val="Corpsdetexte"/>
      </w:pPr>
      <w:r>
        <w:t xml:space="preserve">La </w:t>
      </w:r>
      <w:r>
        <w:rPr>
          <w:b/>
          <w:bCs/>
        </w:rPr>
        <w:t>médiane de 0.26 ha</w:t>
      </w:r>
      <w:r>
        <w:t xml:space="preserve"> est l’indicateur le plus pertinent pour caractériser la parcelle typique : robuste aux valeurs extrêmes, elle signifie que la moitié des parcelles font moins d’un quart d’hec</w:t>
      </w:r>
      <w:r>
        <w:t>tare — soit environ la superficie d’un grand terrain de football. Cette valeur est caractéristique d’une agriculture de subsistance familiale.</w:t>
      </w:r>
    </w:p>
    <w:p w:rsidR="00F64049" w:rsidRDefault="00BE3959">
      <w:pPr>
        <w:pStyle w:val="Corpsdetexte"/>
      </w:pPr>
      <w:r>
        <w:t xml:space="preserve">La </w:t>
      </w:r>
      <w:r>
        <w:rPr>
          <w:b/>
          <w:bCs/>
        </w:rPr>
        <w:t>moyenne de 0.52 ha</w:t>
      </w:r>
      <w:r>
        <w:t xml:space="preserve"> est nettement supérieure à la médiane, signe d’une distribution asymétrique à droite. Quelq</w:t>
      </w:r>
      <w:r>
        <w:t xml:space="preserve">ues grandes exploitations (jusqu’à 11.54 ha) tirent fortement la moyenne vers le haut ; la moyenne </w:t>
      </w:r>
      <w:r>
        <w:rPr>
          <w:b/>
          <w:bCs/>
        </w:rPr>
        <w:t>sur-estime</w:t>
      </w:r>
      <w:r>
        <w:t xml:space="preserve"> donc la superficie de la parcelle typique et ne doit pas être utilisée comme seul indicateur de tendance centrale.</w:t>
      </w:r>
    </w:p>
    <w:p w:rsidR="00F64049" w:rsidRDefault="00BE3959">
      <w:pPr>
        <w:pStyle w:val="Corpsdetexte"/>
      </w:pPr>
      <w:r>
        <w:t xml:space="preserve">Le </w:t>
      </w:r>
      <w:r>
        <w:rPr>
          <w:b/>
          <w:bCs/>
        </w:rPr>
        <w:t xml:space="preserve">coefficient de variation de </w:t>
      </w:r>
      <w:r>
        <w:rPr>
          <w:b/>
          <w:bCs/>
        </w:rPr>
        <w:t>150.4 %</w:t>
      </w:r>
      <w:r>
        <w:t xml:space="preserve"> confirme l’hétérogénéité extrême des superficies. À titre de référence, un CV inférieur à 30 % indique une faible variabilité ; 150 % traduit une dispersion caractéristique des distributions log-normales fréquemment observées pour les variables éco</w:t>
      </w:r>
      <w:r>
        <w:t>nomiques positives.</w:t>
      </w:r>
    </w:p>
    <w:p w:rsidR="00F64049" w:rsidRDefault="00BE3959">
      <w:pPr>
        <w:pStyle w:val="Corpsdetexte"/>
      </w:pPr>
      <w:r>
        <w:t>L’</w:t>
      </w:r>
      <w:r>
        <w:rPr>
          <w:b/>
          <w:bCs/>
        </w:rPr>
        <w:t>écart interquartile (IQR = P75 − P25 = 0.5186 ha)</w:t>
      </w:r>
      <w:r>
        <w:t xml:space="preserve"> montre que les 50 % centraux de la distribution s’étalent sur moins de 0,6 ha — une gamme relativement étroite — tandis que la queue supérieure est très étalée, jusqu’au maximum de 11.</w:t>
      </w:r>
      <w:r>
        <w:t>54 ha.</w:t>
      </w:r>
    </w:p>
    <w:p w:rsidR="00F64049" w:rsidRDefault="00BE3959">
      <w:pPr>
        <w:pStyle w:val="Titre2"/>
      </w:pPr>
      <w:bookmarkStart w:id="26" w:name="distributions-graphiques"/>
      <w:bookmarkStart w:id="27" w:name="_Toc226981221"/>
      <w:bookmarkEnd w:id="24"/>
      <w:r>
        <w:lastRenderedPageBreak/>
        <w:t>2.3 Distributions graphiques</w:t>
      </w:r>
      <w:bookmarkEnd w:id="27"/>
    </w:p>
    <w:p w:rsidR="00F64049" w:rsidRDefault="00BE3959">
      <w:pPr>
        <w:pStyle w:val="FirstParagraph"/>
      </w:pPr>
      <w:r>
        <w:t xml:space="preserve">Les histogrammes suivants utilisent une </w:t>
      </w:r>
      <w:r>
        <w:rPr>
          <w:b/>
          <w:bCs/>
        </w:rPr>
        <w:t>échelle logarithmique</w:t>
      </w:r>
      <w:r>
        <w:t xml:space="preserve"> </w:t>
      </w:r>
      <w:r>
        <w:t xml:space="preserve">sur l’axe horizontal. Ce choix est justifié par la nature approximativement log-normale des superficies agricoles : l’échelle log symétrise la distribution et permet de distinguer simultanément les petites et grandes valeurs. Une forme en cloche sur l’axe </w:t>
      </w:r>
      <w:r>
        <w:t>log confirme une distribution log-normale.</w:t>
      </w:r>
    </w:p>
    <w:p w:rsidR="00F64049" w:rsidRDefault="00BE3959">
      <w:pPr>
        <w:pStyle w:val="Figure"/>
      </w:pPr>
      <w:r>
        <w:rPr>
          <w:noProof/>
          <w:lang w:eastAsia="en-US"/>
        </w:rPr>
        <w:drawing>
          <wp:inline distT="0" distB="0" distL="0" distR="0">
            <wp:extent cx="4206240" cy="336499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206240" cy="3364992"/>
                    </a:xfrm>
                    <a:prstGeom prst="rect">
                      <a:avLst/>
                    </a:prstGeom>
                    <a:noFill/>
                  </pic:spPr>
                </pic:pic>
              </a:graphicData>
            </a:graphic>
          </wp:inline>
        </w:drawing>
      </w:r>
    </w:p>
    <w:p w:rsidR="00F64049" w:rsidRDefault="00BE3959">
      <w:pPr>
        <w:pStyle w:val="ImageCaption"/>
      </w:pPr>
      <w:r>
        <w:rPr>
          <w:b/>
        </w:rPr>
        <w:t xml:space="preserve">Figure </w:t>
      </w:r>
      <w:bookmarkStart w:id="28" w:name="fig-t19-parcelle"/>
      <w:r>
        <w:rPr>
          <w:b/>
        </w:rPr>
        <w:fldChar w:fldCharType="begin"/>
      </w:r>
      <w:r>
        <w:rPr>
          <w:b/>
        </w:rPr>
        <w:instrText>SEQ fig \* Arabic</w:instrText>
      </w:r>
      <w:r>
        <w:rPr>
          <w:b/>
        </w:rPr>
        <w:fldChar w:fldCharType="separate"/>
      </w:r>
      <w:r>
        <w:rPr>
          <w:b/>
          <w:noProof/>
        </w:rPr>
        <w:t>1</w:t>
      </w:r>
      <w:r>
        <w:rPr>
          <w:b/>
        </w:rPr>
        <w:fldChar w:fldCharType="end"/>
      </w:r>
      <w:bookmarkEnd w:id="28"/>
      <w:r>
        <w:rPr>
          <w:b/>
        </w:rPr>
        <w:t xml:space="preserve">: </w:t>
      </w:r>
      <w:r>
        <w:t>Distribution de la superficie parcellaire (log) — niveau plot individuel</w:t>
      </w:r>
    </w:p>
    <w:p w:rsidR="00F64049" w:rsidRDefault="00BE3959">
      <w:pPr>
        <w:pStyle w:val="Corpsdetexte"/>
      </w:pPr>
      <w:r>
        <w:t>La concentration des valeurs autour de 0,1–0,5 ha et la queue droite étalée jusqu’à plus de 10 ha sont bien vi</w:t>
      </w:r>
      <w:r>
        <w:t>sibles. La forme en cloche sur l’axe log est cohérente avec une distribution log-normale.</w:t>
      </w:r>
    </w:p>
    <w:p w:rsidR="00F64049" w:rsidRDefault="00BE3959">
      <w:pPr>
        <w:pStyle w:val="Figure"/>
      </w:pPr>
      <w:r>
        <w:rPr>
          <w:noProof/>
          <w:lang w:eastAsia="en-US"/>
        </w:rPr>
        <w:lastRenderedPageBreak/>
        <w:drawing>
          <wp:inline distT="0" distB="0" distL="0" distR="0">
            <wp:extent cx="4206240" cy="3364992"/>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206240" cy="3364992"/>
                    </a:xfrm>
                    <a:prstGeom prst="rect">
                      <a:avLst/>
                    </a:prstGeom>
                    <a:noFill/>
                  </pic:spPr>
                </pic:pic>
              </a:graphicData>
            </a:graphic>
          </wp:inline>
        </w:drawing>
      </w:r>
    </w:p>
    <w:p w:rsidR="00F64049" w:rsidRDefault="00BE3959">
      <w:pPr>
        <w:pStyle w:val="ImageCaption"/>
      </w:pPr>
      <w:r>
        <w:rPr>
          <w:b/>
        </w:rPr>
        <w:t xml:space="preserve">Figure </w:t>
      </w:r>
      <w:bookmarkStart w:id="29" w:name="fig-t19-menage"/>
      <w:r>
        <w:rPr>
          <w:b/>
        </w:rPr>
        <w:fldChar w:fldCharType="begin"/>
      </w:r>
      <w:r>
        <w:rPr>
          <w:b/>
        </w:rPr>
        <w:instrText>SEQ fig \* Arabic</w:instrText>
      </w:r>
      <w:r>
        <w:rPr>
          <w:b/>
        </w:rPr>
        <w:fldChar w:fldCharType="separate"/>
      </w:r>
      <w:r>
        <w:rPr>
          <w:b/>
          <w:noProof/>
        </w:rPr>
        <w:t>2</w:t>
      </w:r>
      <w:r>
        <w:rPr>
          <w:b/>
        </w:rPr>
        <w:fldChar w:fldCharType="end"/>
      </w:r>
      <w:bookmarkEnd w:id="29"/>
      <w:r>
        <w:rPr>
          <w:b/>
        </w:rPr>
        <w:t xml:space="preserve">: </w:t>
      </w:r>
      <w:r>
        <w:t>Distribution de la superficie totale cumulée par ménage (log)</w:t>
      </w:r>
    </w:p>
    <w:p w:rsidR="00F64049" w:rsidRDefault="00BE3959">
      <w:pPr>
        <w:pStyle w:val="Corpsdetexte"/>
      </w:pPr>
      <w:r>
        <w:t>Au niveau ménage, la superficie totale est la somme des parcelles du ménag</w:t>
      </w:r>
      <w:r>
        <w:t>e. La distribution reste asymétrique à droite, mais la queue est légèrement moins prononcée qu’au niveau parcelle, l’agrégation tendant à modérer les extrêmes relatifs.</w:t>
      </w:r>
    </w:p>
    <w:p w:rsidR="00F64049" w:rsidRDefault="00BE3959">
      <w:pPr>
        <w:pStyle w:val="Figure"/>
      </w:pPr>
      <w:r>
        <w:rPr>
          <w:noProof/>
          <w:lang w:eastAsia="en-US"/>
        </w:rPr>
        <w:lastRenderedPageBreak/>
        <w:drawing>
          <wp:inline distT="0" distB="0" distL="0" distR="0">
            <wp:extent cx="4206240" cy="3364992"/>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206240" cy="3364992"/>
                    </a:xfrm>
                    <a:prstGeom prst="rect">
                      <a:avLst/>
                    </a:prstGeom>
                    <a:noFill/>
                  </pic:spPr>
                </pic:pic>
              </a:graphicData>
            </a:graphic>
          </wp:inline>
        </w:drawing>
      </w:r>
    </w:p>
    <w:p w:rsidR="00F64049" w:rsidRDefault="00BE3959">
      <w:pPr>
        <w:pStyle w:val="ImageCaption"/>
      </w:pPr>
      <w:r>
        <w:rPr>
          <w:b/>
        </w:rPr>
        <w:t xml:space="preserve">Figure </w:t>
      </w:r>
      <w:bookmarkStart w:id="30" w:name="fig-t19-sources"/>
      <w:r>
        <w:rPr>
          <w:b/>
        </w:rPr>
        <w:fldChar w:fldCharType="begin"/>
      </w:r>
      <w:r>
        <w:rPr>
          <w:b/>
        </w:rPr>
        <w:instrText>SEQ fig \* Arabic</w:instrText>
      </w:r>
      <w:r>
        <w:rPr>
          <w:b/>
        </w:rPr>
        <w:fldChar w:fldCharType="separate"/>
      </w:r>
      <w:r>
        <w:rPr>
          <w:b/>
          <w:noProof/>
        </w:rPr>
        <w:t>3</w:t>
      </w:r>
      <w:r>
        <w:rPr>
          <w:b/>
        </w:rPr>
        <w:fldChar w:fldCharType="end"/>
      </w:r>
      <w:bookmarkEnd w:id="30"/>
      <w:r>
        <w:rPr>
          <w:b/>
        </w:rPr>
        <w:t xml:space="preserve">: </w:t>
      </w:r>
      <w:r>
        <w:t>Répartition des parcelles selon leur source de superficie</w:t>
      </w:r>
      <w:r>
        <w:t xml:space="preserve"> GPS</w:t>
      </w:r>
    </w:p>
    <w:p w:rsidR="00F64049" w:rsidRDefault="00BE3959">
      <w:pPr>
        <w:pStyle w:val="Titre2"/>
      </w:pPr>
      <w:bookmarkStart w:id="31" w:name="déciles-de-superficie-au-niveau-ménage"/>
      <w:bookmarkStart w:id="32" w:name="_Toc226981222"/>
      <w:bookmarkEnd w:id="26"/>
      <w:r>
        <w:t>2.4 Déciles de superficie au niveau ménage</w:t>
      </w:r>
      <w:bookmarkEnd w:id="32"/>
    </w:p>
    <w:p w:rsidR="00F64049" w:rsidRDefault="00BE3959">
      <w:pPr>
        <w:pStyle w:val="FirstParagraph"/>
      </w:pPr>
      <w:r>
        <w:t>La décomposition en déciles caractérise la structure complète de la distribution et permet de quantifier les inégalités foncières.</w:t>
      </w:r>
    </w:p>
    <w:p w:rsidR="00F64049" w:rsidRDefault="00BE3959">
      <w:pPr>
        <w:pStyle w:val="TableCaption"/>
      </w:pPr>
      <w:r>
        <w:t>Déciles de superficie totale par ménage (ha)</w:t>
      </w:r>
    </w:p>
    <w:tbl>
      <w:tblPr>
        <w:tblStyle w:val="Table"/>
        <w:tblW w:w="0" w:type="auto"/>
        <w:tblLook w:val="0020" w:firstRow="1" w:lastRow="0" w:firstColumn="0" w:lastColumn="0" w:noHBand="0" w:noVBand="0"/>
        <w:tblCaption w:val="Déciles de superficie totale par ménage (ha)"/>
      </w:tblPr>
      <w:tblGrid>
        <w:gridCol w:w="843"/>
        <w:gridCol w:w="1236"/>
        <w:gridCol w:w="1063"/>
        <w:gridCol w:w="1103"/>
        <w:gridCol w:w="1056"/>
        <w:gridCol w:w="1123"/>
      </w:tblGrid>
      <w:tr w:rsidR="00F64049" w:rsidTr="00F64049">
        <w:trPr>
          <w:cnfStyle w:val="100000000000" w:firstRow="1" w:lastRow="0" w:firstColumn="0" w:lastColumn="0" w:oddVBand="0" w:evenVBand="0" w:oddHBand="0" w:evenHBand="0" w:firstRowFirstColumn="0" w:firstRowLastColumn="0" w:lastRowFirstColumn="0" w:lastRowLastColumn="0"/>
          <w:tblHeader/>
        </w:trPr>
        <w:tc>
          <w:tcPr>
            <w:tcW w:w="0" w:type="auto"/>
          </w:tcPr>
          <w:p w:rsidR="00F64049" w:rsidRDefault="00BE3959">
            <w:pPr>
              <w:pStyle w:val="Compact"/>
              <w:jc w:val="left"/>
            </w:pPr>
            <w:r>
              <w:t>Décile</w:t>
            </w:r>
          </w:p>
        </w:tc>
        <w:tc>
          <w:tcPr>
            <w:tcW w:w="0" w:type="auto"/>
          </w:tcPr>
          <w:p w:rsidR="00F64049" w:rsidRDefault="00BE3959">
            <w:pPr>
              <w:pStyle w:val="Compact"/>
              <w:jc w:val="right"/>
            </w:pPr>
            <w:r>
              <w:t>n ménages</w:t>
            </w:r>
          </w:p>
        </w:tc>
        <w:tc>
          <w:tcPr>
            <w:tcW w:w="0" w:type="auto"/>
          </w:tcPr>
          <w:p w:rsidR="00F64049" w:rsidRDefault="00BE3959">
            <w:pPr>
              <w:pStyle w:val="Compact"/>
              <w:jc w:val="right"/>
            </w:pPr>
            <w:r>
              <w:t>Min (ha)</w:t>
            </w:r>
          </w:p>
        </w:tc>
        <w:tc>
          <w:tcPr>
            <w:tcW w:w="0" w:type="auto"/>
          </w:tcPr>
          <w:p w:rsidR="00F64049" w:rsidRDefault="00BE3959">
            <w:pPr>
              <w:pStyle w:val="Compact"/>
              <w:jc w:val="right"/>
            </w:pPr>
            <w:r>
              <w:t>Max (h</w:t>
            </w:r>
            <w:r>
              <w:t>a)</w:t>
            </w:r>
          </w:p>
        </w:tc>
        <w:tc>
          <w:tcPr>
            <w:tcW w:w="0" w:type="auto"/>
          </w:tcPr>
          <w:p w:rsidR="00F64049" w:rsidRDefault="00BE3959">
            <w:pPr>
              <w:pStyle w:val="Compact"/>
              <w:jc w:val="right"/>
            </w:pPr>
            <w:r>
              <w:t>Médiane</w:t>
            </w:r>
          </w:p>
        </w:tc>
        <w:tc>
          <w:tcPr>
            <w:tcW w:w="0" w:type="auto"/>
          </w:tcPr>
          <w:p w:rsidR="00F64049" w:rsidRDefault="00BE3959">
            <w:pPr>
              <w:pStyle w:val="Compact"/>
              <w:jc w:val="right"/>
            </w:pPr>
            <w:r>
              <w:t>Moyenne</w:t>
            </w:r>
          </w:p>
        </w:tc>
      </w:tr>
      <w:tr w:rsidR="00F64049">
        <w:tc>
          <w:tcPr>
            <w:tcW w:w="0" w:type="auto"/>
          </w:tcPr>
          <w:p w:rsidR="00F64049" w:rsidRDefault="00BE3959">
            <w:pPr>
              <w:pStyle w:val="Compact"/>
              <w:jc w:val="left"/>
            </w:pPr>
            <w:r>
              <w:t>D1</w:t>
            </w:r>
          </w:p>
        </w:tc>
        <w:tc>
          <w:tcPr>
            <w:tcW w:w="0" w:type="auto"/>
          </w:tcPr>
          <w:p w:rsidR="00F64049" w:rsidRDefault="00BE3959">
            <w:pPr>
              <w:pStyle w:val="Compact"/>
              <w:jc w:val="right"/>
            </w:pPr>
            <w:r>
              <w:t>317</w:t>
            </w:r>
          </w:p>
        </w:tc>
        <w:tc>
          <w:tcPr>
            <w:tcW w:w="0" w:type="auto"/>
          </w:tcPr>
          <w:p w:rsidR="00F64049" w:rsidRDefault="00BE3959">
            <w:pPr>
              <w:pStyle w:val="Compact"/>
              <w:jc w:val="right"/>
            </w:pPr>
            <w:r>
              <w:t>0.000</w:t>
            </w:r>
          </w:p>
        </w:tc>
        <w:tc>
          <w:tcPr>
            <w:tcW w:w="0" w:type="auto"/>
          </w:tcPr>
          <w:p w:rsidR="00F64049" w:rsidRDefault="00BE3959">
            <w:pPr>
              <w:pStyle w:val="Compact"/>
              <w:jc w:val="right"/>
            </w:pPr>
            <w:r>
              <w:t>0.080</w:t>
            </w:r>
          </w:p>
        </w:tc>
        <w:tc>
          <w:tcPr>
            <w:tcW w:w="0" w:type="auto"/>
          </w:tcPr>
          <w:p w:rsidR="00F64049" w:rsidRDefault="00BE3959">
            <w:pPr>
              <w:pStyle w:val="Compact"/>
              <w:jc w:val="right"/>
            </w:pPr>
            <w:r>
              <w:t>0.041</w:t>
            </w:r>
          </w:p>
        </w:tc>
        <w:tc>
          <w:tcPr>
            <w:tcW w:w="0" w:type="auto"/>
          </w:tcPr>
          <w:p w:rsidR="00F64049" w:rsidRDefault="00BE3959">
            <w:pPr>
              <w:pStyle w:val="Compact"/>
              <w:jc w:val="right"/>
            </w:pPr>
            <w:r>
              <w:t>0.042</w:t>
            </w:r>
          </w:p>
        </w:tc>
      </w:tr>
      <w:tr w:rsidR="00F64049">
        <w:tc>
          <w:tcPr>
            <w:tcW w:w="0" w:type="auto"/>
          </w:tcPr>
          <w:p w:rsidR="00F64049" w:rsidRDefault="00BE3959">
            <w:pPr>
              <w:pStyle w:val="Compact"/>
              <w:jc w:val="left"/>
            </w:pPr>
            <w:r>
              <w:t>D2</w:t>
            </w:r>
          </w:p>
        </w:tc>
        <w:tc>
          <w:tcPr>
            <w:tcW w:w="0" w:type="auto"/>
          </w:tcPr>
          <w:p w:rsidR="00F64049" w:rsidRDefault="00BE3959">
            <w:pPr>
              <w:pStyle w:val="Compact"/>
              <w:jc w:val="right"/>
            </w:pPr>
            <w:r>
              <w:t>316</w:t>
            </w:r>
          </w:p>
        </w:tc>
        <w:tc>
          <w:tcPr>
            <w:tcW w:w="0" w:type="auto"/>
          </w:tcPr>
          <w:p w:rsidR="00F64049" w:rsidRDefault="00BE3959">
            <w:pPr>
              <w:pStyle w:val="Compact"/>
              <w:jc w:val="right"/>
            </w:pPr>
            <w:r>
              <w:t>0.080</w:t>
            </w:r>
          </w:p>
        </w:tc>
        <w:tc>
          <w:tcPr>
            <w:tcW w:w="0" w:type="auto"/>
          </w:tcPr>
          <w:p w:rsidR="00F64049" w:rsidRDefault="00BE3959">
            <w:pPr>
              <w:pStyle w:val="Compact"/>
              <w:jc w:val="right"/>
            </w:pPr>
            <w:r>
              <w:t>0.164</w:t>
            </w:r>
          </w:p>
        </w:tc>
        <w:tc>
          <w:tcPr>
            <w:tcW w:w="0" w:type="auto"/>
          </w:tcPr>
          <w:p w:rsidR="00F64049" w:rsidRDefault="00BE3959">
            <w:pPr>
              <w:pStyle w:val="Compact"/>
              <w:jc w:val="right"/>
            </w:pPr>
            <w:r>
              <w:t>0.117</w:t>
            </w:r>
          </w:p>
        </w:tc>
        <w:tc>
          <w:tcPr>
            <w:tcW w:w="0" w:type="auto"/>
          </w:tcPr>
          <w:p w:rsidR="00F64049" w:rsidRDefault="00BE3959">
            <w:pPr>
              <w:pStyle w:val="Compact"/>
              <w:jc w:val="right"/>
            </w:pPr>
            <w:r>
              <w:t>0.119</w:t>
            </w:r>
          </w:p>
        </w:tc>
      </w:tr>
      <w:tr w:rsidR="00F64049">
        <w:tc>
          <w:tcPr>
            <w:tcW w:w="0" w:type="auto"/>
          </w:tcPr>
          <w:p w:rsidR="00F64049" w:rsidRDefault="00BE3959">
            <w:pPr>
              <w:pStyle w:val="Compact"/>
              <w:jc w:val="left"/>
            </w:pPr>
            <w:r>
              <w:t>D3</w:t>
            </w:r>
          </w:p>
        </w:tc>
        <w:tc>
          <w:tcPr>
            <w:tcW w:w="0" w:type="auto"/>
          </w:tcPr>
          <w:p w:rsidR="00F64049" w:rsidRDefault="00BE3959">
            <w:pPr>
              <w:pStyle w:val="Compact"/>
              <w:jc w:val="right"/>
            </w:pPr>
            <w:r>
              <w:t>316</w:t>
            </w:r>
          </w:p>
        </w:tc>
        <w:tc>
          <w:tcPr>
            <w:tcW w:w="0" w:type="auto"/>
          </w:tcPr>
          <w:p w:rsidR="00F64049" w:rsidRDefault="00BE3959">
            <w:pPr>
              <w:pStyle w:val="Compact"/>
              <w:jc w:val="right"/>
            </w:pPr>
            <w:r>
              <w:t>0.164</w:t>
            </w:r>
          </w:p>
        </w:tc>
        <w:tc>
          <w:tcPr>
            <w:tcW w:w="0" w:type="auto"/>
          </w:tcPr>
          <w:p w:rsidR="00F64049" w:rsidRDefault="00BE3959">
            <w:pPr>
              <w:pStyle w:val="Compact"/>
              <w:jc w:val="right"/>
            </w:pPr>
            <w:r>
              <w:t>0.281</w:t>
            </w:r>
          </w:p>
        </w:tc>
        <w:tc>
          <w:tcPr>
            <w:tcW w:w="0" w:type="auto"/>
          </w:tcPr>
          <w:p w:rsidR="00F64049" w:rsidRDefault="00BE3959">
            <w:pPr>
              <w:pStyle w:val="Compact"/>
              <w:jc w:val="right"/>
            </w:pPr>
            <w:r>
              <w:t>0.219</w:t>
            </w:r>
          </w:p>
        </w:tc>
        <w:tc>
          <w:tcPr>
            <w:tcW w:w="0" w:type="auto"/>
          </w:tcPr>
          <w:p w:rsidR="00F64049" w:rsidRDefault="00BE3959">
            <w:pPr>
              <w:pStyle w:val="Compact"/>
              <w:jc w:val="right"/>
            </w:pPr>
            <w:r>
              <w:t>0.220</w:t>
            </w:r>
          </w:p>
        </w:tc>
      </w:tr>
      <w:tr w:rsidR="00F64049">
        <w:tc>
          <w:tcPr>
            <w:tcW w:w="0" w:type="auto"/>
          </w:tcPr>
          <w:p w:rsidR="00F64049" w:rsidRDefault="00BE3959">
            <w:pPr>
              <w:pStyle w:val="Compact"/>
              <w:jc w:val="left"/>
            </w:pPr>
            <w:bookmarkStart w:id="33" w:name="_GoBack"/>
            <w:bookmarkEnd w:id="33"/>
            <w:r>
              <w:t>D4</w:t>
            </w:r>
          </w:p>
        </w:tc>
        <w:tc>
          <w:tcPr>
            <w:tcW w:w="0" w:type="auto"/>
          </w:tcPr>
          <w:p w:rsidR="00F64049" w:rsidRDefault="00BE3959">
            <w:pPr>
              <w:pStyle w:val="Compact"/>
              <w:jc w:val="right"/>
            </w:pPr>
            <w:r>
              <w:t>316</w:t>
            </w:r>
          </w:p>
        </w:tc>
        <w:tc>
          <w:tcPr>
            <w:tcW w:w="0" w:type="auto"/>
          </w:tcPr>
          <w:p w:rsidR="00F64049" w:rsidRDefault="00BE3959">
            <w:pPr>
              <w:pStyle w:val="Compact"/>
              <w:jc w:val="right"/>
            </w:pPr>
            <w:r>
              <w:t>0.282</w:t>
            </w:r>
          </w:p>
        </w:tc>
        <w:tc>
          <w:tcPr>
            <w:tcW w:w="0" w:type="auto"/>
          </w:tcPr>
          <w:p w:rsidR="00F64049" w:rsidRDefault="00BE3959">
            <w:pPr>
              <w:pStyle w:val="Compact"/>
              <w:jc w:val="right"/>
            </w:pPr>
            <w:r>
              <w:t>0.442</w:t>
            </w:r>
          </w:p>
        </w:tc>
        <w:tc>
          <w:tcPr>
            <w:tcW w:w="0" w:type="auto"/>
          </w:tcPr>
          <w:p w:rsidR="00F64049" w:rsidRDefault="00BE3959">
            <w:pPr>
              <w:pStyle w:val="Compact"/>
              <w:jc w:val="right"/>
            </w:pPr>
            <w:r>
              <w:t>0.358</w:t>
            </w:r>
          </w:p>
        </w:tc>
        <w:tc>
          <w:tcPr>
            <w:tcW w:w="0" w:type="auto"/>
          </w:tcPr>
          <w:p w:rsidR="00F64049" w:rsidRDefault="00BE3959">
            <w:pPr>
              <w:pStyle w:val="Compact"/>
              <w:jc w:val="right"/>
            </w:pPr>
            <w:r>
              <w:t>0.360</w:t>
            </w:r>
          </w:p>
        </w:tc>
      </w:tr>
      <w:tr w:rsidR="00F64049">
        <w:tc>
          <w:tcPr>
            <w:tcW w:w="0" w:type="auto"/>
          </w:tcPr>
          <w:p w:rsidR="00F64049" w:rsidRDefault="00BE3959">
            <w:pPr>
              <w:pStyle w:val="Compact"/>
              <w:jc w:val="left"/>
            </w:pPr>
            <w:r>
              <w:t>D5</w:t>
            </w:r>
          </w:p>
        </w:tc>
        <w:tc>
          <w:tcPr>
            <w:tcW w:w="0" w:type="auto"/>
          </w:tcPr>
          <w:p w:rsidR="00F64049" w:rsidRDefault="00BE3959">
            <w:pPr>
              <w:pStyle w:val="Compact"/>
              <w:jc w:val="right"/>
            </w:pPr>
            <w:r>
              <w:t>316</w:t>
            </w:r>
          </w:p>
        </w:tc>
        <w:tc>
          <w:tcPr>
            <w:tcW w:w="0" w:type="auto"/>
          </w:tcPr>
          <w:p w:rsidR="00F64049" w:rsidRDefault="00BE3959">
            <w:pPr>
              <w:pStyle w:val="Compact"/>
              <w:jc w:val="right"/>
            </w:pPr>
            <w:r>
              <w:t>0.442</w:t>
            </w:r>
          </w:p>
        </w:tc>
        <w:tc>
          <w:tcPr>
            <w:tcW w:w="0" w:type="auto"/>
          </w:tcPr>
          <w:p w:rsidR="00F64049" w:rsidRDefault="00BE3959">
            <w:pPr>
              <w:pStyle w:val="Compact"/>
              <w:jc w:val="right"/>
            </w:pPr>
            <w:r>
              <w:t>0.661</w:t>
            </w:r>
          </w:p>
        </w:tc>
        <w:tc>
          <w:tcPr>
            <w:tcW w:w="0" w:type="auto"/>
          </w:tcPr>
          <w:p w:rsidR="00F64049" w:rsidRDefault="00BE3959">
            <w:pPr>
              <w:pStyle w:val="Compact"/>
              <w:jc w:val="right"/>
            </w:pPr>
            <w:r>
              <w:t>0.545</w:t>
            </w:r>
          </w:p>
        </w:tc>
        <w:tc>
          <w:tcPr>
            <w:tcW w:w="0" w:type="auto"/>
          </w:tcPr>
          <w:p w:rsidR="00F64049" w:rsidRDefault="00BE3959">
            <w:pPr>
              <w:pStyle w:val="Compact"/>
              <w:jc w:val="right"/>
            </w:pPr>
            <w:r>
              <w:t>0.547</w:t>
            </w:r>
          </w:p>
        </w:tc>
      </w:tr>
      <w:tr w:rsidR="00F64049">
        <w:tc>
          <w:tcPr>
            <w:tcW w:w="0" w:type="auto"/>
          </w:tcPr>
          <w:p w:rsidR="00F64049" w:rsidRDefault="00BE3959">
            <w:pPr>
              <w:pStyle w:val="Compact"/>
              <w:jc w:val="left"/>
            </w:pPr>
            <w:r>
              <w:lastRenderedPageBreak/>
              <w:t>D6</w:t>
            </w:r>
          </w:p>
        </w:tc>
        <w:tc>
          <w:tcPr>
            <w:tcW w:w="0" w:type="auto"/>
          </w:tcPr>
          <w:p w:rsidR="00F64049" w:rsidRDefault="00BE3959">
            <w:pPr>
              <w:pStyle w:val="Compact"/>
              <w:jc w:val="right"/>
            </w:pPr>
            <w:r>
              <w:t>316</w:t>
            </w:r>
          </w:p>
        </w:tc>
        <w:tc>
          <w:tcPr>
            <w:tcW w:w="0" w:type="auto"/>
          </w:tcPr>
          <w:p w:rsidR="00F64049" w:rsidRDefault="00BE3959">
            <w:pPr>
              <w:pStyle w:val="Compact"/>
              <w:jc w:val="right"/>
            </w:pPr>
            <w:r>
              <w:t>0.663</w:t>
            </w:r>
          </w:p>
        </w:tc>
        <w:tc>
          <w:tcPr>
            <w:tcW w:w="0" w:type="auto"/>
          </w:tcPr>
          <w:p w:rsidR="00F64049" w:rsidRDefault="00BE3959">
            <w:pPr>
              <w:pStyle w:val="Compact"/>
              <w:jc w:val="right"/>
            </w:pPr>
            <w:r>
              <w:t>0.943</w:t>
            </w:r>
          </w:p>
        </w:tc>
        <w:tc>
          <w:tcPr>
            <w:tcW w:w="0" w:type="auto"/>
          </w:tcPr>
          <w:p w:rsidR="00F64049" w:rsidRDefault="00BE3959">
            <w:pPr>
              <w:pStyle w:val="Compact"/>
              <w:jc w:val="right"/>
            </w:pPr>
            <w:r>
              <w:t>0.782</w:t>
            </w:r>
          </w:p>
        </w:tc>
        <w:tc>
          <w:tcPr>
            <w:tcW w:w="0" w:type="auto"/>
          </w:tcPr>
          <w:p w:rsidR="00F64049" w:rsidRDefault="00BE3959">
            <w:pPr>
              <w:pStyle w:val="Compact"/>
              <w:jc w:val="right"/>
            </w:pPr>
            <w:r>
              <w:t>0.790</w:t>
            </w:r>
          </w:p>
        </w:tc>
      </w:tr>
      <w:tr w:rsidR="00F64049">
        <w:tc>
          <w:tcPr>
            <w:tcW w:w="0" w:type="auto"/>
          </w:tcPr>
          <w:p w:rsidR="00F64049" w:rsidRDefault="00BE3959">
            <w:pPr>
              <w:pStyle w:val="Compact"/>
              <w:jc w:val="left"/>
            </w:pPr>
            <w:r>
              <w:t>D7</w:t>
            </w:r>
          </w:p>
        </w:tc>
        <w:tc>
          <w:tcPr>
            <w:tcW w:w="0" w:type="auto"/>
          </w:tcPr>
          <w:p w:rsidR="00F64049" w:rsidRDefault="00BE3959">
            <w:pPr>
              <w:pStyle w:val="Compact"/>
              <w:jc w:val="right"/>
            </w:pPr>
            <w:r>
              <w:t>316</w:t>
            </w:r>
          </w:p>
        </w:tc>
        <w:tc>
          <w:tcPr>
            <w:tcW w:w="0" w:type="auto"/>
          </w:tcPr>
          <w:p w:rsidR="00F64049" w:rsidRDefault="00BE3959">
            <w:pPr>
              <w:pStyle w:val="Compact"/>
              <w:jc w:val="right"/>
            </w:pPr>
            <w:r>
              <w:t>0.945</w:t>
            </w:r>
          </w:p>
        </w:tc>
        <w:tc>
          <w:tcPr>
            <w:tcW w:w="0" w:type="auto"/>
          </w:tcPr>
          <w:p w:rsidR="00F64049" w:rsidRDefault="00BE3959">
            <w:pPr>
              <w:pStyle w:val="Compact"/>
              <w:jc w:val="right"/>
            </w:pPr>
            <w:r>
              <w:t>1.304</w:t>
            </w:r>
          </w:p>
        </w:tc>
        <w:tc>
          <w:tcPr>
            <w:tcW w:w="0" w:type="auto"/>
          </w:tcPr>
          <w:p w:rsidR="00F64049" w:rsidRDefault="00BE3959">
            <w:pPr>
              <w:pStyle w:val="Compact"/>
              <w:jc w:val="right"/>
            </w:pPr>
            <w:r>
              <w:t>1.105</w:t>
            </w:r>
          </w:p>
        </w:tc>
        <w:tc>
          <w:tcPr>
            <w:tcW w:w="0" w:type="auto"/>
          </w:tcPr>
          <w:p w:rsidR="00F64049" w:rsidRDefault="00BE3959">
            <w:pPr>
              <w:pStyle w:val="Compact"/>
              <w:jc w:val="right"/>
            </w:pPr>
            <w:r>
              <w:t>1.109</w:t>
            </w:r>
          </w:p>
        </w:tc>
      </w:tr>
      <w:tr w:rsidR="00F64049">
        <w:tc>
          <w:tcPr>
            <w:tcW w:w="0" w:type="auto"/>
          </w:tcPr>
          <w:p w:rsidR="00F64049" w:rsidRDefault="00BE3959">
            <w:pPr>
              <w:pStyle w:val="Compact"/>
              <w:jc w:val="left"/>
            </w:pPr>
            <w:r>
              <w:t>D8</w:t>
            </w:r>
          </w:p>
        </w:tc>
        <w:tc>
          <w:tcPr>
            <w:tcW w:w="0" w:type="auto"/>
          </w:tcPr>
          <w:p w:rsidR="00F64049" w:rsidRDefault="00BE3959">
            <w:pPr>
              <w:pStyle w:val="Compact"/>
              <w:jc w:val="right"/>
            </w:pPr>
            <w:r>
              <w:t>316</w:t>
            </w:r>
          </w:p>
        </w:tc>
        <w:tc>
          <w:tcPr>
            <w:tcW w:w="0" w:type="auto"/>
          </w:tcPr>
          <w:p w:rsidR="00F64049" w:rsidRDefault="00BE3959">
            <w:pPr>
              <w:pStyle w:val="Compact"/>
              <w:jc w:val="right"/>
            </w:pPr>
            <w:r>
              <w:t>1.309</w:t>
            </w:r>
          </w:p>
        </w:tc>
        <w:tc>
          <w:tcPr>
            <w:tcW w:w="0" w:type="auto"/>
          </w:tcPr>
          <w:p w:rsidR="00F64049" w:rsidRDefault="00BE3959">
            <w:pPr>
              <w:pStyle w:val="Compact"/>
              <w:jc w:val="right"/>
            </w:pPr>
            <w:r>
              <w:t>1.867</w:t>
            </w:r>
          </w:p>
        </w:tc>
        <w:tc>
          <w:tcPr>
            <w:tcW w:w="0" w:type="auto"/>
          </w:tcPr>
          <w:p w:rsidR="00F64049" w:rsidRDefault="00BE3959">
            <w:pPr>
              <w:pStyle w:val="Compact"/>
              <w:jc w:val="right"/>
            </w:pPr>
            <w:r>
              <w:t>1.556</w:t>
            </w:r>
          </w:p>
        </w:tc>
        <w:tc>
          <w:tcPr>
            <w:tcW w:w="0" w:type="auto"/>
          </w:tcPr>
          <w:p w:rsidR="00F64049" w:rsidRDefault="00BE3959">
            <w:pPr>
              <w:pStyle w:val="Compact"/>
              <w:jc w:val="right"/>
            </w:pPr>
            <w:r>
              <w:t>1.565</w:t>
            </w:r>
          </w:p>
        </w:tc>
      </w:tr>
      <w:tr w:rsidR="00F64049">
        <w:tc>
          <w:tcPr>
            <w:tcW w:w="0" w:type="auto"/>
          </w:tcPr>
          <w:p w:rsidR="00F64049" w:rsidRDefault="00BE3959">
            <w:pPr>
              <w:pStyle w:val="Compact"/>
              <w:jc w:val="left"/>
            </w:pPr>
            <w:r>
              <w:t>D9</w:t>
            </w:r>
          </w:p>
        </w:tc>
        <w:tc>
          <w:tcPr>
            <w:tcW w:w="0" w:type="auto"/>
          </w:tcPr>
          <w:p w:rsidR="00F64049" w:rsidRDefault="00BE3959">
            <w:pPr>
              <w:pStyle w:val="Compact"/>
              <w:jc w:val="right"/>
            </w:pPr>
            <w:r>
              <w:t>316</w:t>
            </w:r>
          </w:p>
        </w:tc>
        <w:tc>
          <w:tcPr>
            <w:tcW w:w="0" w:type="auto"/>
          </w:tcPr>
          <w:p w:rsidR="00F64049" w:rsidRDefault="00BE3959">
            <w:pPr>
              <w:pStyle w:val="Compact"/>
              <w:jc w:val="right"/>
            </w:pPr>
            <w:r>
              <w:t>1.870</w:t>
            </w:r>
          </w:p>
        </w:tc>
        <w:tc>
          <w:tcPr>
            <w:tcW w:w="0" w:type="auto"/>
          </w:tcPr>
          <w:p w:rsidR="00F64049" w:rsidRDefault="00BE3959">
            <w:pPr>
              <w:pStyle w:val="Compact"/>
              <w:jc w:val="right"/>
            </w:pPr>
            <w:r>
              <w:t>3.012</w:t>
            </w:r>
          </w:p>
        </w:tc>
        <w:tc>
          <w:tcPr>
            <w:tcW w:w="0" w:type="auto"/>
          </w:tcPr>
          <w:p w:rsidR="00F64049" w:rsidRDefault="00BE3959">
            <w:pPr>
              <w:pStyle w:val="Compact"/>
              <w:jc w:val="right"/>
            </w:pPr>
            <w:r>
              <w:t>2.303</w:t>
            </w:r>
          </w:p>
        </w:tc>
        <w:tc>
          <w:tcPr>
            <w:tcW w:w="0" w:type="auto"/>
          </w:tcPr>
          <w:p w:rsidR="00F64049" w:rsidRDefault="00BE3959">
            <w:pPr>
              <w:pStyle w:val="Compact"/>
              <w:jc w:val="right"/>
            </w:pPr>
            <w:r>
              <w:t>2.345</w:t>
            </w:r>
          </w:p>
        </w:tc>
      </w:tr>
      <w:tr w:rsidR="00F64049">
        <w:tc>
          <w:tcPr>
            <w:tcW w:w="0" w:type="auto"/>
          </w:tcPr>
          <w:p w:rsidR="00F64049" w:rsidRDefault="00BE3959">
            <w:pPr>
              <w:pStyle w:val="Compact"/>
              <w:jc w:val="left"/>
            </w:pPr>
            <w:r>
              <w:t>D10</w:t>
            </w:r>
          </w:p>
        </w:tc>
        <w:tc>
          <w:tcPr>
            <w:tcW w:w="0" w:type="auto"/>
          </w:tcPr>
          <w:p w:rsidR="00F64049" w:rsidRDefault="00BE3959">
            <w:pPr>
              <w:pStyle w:val="Compact"/>
              <w:jc w:val="right"/>
            </w:pPr>
            <w:r>
              <w:t>316</w:t>
            </w:r>
          </w:p>
        </w:tc>
        <w:tc>
          <w:tcPr>
            <w:tcW w:w="0" w:type="auto"/>
          </w:tcPr>
          <w:p w:rsidR="00F64049" w:rsidRDefault="00BE3959">
            <w:pPr>
              <w:pStyle w:val="Compact"/>
              <w:jc w:val="right"/>
            </w:pPr>
            <w:r>
              <w:t>3.015</w:t>
            </w:r>
          </w:p>
        </w:tc>
        <w:tc>
          <w:tcPr>
            <w:tcW w:w="0" w:type="auto"/>
          </w:tcPr>
          <w:p w:rsidR="00F64049" w:rsidRDefault="00BE3959">
            <w:pPr>
              <w:pStyle w:val="Compact"/>
              <w:jc w:val="right"/>
            </w:pPr>
            <w:r>
              <w:t>17.549</w:t>
            </w:r>
          </w:p>
        </w:tc>
        <w:tc>
          <w:tcPr>
            <w:tcW w:w="0" w:type="auto"/>
          </w:tcPr>
          <w:p w:rsidR="00F64049" w:rsidRDefault="00BE3959">
            <w:pPr>
              <w:pStyle w:val="Compact"/>
              <w:jc w:val="right"/>
            </w:pPr>
            <w:r>
              <w:t>4.291</w:t>
            </w:r>
          </w:p>
        </w:tc>
        <w:tc>
          <w:tcPr>
            <w:tcW w:w="0" w:type="auto"/>
          </w:tcPr>
          <w:p w:rsidR="00F64049" w:rsidRDefault="00BE3959">
            <w:pPr>
              <w:pStyle w:val="Compact"/>
              <w:jc w:val="right"/>
            </w:pPr>
            <w:r>
              <w:t>4.841</w:t>
            </w:r>
          </w:p>
        </w:tc>
      </w:tr>
    </w:tbl>
    <w:p w:rsidR="00F64049" w:rsidRDefault="00BE3959">
      <w:pPr>
        <w:pStyle w:val="Corpsdetexte"/>
      </w:pPr>
      <w:r>
        <w:t xml:space="preserve">Les ménages du </w:t>
      </w:r>
      <w:r>
        <w:rPr>
          <w:b/>
          <w:bCs/>
        </w:rPr>
        <w:t>premier décile</w:t>
      </w:r>
      <w:r>
        <w:t xml:space="preserve"> (D1) cultivent moins de 0,08 ha en totalité — soit moins de 800 m², l’équivalent d’un grand jardin potager. À l’opposé, les ménages du </w:t>
      </w:r>
      <w:r>
        <w:rPr>
          <w:b/>
          <w:bCs/>
        </w:rPr>
        <w:t>dernier décile</w:t>
      </w:r>
      <w:r>
        <w:t xml:space="preserve"> (D10) cultivent en médiane 4.291 ha, soit une exploitation que l’on peut qualifier de grande dans le contexte africain. Le </w:t>
      </w:r>
      <w:r>
        <w:rPr>
          <w:b/>
          <w:bCs/>
        </w:rPr>
        <w:t>rapport D10/D1</w:t>
      </w:r>
      <w:r>
        <w:t xml:space="preserve"> en termes de médiane atteint 104.7, illustrant l’ampleur des inégalités foncières au sein de l’échantil</w:t>
      </w:r>
      <w:r>
        <w:t>lon.</w:t>
      </w:r>
    </w:p>
    <w:p w:rsidR="00F64049" w:rsidRDefault="00BE3959">
      <w:r>
        <w:br w:type="page"/>
      </w:r>
    </w:p>
    <w:p w:rsidR="00F64049" w:rsidRDefault="00BE3959">
      <w:pPr>
        <w:pStyle w:val="Titre1"/>
      </w:pPr>
      <w:bookmarkStart w:id="34" w:name="Xac789aa07ab6916df5b70756a363e4414ef06e4"/>
      <w:bookmarkStart w:id="35" w:name="_Toc226981223"/>
      <w:bookmarkEnd w:id="20"/>
      <w:bookmarkEnd w:id="31"/>
      <w:r>
        <w:lastRenderedPageBreak/>
        <w:t>3. Robustesse des estimations et biais de mesure GPS (Tâche 20)</w:t>
      </w:r>
      <w:bookmarkEnd w:id="35"/>
    </w:p>
    <w:p w:rsidR="00F64049" w:rsidRDefault="00BE3959">
      <w:pPr>
        <w:pStyle w:val="Titre2"/>
      </w:pPr>
      <w:bookmarkStart w:id="36" w:name="X7987f0079c00553f01d69d2707137f100051b19"/>
      <w:bookmarkStart w:id="37" w:name="_Toc226981224"/>
      <w:r>
        <w:t>3.1 Statistiques pondérées versus non pondérées</w:t>
      </w:r>
      <w:bookmarkEnd w:id="37"/>
    </w:p>
    <w:p w:rsidR="00F64049" w:rsidRDefault="00BE3959">
      <w:pPr>
        <w:pStyle w:val="FirstParagraph"/>
      </w:pPr>
      <w:r>
        <w:t>Dans une enquête à probabilités d’inclusion inégales, les statistiques brutes (non pondérées) peuvent différer des statistiques pondérées</w:t>
      </w:r>
      <w:r>
        <w:t xml:space="preserve"> représentatives de la population. Leur comparaison systématique constitue une étape de validation fondamentale : si les deux sont proches, le plan de sondage est approximativement auto-pondéré et les résultats bruts constituent déjà un bon reflet de la ré</w:t>
      </w:r>
      <w:r>
        <w:t>alité nationale.</w:t>
      </w:r>
    </w:p>
    <w:p w:rsidR="00F64049" w:rsidRDefault="00BE3959">
      <w:pPr>
        <w:pStyle w:val="TableCaption"/>
      </w:pPr>
      <w:r>
        <w:t>Comparaison des estimations brutes et pondérées de la superficie au niveau ménage</w:t>
      </w:r>
    </w:p>
    <w:tbl>
      <w:tblPr>
        <w:tblStyle w:val="Table"/>
        <w:tblW w:w="5000" w:type="pct"/>
        <w:tblLayout w:type="fixed"/>
        <w:tblLook w:val="0020" w:firstRow="1" w:lastRow="0" w:firstColumn="0" w:lastColumn="0" w:noHBand="0" w:noVBand="0"/>
        <w:tblCaption w:val="Comparaison des estimations brutes et pondérées de la superficie au niveau ménage"/>
      </w:tblPr>
      <w:tblGrid>
        <w:gridCol w:w="2705"/>
        <w:gridCol w:w="588"/>
        <w:gridCol w:w="1528"/>
        <w:gridCol w:w="1528"/>
        <w:gridCol w:w="941"/>
        <w:gridCol w:w="1058"/>
        <w:gridCol w:w="1058"/>
      </w:tblGrid>
      <w:tr w:rsidR="00F64049" w:rsidTr="00F64049">
        <w:trPr>
          <w:cnfStyle w:val="100000000000" w:firstRow="1" w:lastRow="0" w:firstColumn="0" w:lastColumn="0" w:oddVBand="0" w:evenVBand="0" w:oddHBand="0" w:evenHBand="0" w:firstRowFirstColumn="0" w:firstRowLastColumn="0" w:lastRowFirstColumn="0" w:lastRowLastColumn="0"/>
          <w:tblHeader/>
        </w:trPr>
        <w:tc>
          <w:tcPr>
            <w:tcW w:w="2277" w:type="dxa"/>
          </w:tcPr>
          <w:p w:rsidR="00F64049" w:rsidRDefault="00BE3959">
            <w:pPr>
              <w:pStyle w:val="Compact"/>
              <w:jc w:val="left"/>
            </w:pPr>
            <w:r>
              <w:t>Type d’estimation</w:t>
            </w:r>
          </w:p>
        </w:tc>
        <w:tc>
          <w:tcPr>
            <w:tcW w:w="495" w:type="dxa"/>
          </w:tcPr>
          <w:p w:rsidR="00F64049" w:rsidRDefault="00BE3959">
            <w:pPr>
              <w:pStyle w:val="Compact"/>
              <w:jc w:val="right"/>
            </w:pPr>
            <w:r>
              <w:t>n</w:t>
            </w:r>
          </w:p>
        </w:tc>
        <w:tc>
          <w:tcPr>
            <w:tcW w:w="1287" w:type="dxa"/>
          </w:tcPr>
          <w:p w:rsidR="00F64049" w:rsidRDefault="00BE3959">
            <w:pPr>
              <w:pStyle w:val="Compact"/>
              <w:jc w:val="right"/>
            </w:pPr>
            <w:r>
              <w:t>Moyenne (ha)</w:t>
            </w:r>
          </w:p>
        </w:tc>
        <w:tc>
          <w:tcPr>
            <w:tcW w:w="1287" w:type="dxa"/>
          </w:tcPr>
          <w:p w:rsidR="00F64049" w:rsidRDefault="00BE3959">
            <w:pPr>
              <w:pStyle w:val="Compact"/>
              <w:jc w:val="right"/>
            </w:pPr>
            <w:r>
              <w:t>Médiane (ha)</w:t>
            </w:r>
          </w:p>
        </w:tc>
        <w:tc>
          <w:tcPr>
            <w:tcW w:w="792" w:type="dxa"/>
          </w:tcPr>
          <w:p w:rsidR="00F64049" w:rsidRDefault="00BE3959">
            <w:pPr>
              <w:pStyle w:val="Compact"/>
              <w:jc w:val="right"/>
            </w:pPr>
            <w:r>
              <w:t>CV (%)</w:t>
            </w:r>
          </w:p>
        </w:tc>
        <w:tc>
          <w:tcPr>
            <w:tcW w:w="891" w:type="dxa"/>
          </w:tcPr>
          <w:p w:rsidR="00F64049" w:rsidRDefault="00BE3959">
            <w:pPr>
              <w:pStyle w:val="Compact"/>
              <w:jc w:val="right"/>
            </w:pPr>
            <w:r>
              <w:t>P10 (ha)</w:t>
            </w:r>
          </w:p>
        </w:tc>
        <w:tc>
          <w:tcPr>
            <w:tcW w:w="891" w:type="dxa"/>
          </w:tcPr>
          <w:p w:rsidR="00F64049" w:rsidRDefault="00BE3959">
            <w:pPr>
              <w:pStyle w:val="Compact"/>
              <w:jc w:val="right"/>
            </w:pPr>
            <w:r>
              <w:t>P90 (ha)</w:t>
            </w:r>
          </w:p>
        </w:tc>
      </w:tr>
      <w:tr w:rsidR="00F64049">
        <w:tc>
          <w:tcPr>
            <w:tcW w:w="2277" w:type="dxa"/>
          </w:tcPr>
          <w:p w:rsidR="00F64049" w:rsidRDefault="00BE3959">
            <w:pPr>
              <w:pStyle w:val="Compact"/>
              <w:jc w:val="left"/>
            </w:pPr>
            <w:r>
              <w:t>Non pondéré</w:t>
            </w:r>
          </w:p>
        </w:tc>
        <w:tc>
          <w:tcPr>
            <w:tcW w:w="495" w:type="dxa"/>
          </w:tcPr>
          <w:p w:rsidR="00F64049" w:rsidRDefault="00BE3959">
            <w:pPr>
              <w:pStyle w:val="Compact"/>
              <w:jc w:val="right"/>
            </w:pPr>
            <w:r>
              <w:t>3161</w:t>
            </w:r>
          </w:p>
        </w:tc>
        <w:tc>
          <w:tcPr>
            <w:tcW w:w="1287" w:type="dxa"/>
          </w:tcPr>
          <w:p w:rsidR="00F64049" w:rsidRDefault="00BE3959">
            <w:pPr>
              <w:pStyle w:val="Compact"/>
              <w:jc w:val="right"/>
            </w:pPr>
            <w:r>
              <w:t>1.193</w:t>
            </w:r>
          </w:p>
        </w:tc>
        <w:tc>
          <w:tcPr>
            <w:tcW w:w="1287" w:type="dxa"/>
          </w:tcPr>
          <w:p w:rsidR="00F64049" w:rsidRDefault="00BE3959">
            <w:pPr>
              <w:pStyle w:val="Compact"/>
              <w:jc w:val="right"/>
            </w:pPr>
            <w:r>
              <w:t>0.661</w:t>
            </w:r>
          </w:p>
        </w:tc>
        <w:tc>
          <w:tcPr>
            <w:tcW w:w="792" w:type="dxa"/>
          </w:tcPr>
          <w:p w:rsidR="00F64049" w:rsidRDefault="00BE3959">
            <w:pPr>
              <w:pStyle w:val="Compact"/>
              <w:jc w:val="right"/>
            </w:pPr>
            <w:r>
              <w:t>127.218</w:t>
            </w:r>
          </w:p>
        </w:tc>
        <w:tc>
          <w:tcPr>
            <w:tcW w:w="891" w:type="dxa"/>
          </w:tcPr>
          <w:p w:rsidR="00F64049" w:rsidRDefault="00BE3959">
            <w:pPr>
              <w:pStyle w:val="Compact"/>
              <w:jc w:val="right"/>
            </w:pPr>
            <w:r>
              <w:t>0.080</w:t>
            </w:r>
          </w:p>
        </w:tc>
        <w:tc>
          <w:tcPr>
            <w:tcW w:w="891" w:type="dxa"/>
          </w:tcPr>
          <w:p w:rsidR="00F64049" w:rsidRDefault="00BE3959">
            <w:pPr>
              <w:pStyle w:val="Compact"/>
              <w:jc w:val="right"/>
            </w:pPr>
            <w:r>
              <w:t>3.012</w:t>
            </w:r>
          </w:p>
        </w:tc>
      </w:tr>
      <w:tr w:rsidR="00F64049">
        <w:tc>
          <w:tcPr>
            <w:tcW w:w="2277" w:type="dxa"/>
          </w:tcPr>
          <w:p w:rsidR="00F64049" w:rsidRDefault="00BE3959">
            <w:pPr>
              <w:pStyle w:val="Compact"/>
              <w:jc w:val="left"/>
            </w:pPr>
            <w:r>
              <w:t>Pondéré (weight_wave4)</w:t>
            </w:r>
          </w:p>
        </w:tc>
        <w:tc>
          <w:tcPr>
            <w:tcW w:w="495" w:type="dxa"/>
          </w:tcPr>
          <w:p w:rsidR="00F64049" w:rsidRDefault="00BE3959">
            <w:pPr>
              <w:pStyle w:val="Compact"/>
              <w:jc w:val="right"/>
            </w:pPr>
            <w:r>
              <w:t>3160</w:t>
            </w:r>
          </w:p>
        </w:tc>
        <w:tc>
          <w:tcPr>
            <w:tcW w:w="1287" w:type="dxa"/>
          </w:tcPr>
          <w:p w:rsidR="00F64049" w:rsidRDefault="00BE3959">
            <w:pPr>
              <w:pStyle w:val="Compact"/>
              <w:jc w:val="right"/>
            </w:pPr>
            <w:r>
              <w:t>1.153</w:t>
            </w:r>
          </w:p>
        </w:tc>
        <w:tc>
          <w:tcPr>
            <w:tcW w:w="1287" w:type="dxa"/>
          </w:tcPr>
          <w:p w:rsidR="00F64049" w:rsidRDefault="00BE3959">
            <w:pPr>
              <w:pStyle w:val="Compact"/>
              <w:jc w:val="right"/>
            </w:pPr>
            <w:r>
              <w:t>0.654</w:t>
            </w:r>
          </w:p>
        </w:tc>
        <w:tc>
          <w:tcPr>
            <w:tcW w:w="792" w:type="dxa"/>
          </w:tcPr>
          <w:p w:rsidR="00F64049" w:rsidRDefault="00BE3959">
            <w:pPr>
              <w:pStyle w:val="Compact"/>
              <w:jc w:val="right"/>
            </w:pPr>
            <w:r>
              <w:t>131.726</w:t>
            </w:r>
          </w:p>
        </w:tc>
        <w:tc>
          <w:tcPr>
            <w:tcW w:w="891" w:type="dxa"/>
          </w:tcPr>
          <w:p w:rsidR="00F64049" w:rsidRDefault="00BE3959">
            <w:pPr>
              <w:pStyle w:val="Compact"/>
              <w:jc w:val="right"/>
            </w:pPr>
            <w:r>
              <w:t>0.086</w:t>
            </w:r>
          </w:p>
        </w:tc>
        <w:tc>
          <w:tcPr>
            <w:tcW w:w="891" w:type="dxa"/>
          </w:tcPr>
          <w:p w:rsidR="00F64049" w:rsidRDefault="00BE3959">
            <w:pPr>
              <w:pStyle w:val="Compact"/>
              <w:jc w:val="right"/>
            </w:pPr>
            <w:r>
              <w:t>2.898</w:t>
            </w:r>
          </w:p>
        </w:tc>
      </w:tr>
    </w:tbl>
    <w:p w:rsidR="00F64049" w:rsidRDefault="00BE3959">
      <w:pPr>
        <w:pStyle w:val="Corpsdetexte"/>
      </w:pPr>
      <w:r>
        <w:t>Les résultats sont très encourageants : les statistiques pondérées (</w:t>
      </w:r>
      <w:r>
        <w:rPr>
          <w:rStyle w:val="VerbatimChar"/>
        </w:rPr>
        <w:t>weight_wave4</w:t>
      </w:r>
      <w:r>
        <w:t xml:space="preserve">) sont quasi-identiques aux statistiques brutes sur tous les indicateurs. La médiane pondérée (0.654 ha) diffère de moins de 2 % de la médiane brute (0.661 ha). Cela confirme que </w:t>
      </w:r>
      <w:r>
        <w:rPr>
          <w:b/>
          <w:bCs/>
        </w:rPr>
        <w:t>le plan de sondage est approximativement équilibré</w:t>
      </w:r>
      <w:r>
        <w:t xml:space="preserve"> entre les strates : les mé</w:t>
      </w:r>
      <w:r>
        <w:t>nages sur- ou sous-représentés ont des comportements fonciers similaires à la moyenne nationale. Les résultats non pondérés constituent donc de bonnes approximations des estimations représentatives.</w:t>
      </w:r>
    </w:p>
    <w:p w:rsidR="00F64049" w:rsidRDefault="00BE3959">
      <w:pPr>
        <w:pStyle w:val="Figure"/>
      </w:pPr>
      <w:r>
        <w:rPr>
          <w:noProof/>
          <w:lang w:eastAsia="en-US"/>
        </w:rPr>
        <w:lastRenderedPageBreak/>
        <w:drawing>
          <wp:inline distT="0" distB="0" distL="0" distR="0">
            <wp:extent cx="4206240" cy="3364992"/>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206240" cy="3364992"/>
                    </a:xfrm>
                    <a:prstGeom prst="rect">
                      <a:avLst/>
                    </a:prstGeom>
                    <a:noFill/>
                  </pic:spPr>
                </pic:pic>
              </a:graphicData>
            </a:graphic>
          </wp:inline>
        </w:drawing>
      </w:r>
    </w:p>
    <w:p w:rsidR="00F64049" w:rsidRDefault="00BE3959">
      <w:pPr>
        <w:pStyle w:val="ImageCaption"/>
      </w:pPr>
      <w:r>
        <w:rPr>
          <w:b/>
        </w:rPr>
        <w:t xml:space="preserve">Figure </w:t>
      </w:r>
      <w:bookmarkStart w:id="38" w:name="fig-t20-histo-brut"/>
      <w:r>
        <w:rPr>
          <w:b/>
        </w:rPr>
        <w:fldChar w:fldCharType="begin"/>
      </w:r>
      <w:r>
        <w:rPr>
          <w:b/>
        </w:rPr>
        <w:instrText>SEQ fig \* Arabic</w:instrText>
      </w:r>
      <w:r>
        <w:rPr>
          <w:b/>
        </w:rPr>
        <w:fldChar w:fldCharType="separate"/>
      </w:r>
      <w:r>
        <w:rPr>
          <w:b/>
          <w:noProof/>
        </w:rPr>
        <w:t>4</w:t>
      </w:r>
      <w:r>
        <w:rPr>
          <w:b/>
        </w:rPr>
        <w:fldChar w:fldCharType="end"/>
      </w:r>
      <w:bookmarkEnd w:id="38"/>
      <w:r>
        <w:rPr>
          <w:b/>
        </w:rPr>
        <w:t xml:space="preserve">: </w:t>
      </w:r>
      <w:r>
        <w:t>Distribution des superficie</w:t>
      </w:r>
      <w:r>
        <w:t>s au niveau ménage — estimation non pondérée</w:t>
      </w:r>
    </w:p>
    <w:p w:rsidR="00F64049" w:rsidRDefault="00BE3959">
      <w:pPr>
        <w:pStyle w:val="Figure"/>
      </w:pPr>
      <w:r>
        <w:rPr>
          <w:noProof/>
          <w:lang w:eastAsia="en-US"/>
        </w:rPr>
        <w:drawing>
          <wp:inline distT="0" distB="0" distL="0" distR="0">
            <wp:extent cx="4206240" cy="3364992"/>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4206240" cy="3364992"/>
                    </a:xfrm>
                    <a:prstGeom prst="rect">
                      <a:avLst/>
                    </a:prstGeom>
                    <a:noFill/>
                  </pic:spPr>
                </pic:pic>
              </a:graphicData>
            </a:graphic>
          </wp:inline>
        </w:drawing>
      </w:r>
    </w:p>
    <w:p w:rsidR="00F64049" w:rsidRDefault="00BE3959">
      <w:pPr>
        <w:pStyle w:val="ImageCaption"/>
      </w:pPr>
      <w:r>
        <w:rPr>
          <w:b/>
        </w:rPr>
        <w:lastRenderedPageBreak/>
        <w:t xml:space="preserve">Figure </w:t>
      </w:r>
      <w:bookmarkStart w:id="39" w:name="fig-t20-histo-pond"/>
      <w:r>
        <w:rPr>
          <w:b/>
        </w:rPr>
        <w:fldChar w:fldCharType="begin"/>
      </w:r>
      <w:r>
        <w:rPr>
          <w:b/>
        </w:rPr>
        <w:instrText>SEQ fig \* Arabic</w:instrText>
      </w:r>
      <w:r>
        <w:rPr>
          <w:b/>
        </w:rPr>
        <w:fldChar w:fldCharType="separate"/>
      </w:r>
      <w:r>
        <w:rPr>
          <w:b/>
          <w:noProof/>
        </w:rPr>
        <w:t>5</w:t>
      </w:r>
      <w:r>
        <w:rPr>
          <w:b/>
        </w:rPr>
        <w:fldChar w:fldCharType="end"/>
      </w:r>
      <w:bookmarkEnd w:id="39"/>
      <w:r>
        <w:rPr>
          <w:b/>
        </w:rPr>
        <w:t xml:space="preserve">: </w:t>
      </w:r>
      <w:r>
        <w:t>Distribution des superficies au niveau ménage — estimation pondérée (weight_wave4)</w:t>
      </w:r>
    </w:p>
    <w:p w:rsidR="00F64049" w:rsidRDefault="00BE3959">
      <w:pPr>
        <w:pStyle w:val="Titre2"/>
      </w:pPr>
      <w:bookmarkStart w:id="40" w:name="X65230c0d3a7a0a46dcb3ed6fce84fe038d31bf7"/>
      <w:bookmarkStart w:id="41" w:name="_Toc226981225"/>
      <w:bookmarkEnd w:id="36"/>
      <w:r>
        <w:t>3.2 Cohérence et biais des mesures GPS entre passages</w:t>
      </w:r>
      <w:bookmarkEnd w:id="41"/>
    </w:p>
    <w:p w:rsidR="00F64049" w:rsidRDefault="00BE3959">
      <w:pPr>
        <w:pStyle w:val="FirstParagraph"/>
      </w:pPr>
      <w:r>
        <w:t xml:space="preserve">L’originalité de la Wave 4 est de disposer de </w:t>
      </w:r>
      <w:r>
        <w:rPr>
          <w:b/>
          <w:bCs/>
        </w:rPr>
        <w:t>deux mesures GPS indépendantes</w:t>
      </w:r>
      <w:r>
        <w:t xml:space="preserve"> pour une même parcelle : au semis et à la récolte. Cette double mesure permet d’évaluer la </w:t>
      </w:r>
      <w:r>
        <w:rPr>
          <w:b/>
          <w:bCs/>
        </w:rPr>
        <w:t>fiabilité</w:t>
      </w:r>
      <w:r>
        <w:t xml:space="preserve"> (cohérence ordinale des mesures) et le </w:t>
      </w:r>
      <w:r>
        <w:rPr>
          <w:b/>
          <w:bCs/>
        </w:rPr>
        <w:t>biais éventuel</w:t>
      </w:r>
      <w:r>
        <w:t xml:space="preserve"> (tendance systématique d</w:t>
      </w:r>
      <w:r>
        <w:t>e l’une à dépasser l’autre) de l’instrument GPS de collecte.</w:t>
      </w:r>
    </w:p>
    <w:p w:rsidR="00F64049" w:rsidRDefault="00BE3959">
      <w:pPr>
        <w:pStyle w:val="Corpsdetexte"/>
      </w:pPr>
      <w:r>
        <w:t xml:space="preserve">La corrélation de </w:t>
      </w:r>
      <w:r>
        <w:rPr>
          <w:b/>
          <w:bCs/>
        </w:rPr>
        <w:t>Spearman</w:t>
      </w:r>
      <w:r>
        <w:t xml:space="preserve"> est préférée à Pearson car elle est robuste aux valeurs extrêmes et ne requiert pas l’hypothèse de normalité — particulièrement adaptée aux distributions fortement asym</w:t>
      </w:r>
      <w:r>
        <w:t>étriques observées ici.</w:t>
      </w:r>
    </w:p>
    <w:p w:rsidR="00F64049" w:rsidRDefault="00BE3959">
      <w:pPr>
        <w:pStyle w:val="Normalcentr"/>
      </w:pPr>
      <w:r>
        <w:rPr>
          <w:b/>
          <w:bCs/>
        </w:rPr>
        <w:t>ρ de Spearman = 0.824</w:t>
      </w:r>
      <w:r>
        <w:t xml:space="preserve"> | IC 95 % [0.796 ; 0.849] | </w:t>
      </w:r>
      <w:r>
        <w:rPr>
          <w:i/>
          <w:iCs/>
        </w:rPr>
        <w:t>n</w:t>
      </w:r>
      <w:r>
        <w:t xml:space="preserve"> = 573 parcelles appariées</w:t>
      </w:r>
    </w:p>
    <w:p w:rsidR="00F64049" w:rsidRDefault="00BE3959">
      <w:pPr>
        <w:pStyle w:val="FirstParagraph"/>
      </w:pPr>
      <w:r>
        <w:t xml:space="preserve">La corrélation </w:t>
      </w:r>
      <w:r>
        <w:rPr>
          <w:b/>
          <w:bCs/>
        </w:rPr>
        <w:t>ρ = 0.824</w:t>
      </w:r>
      <w:r>
        <w:t xml:space="preserve"> est élevée et statistiquement très robuste : les parcelles classées parmi les plus grandes au semis le restent à la récolte, et r</w:t>
      </w:r>
      <w:r>
        <w:t>éciproquement. Cette stabilité ordinale valide la qualité de la collecte GPS.</w:t>
      </w:r>
    </w:p>
    <w:p w:rsidR="00F64049" w:rsidRDefault="00BE3959">
      <w:pPr>
        <w:pStyle w:val="Corpsdetexte"/>
      </w:pPr>
      <w:r>
        <w:t xml:space="preserve">Cependant, la cohérence de rang n’exclut pas un </w:t>
      </w:r>
      <w:r>
        <w:rPr>
          <w:b/>
          <w:bCs/>
        </w:rPr>
        <w:t>biais systématique de niveau</w:t>
      </w:r>
      <w:r>
        <w:t>. Les graphiques ci-dessous révèlent que la mesure récolte est systématiquement supérieure à la mesure</w:t>
      </w:r>
      <w:r>
        <w:t xml:space="preserve"> semis, la droite de régression se situant nettement au-dessus de la bissectrice d’égalité parfaite. Ce biais — de l’ordre de 60 à 70 % en valeur relative — peut s’expliquer par plusieurs mécanismes : en fin de cycle, les cultures ayant envahi les bords de</w:t>
      </w:r>
      <w:r>
        <w:t xml:space="preserve"> la parcelle élargissent le périmètre GPS mesuré ; ou les enquêteurs à la récolte intègrent les espaces inter-cultures que ceux du semis excluaient. Ce point mérite attention dans toute analyse comparative inter-passages.</w:t>
      </w:r>
    </w:p>
    <w:p w:rsidR="00F64049" w:rsidRDefault="00BE3959">
      <w:pPr>
        <w:pStyle w:val="Figure"/>
      </w:pPr>
      <w:r>
        <w:rPr>
          <w:noProof/>
          <w:lang w:eastAsia="en-US"/>
        </w:rPr>
        <w:lastRenderedPageBreak/>
        <w:drawing>
          <wp:inline distT="0" distB="0" distL="0" distR="0">
            <wp:extent cx="4206240" cy="3364992"/>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4206240" cy="3364992"/>
                    </a:xfrm>
                    <a:prstGeom prst="rect">
                      <a:avLst/>
                    </a:prstGeom>
                    <a:noFill/>
                  </pic:spPr>
                </pic:pic>
              </a:graphicData>
            </a:graphic>
          </wp:inline>
        </w:drawing>
      </w:r>
    </w:p>
    <w:p w:rsidR="00F64049" w:rsidRDefault="00BE3959">
      <w:pPr>
        <w:pStyle w:val="ImageCaption"/>
      </w:pPr>
      <w:r>
        <w:rPr>
          <w:b/>
        </w:rPr>
        <w:t xml:space="preserve">Figure </w:t>
      </w:r>
      <w:bookmarkStart w:id="42" w:name="fig-t20-scatter"/>
      <w:r>
        <w:rPr>
          <w:b/>
        </w:rPr>
        <w:fldChar w:fldCharType="begin"/>
      </w:r>
      <w:r>
        <w:rPr>
          <w:b/>
        </w:rPr>
        <w:instrText>SEQ fig \* Arabic</w:instrText>
      </w:r>
      <w:r>
        <w:rPr>
          <w:b/>
        </w:rPr>
        <w:fldChar w:fldCharType="separate"/>
      </w:r>
      <w:r>
        <w:rPr>
          <w:b/>
          <w:noProof/>
        </w:rPr>
        <w:t>6</w:t>
      </w:r>
      <w:r>
        <w:rPr>
          <w:b/>
        </w:rPr>
        <w:fldChar w:fldCharType="end"/>
      </w:r>
      <w:bookmarkEnd w:id="42"/>
      <w:r>
        <w:rPr>
          <w:b/>
        </w:rPr>
        <w:t xml:space="preserve">: </w:t>
      </w:r>
      <w:r>
        <w:t>Nuag</w:t>
      </w:r>
      <w:r>
        <w:t>e de points GPS semis vs. récolte (échelles log-log) — la droite rouge est la bissectrice d’égalité parfaite</w:t>
      </w:r>
    </w:p>
    <w:p w:rsidR="00F64049" w:rsidRDefault="00BE3959">
      <w:pPr>
        <w:pStyle w:val="Figure"/>
      </w:pPr>
      <w:r>
        <w:rPr>
          <w:noProof/>
          <w:lang w:eastAsia="en-US"/>
        </w:rPr>
        <w:lastRenderedPageBreak/>
        <w:drawing>
          <wp:inline distT="0" distB="0" distL="0" distR="0">
            <wp:extent cx="4206240" cy="336499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4206240" cy="3364992"/>
                    </a:xfrm>
                    <a:prstGeom prst="rect">
                      <a:avLst/>
                    </a:prstGeom>
                    <a:noFill/>
                  </pic:spPr>
                </pic:pic>
              </a:graphicData>
            </a:graphic>
          </wp:inline>
        </w:drawing>
      </w:r>
    </w:p>
    <w:p w:rsidR="00F64049" w:rsidRDefault="00BE3959">
      <w:pPr>
        <w:pStyle w:val="ImageCaption"/>
      </w:pPr>
      <w:r>
        <w:rPr>
          <w:b/>
        </w:rPr>
        <w:t xml:space="preserve">Figure </w:t>
      </w:r>
      <w:bookmarkStart w:id="43" w:name="fig-t20-boxplot"/>
      <w:r>
        <w:rPr>
          <w:b/>
        </w:rPr>
        <w:fldChar w:fldCharType="begin"/>
      </w:r>
      <w:r>
        <w:rPr>
          <w:b/>
        </w:rPr>
        <w:instrText>SEQ fig \* Arabic</w:instrText>
      </w:r>
      <w:r>
        <w:rPr>
          <w:b/>
        </w:rPr>
        <w:fldChar w:fldCharType="separate"/>
      </w:r>
      <w:r>
        <w:rPr>
          <w:b/>
          <w:noProof/>
        </w:rPr>
        <w:t>7</w:t>
      </w:r>
      <w:r>
        <w:rPr>
          <w:b/>
        </w:rPr>
        <w:fldChar w:fldCharType="end"/>
      </w:r>
      <w:bookmarkEnd w:id="43"/>
      <w:r>
        <w:rPr>
          <w:b/>
        </w:rPr>
        <w:t xml:space="preserve">: </w:t>
      </w:r>
      <w:r>
        <w:t>Boxplot des superficies GPS par passage d’enquête — le décalage visible illustre le biais systématique récolte &gt; semi</w:t>
      </w:r>
      <w:r>
        <w:t>s</w:t>
      </w:r>
    </w:p>
    <w:p w:rsidR="00F64049" w:rsidRDefault="00BE3959">
      <w:r>
        <w:br w:type="page"/>
      </w:r>
    </w:p>
    <w:p w:rsidR="00F64049" w:rsidRDefault="00BE3959">
      <w:pPr>
        <w:pStyle w:val="Titre1"/>
      </w:pPr>
      <w:bookmarkStart w:id="44" w:name="régimes-de-tenure-foncière-tâche-21"/>
      <w:bookmarkStart w:id="45" w:name="_Toc226981226"/>
      <w:bookmarkEnd w:id="34"/>
      <w:bookmarkEnd w:id="40"/>
      <w:r>
        <w:lastRenderedPageBreak/>
        <w:t>4. Régimes de tenure foncière (Tâche 21)</w:t>
      </w:r>
      <w:bookmarkEnd w:id="45"/>
    </w:p>
    <w:p w:rsidR="00F64049" w:rsidRDefault="00BE3959">
      <w:pPr>
        <w:pStyle w:val="Titre2"/>
      </w:pPr>
      <w:bookmarkStart w:id="46" w:name="X75b6a1c49755bc6dcdc7cfefb9a3a763d1712c1"/>
      <w:bookmarkStart w:id="47" w:name="_Toc226981227"/>
      <w:r>
        <w:t>4.1 Fréquences et répartition des modes d’acquisition</w:t>
      </w:r>
      <w:bookmarkEnd w:id="47"/>
    </w:p>
    <w:p w:rsidR="00F64049" w:rsidRDefault="00BE3959">
      <w:pPr>
        <w:pStyle w:val="FirstParagraph"/>
      </w:pPr>
      <w:r>
        <w:t>La variable de tenure foncière (</w:t>
      </w:r>
      <w:r>
        <w:rPr>
          <w:rStyle w:val="VerbatimChar"/>
        </w:rPr>
        <w:t>tenure_6</w:t>
      </w:r>
      <w:r>
        <w:t>) synthétise le mode d’acquisition déclaré par le chef de ménage pour chaque parcelle. Elle capture la nature juridiq</w:t>
      </w:r>
      <w:r>
        <w:t>ue et sociale du droit foncier exercé, ce qui est essentiel pour comprendre la sécurité d’occupation et les incitations à investir.</w:t>
      </w:r>
    </w:p>
    <w:p w:rsidR="00F64049" w:rsidRDefault="00BE3959">
      <w:pPr>
        <w:pStyle w:val="TableCaption"/>
      </w:pPr>
      <w:r>
        <w:t>Fréquences des régimes de tenure foncière — brut vs. pondéré</w:t>
      </w:r>
    </w:p>
    <w:tbl>
      <w:tblPr>
        <w:tblStyle w:val="Table"/>
        <w:tblW w:w="0" w:type="auto"/>
        <w:tblLook w:val="0020" w:firstRow="1" w:lastRow="0" w:firstColumn="0" w:lastColumn="0" w:noHBand="0" w:noVBand="0"/>
        <w:tblCaption w:val="Fréquences des régimes de tenure foncière — brut vs. pondéré"/>
      </w:tblPr>
      <w:tblGrid>
        <w:gridCol w:w="1909"/>
        <w:gridCol w:w="1396"/>
        <w:gridCol w:w="863"/>
        <w:gridCol w:w="1249"/>
      </w:tblGrid>
      <w:tr w:rsidR="00F64049" w:rsidTr="00F64049">
        <w:trPr>
          <w:cnfStyle w:val="100000000000" w:firstRow="1" w:lastRow="0" w:firstColumn="0" w:lastColumn="0" w:oddVBand="0" w:evenVBand="0" w:oddHBand="0" w:evenHBand="0" w:firstRowFirstColumn="0" w:firstRowLastColumn="0" w:lastRowFirstColumn="0" w:lastRowLastColumn="0"/>
          <w:tblHeader/>
        </w:trPr>
        <w:tc>
          <w:tcPr>
            <w:tcW w:w="0" w:type="auto"/>
          </w:tcPr>
          <w:p w:rsidR="00F64049" w:rsidRDefault="00BE3959">
            <w:pPr>
              <w:pStyle w:val="Compact"/>
              <w:jc w:val="left"/>
            </w:pPr>
            <w:r>
              <w:t>Régime de tenure</w:t>
            </w:r>
          </w:p>
        </w:tc>
        <w:tc>
          <w:tcPr>
            <w:tcW w:w="0" w:type="auto"/>
          </w:tcPr>
          <w:p w:rsidR="00F64049" w:rsidRDefault="00BE3959">
            <w:pPr>
              <w:pStyle w:val="Compact"/>
              <w:jc w:val="right"/>
            </w:pPr>
            <w:r>
              <w:t>Effectif brut</w:t>
            </w:r>
          </w:p>
        </w:tc>
        <w:tc>
          <w:tcPr>
            <w:tcW w:w="0" w:type="auto"/>
          </w:tcPr>
          <w:p w:rsidR="00F64049" w:rsidRDefault="00BE3959">
            <w:pPr>
              <w:pStyle w:val="Compact"/>
              <w:jc w:val="right"/>
            </w:pPr>
            <w:r>
              <w:t>% brut</w:t>
            </w:r>
          </w:p>
        </w:tc>
        <w:tc>
          <w:tcPr>
            <w:tcW w:w="0" w:type="auto"/>
          </w:tcPr>
          <w:p w:rsidR="00F64049" w:rsidRDefault="00BE3959">
            <w:pPr>
              <w:pStyle w:val="Compact"/>
              <w:jc w:val="right"/>
            </w:pPr>
            <w:r>
              <w:t>% pondéré</w:t>
            </w:r>
          </w:p>
        </w:tc>
      </w:tr>
      <w:tr w:rsidR="00F64049">
        <w:tc>
          <w:tcPr>
            <w:tcW w:w="0" w:type="auto"/>
          </w:tcPr>
          <w:p w:rsidR="00F64049" w:rsidRDefault="00BE3959">
            <w:pPr>
              <w:pStyle w:val="Compact"/>
              <w:jc w:val="left"/>
            </w:pPr>
            <w:r>
              <w:t>Héritage</w:t>
            </w:r>
          </w:p>
        </w:tc>
        <w:tc>
          <w:tcPr>
            <w:tcW w:w="0" w:type="auto"/>
          </w:tcPr>
          <w:p w:rsidR="00F64049" w:rsidRDefault="00BE3959">
            <w:pPr>
              <w:pStyle w:val="Compact"/>
              <w:jc w:val="right"/>
            </w:pPr>
            <w:r>
              <w:t>6907</w:t>
            </w:r>
          </w:p>
        </w:tc>
        <w:tc>
          <w:tcPr>
            <w:tcW w:w="0" w:type="auto"/>
          </w:tcPr>
          <w:p w:rsidR="00F64049" w:rsidRDefault="00BE3959">
            <w:pPr>
              <w:pStyle w:val="Compact"/>
              <w:jc w:val="right"/>
            </w:pPr>
            <w:r>
              <w:t>63.0</w:t>
            </w:r>
          </w:p>
        </w:tc>
        <w:tc>
          <w:tcPr>
            <w:tcW w:w="0" w:type="auto"/>
          </w:tcPr>
          <w:p w:rsidR="00F64049" w:rsidRDefault="00BE3959">
            <w:pPr>
              <w:pStyle w:val="Compact"/>
              <w:jc w:val="right"/>
            </w:pPr>
            <w:r>
              <w:t>63.1</w:t>
            </w:r>
          </w:p>
        </w:tc>
      </w:tr>
      <w:tr w:rsidR="00F64049">
        <w:tc>
          <w:tcPr>
            <w:tcW w:w="0" w:type="auto"/>
          </w:tcPr>
          <w:p w:rsidR="00F64049" w:rsidRDefault="00BE3959">
            <w:pPr>
              <w:pStyle w:val="Compact"/>
              <w:jc w:val="left"/>
            </w:pPr>
            <w:r>
              <w:t>Propriété pleine</w:t>
            </w:r>
          </w:p>
        </w:tc>
        <w:tc>
          <w:tcPr>
            <w:tcW w:w="0" w:type="auto"/>
          </w:tcPr>
          <w:p w:rsidR="00F64049" w:rsidRDefault="00BE3959">
            <w:pPr>
              <w:pStyle w:val="Compact"/>
              <w:jc w:val="right"/>
            </w:pPr>
            <w:r>
              <w:t>1268</w:t>
            </w:r>
          </w:p>
        </w:tc>
        <w:tc>
          <w:tcPr>
            <w:tcW w:w="0" w:type="auto"/>
          </w:tcPr>
          <w:p w:rsidR="00F64049" w:rsidRDefault="00BE3959">
            <w:pPr>
              <w:pStyle w:val="Compact"/>
              <w:jc w:val="right"/>
            </w:pPr>
            <w:r>
              <w:t>11.6</w:t>
            </w:r>
          </w:p>
        </w:tc>
        <w:tc>
          <w:tcPr>
            <w:tcW w:w="0" w:type="auto"/>
          </w:tcPr>
          <w:p w:rsidR="00F64049" w:rsidRDefault="00BE3959">
            <w:pPr>
              <w:pStyle w:val="Compact"/>
              <w:jc w:val="right"/>
            </w:pPr>
            <w:r>
              <w:t>13.1</w:t>
            </w:r>
          </w:p>
        </w:tc>
      </w:tr>
      <w:tr w:rsidR="00F64049">
        <w:tc>
          <w:tcPr>
            <w:tcW w:w="0" w:type="auto"/>
          </w:tcPr>
          <w:p w:rsidR="00F64049" w:rsidRDefault="00BE3959">
            <w:pPr>
              <w:pStyle w:val="Compact"/>
              <w:jc w:val="left"/>
            </w:pPr>
            <w:r>
              <w:t>Location</w:t>
            </w:r>
          </w:p>
        </w:tc>
        <w:tc>
          <w:tcPr>
            <w:tcW w:w="0" w:type="auto"/>
          </w:tcPr>
          <w:p w:rsidR="00F64049" w:rsidRDefault="00BE3959">
            <w:pPr>
              <w:pStyle w:val="Compact"/>
              <w:jc w:val="right"/>
            </w:pPr>
            <w:r>
              <w:t>1218</w:t>
            </w:r>
          </w:p>
        </w:tc>
        <w:tc>
          <w:tcPr>
            <w:tcW w:w="0" w:type="auto"/>
          </w:tcPr>
          <w:p w:rsidR="00F64049" w:rsidRDefault="00BE3959">
            <w:pPr>
              <w:pStyle w:val="Compact"/>
              <w:jc w:val="right"/>
            </w:pPr>
            <w:r>
              <w:t>11.1</w:t>
            </w:r>
          </w:p>
        </w:tc>
        <w:tc>
          <w:tcPr>
            <w:tcW w:w="0" w:type="auto"/>
          </w:tcPr>
          <w:p w:rsidR="00F64049" w:rsidRDefault="00BE3959">
            <w:pPr>
              <w:pStyle w:val="Compact"/>
              <w:jc w:val="right"/>
            </w:pPr>
            <w:r>
              <w:t>11.2</w:t>
            </w:r>
          </w:p>
        </w:tc>
      </w:tr>
      <w:tr w:rsidR="00F64049">
        <w:tc>
          <w:tcPr>
            <w:tcW w:w="0" w:type="auto"/>
          </w:tcPr>
          <w:p w:rsidR="00F64049" w:rsidRDefault="00BE3959">
            <w:pPr>
              <w:pStyle w:val="Compact"/>
              <w:jc w:val="left"/>
            </w:pPr>
            <w:r>
              <w:t>Prêt</w:t>
            </w:r>
          </w:p>
        </w:tc>
        <w:tc>
          <w:tcPr>
            <w:tcW w:w="0" w:type="auto"/>
          </w:tcPr>
          <w:p w:rsidR="00F64049" w:rsidRDefault="00BE3959">
            <w:pPr>
              <w:pStyle w:val="Compact"/>
              <w:jc w:val="right"/>
            </w:pPr>
            <w:r>
              <w:t>1002</w:t>
            </w:r>
          </w:p>
        </w:tc>
        <w:tc>
          <w:tcPr>
            <w:tcW w:w="0" w:type="auto"/>
          </w:tcPr>
          <w:p w:rsidR="00F64049" w:rsidRDefault="00BE3959">
            <w:pPr>
              <w:pStyle w:val="Compact"/>
              <w:jc w:val="right"/>
            </w:pPr>
            <w:r>
              <w:t>9.1</w:t>
            </w:r>
          </w:p>
        </w:tc>
        <w:tc>
          <w:tcPr>
            <w:tcW w:w="0" w:type="auto"/>
          </w:tcPr>
          <w:p w:rsidR="00F64049" w:rsidRDefault="00BE3959">
            <w:pPr>
              <w:pStyle w:val="Compact"/>
              <w:jc w:val="right"/>
            </w:pPr>
            <w:r>
              <w:t>8.7</w:t>
            </w:r>
          </w:p>
        </w:tc>
      </w:tr>
      <w:tr w:rsidR="00F64049">
        <w:tc>
          <w:tcPr>
            <w:tcW w:w="0" w:type="auto"/>
          </w:tcPr>
          <w:p w:rsidR="00F64049" w:rsidRDefault="00BE3959">
            <w:pPr>
              <w:pStyle w:val="Compact"/>
              <w:jc w:val="left"/>
            </w:pPr>
            <w:r>
              <w:t>Autre</w:t>
            </w:r>
          </w:p>
        </w:tc>
        <w:tc>
          <w:tcPr>
            <w:tcW w:w="0" w:type="auto"/>
          </w:tcPr>
          <w:p w:rsidR="00F64049" w:rsidRDefault="00BE3959">
            <w:pPr>
              <w:pStyle w:val="Compact"/>
              <w:jc w:val="right"/>
            </w:pPr>
            <w:r>
              <w:t>498</w:t>
            </w:r>
          </w:p>
        </w:tc>
        <w:tc>
          <w:tcPr>
            <w:tcW w:w="0" w:type="auto"/>
          </w:tcPr>
          <w:p w:rsidR="00F64049" w:rsidRDefault="00BE3959">
            <w:pPr>
              <w:pStyle w:val="Compact"/>
              <w:jc w:val="right"/>
            </w:pPr>
            <w:r>
              <w:t>4.5</w:t>
            </w:r>
          </w:p>
        </w:tc>
        <w:tc>
          <w:tcPr>
            <w:tcW w:w="0" w:type="auto"/>
          </w:tcPr>
          <w:p w:rsidR="00F64049" w:rsidRDefault="00BE3959">
            <w:pPr>
              <w:pStyle w:val="Compact"/>
              <w:jc w:val="right"/>
            </w:pPr>
            <w:r>
              <w:t>3.2</w:t>
            </w:r>
          </w:p>
        </w:tc>
      </w:tr>
      <w:tr w:rsidR="00F64049">
        <w:tc>
          <w:tcPr>
            <w:tcW w:w="0" w:type="auto"/>
          </w:tcPr>
          <w:p w:rsidR="00F64049" w:rsidRDefault="00BE3959">
            <w:pPr>
              <w:pStyle w:val="Compact"/>
              <w:jc w:val="left"/>
            </w:pPr>
            <w:r>
              <w:t>Métayage</w:t>
            </w:r>
          </w:p>
        </w:tc>
        <w:tc>
          <w:tcPr>
            <w:tcW w:w="0" w:type="auto"/>
          </w:tcPr>
          <w:p w:rsidR="00F64049" w:rsidRDefault="00BE3959">
            <w:pPr>
              <w:pStyle w:val="Compact"/>
              <w:jc w:val="right"/>
            </w:pPr>
            <w:r>
              <w:t>68</w:t>
            </w:r>
          </w:p>
        </w:tc>
        <w:tc>
          <w:tcPr>
            <w:tcW w:w="0" w:type="auto"/>
          </w:tcPr>
          <w:p w:rsidR="00F64049" w:rsidRDefault="00BE3959">
            <w:pPr>
              <w:pStyle w:val="Compact"/>
              <w:jc w:val="right"/>
            </w:pPr>
            <w:r>
              <w:t>0.6</w:t>
            </w:r>
          </w:p>
        </w:tc>
        <w:tc>
          <w:tcPr>
            <w:tcW w:w="0" w:type="auto"/>
          </w:tcPr>
          <w:p w:rsidR="00F64049" w:rsidRDefault="00BE3959">
            <w:pPr>
              <w:pStyle w:val="Compact"/>
              <w:jc w:val="right"/>
            </w:pPr>
            <w:r>
              <w:t>0.7</w:t>
            </w:r>
          </w:p>
        </w:tc>
      </w:tr>
    </w:tbl>
    <w:p w:rsidR="00F64049" w:rsidRDefault="00BE3959">
      <w:pPr>
        <w:pStyle w:val="Corpsdetexte"/>
      </w:pPr>
      <w:r>
        <w:t xml:space="preserve">L’héritage familial domine très nettement avec </w:t>
      </w:r>
      <w:r>
        <w:rPr>
          <w:b/>
          <w:bCs/>
        </w:rPr>
        <w:t>63 % des parcelles</w:t>
      </w:r>
      <w:r>
        <w:t xml:space="preserve"> </w:t>
      </w:r>
      <w:r>
        <w:t>en termes bruts (63.1 % en pondéré). Ce régime reflète la prépondérance du droit foncier coutumier, transmis de génération en génération au sein des familles élargies — le système dominant dans la grande majorité des communautés rurales nigérianes. La prop</w:t>
      </w:r>
      <w:r>
        <w:t>riété pleine par achat représente 11.6 % des parcelles, suivie de la location (11.1 %) et du prêt (9.1 %). Le métayage reste marginal (0.6 %). La quasi-concordance entre pourcentages bruts et pondérés confirme la bonne représentativité de l’échantillon.</w:t>
      </w:r>
    </w:p>
    <w:p w:rsidR="00F64049" w:rsidRDefault="00BE3959">
      <w:pPr>
        <w:pStyle w:val="Figure"/>
      </w:pPr>
      <w:r>
        <w:rPr>
          <w:noProof/>
          <w:lang w:eastAsia="en-US"/>
        </w:rPr>
        <w:lastRenderedPageBreak/>
        <w:drawing>
          <wp:inline distT="0" distB="0" distL="0" distR="0">
            <wp:extent cx="4206240" cy="3364992"/>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4206240" cy="3364992"/>
                    </a:xfrm>
                    <a:prstGeom prst="rect">
                      <a:avLst/>
                    </a:prstGeom>
                    <a:noFill/>
                  </pic:spPr>
                </pic:pic>
              </a:graphicData>
            </a:graphic>
          </wp:inline>
        </w:drawing>
      </w:r>
    </w:p>
    <w:p w:rsidR="00F64049" w:rsidRDefault="00BE3959">
      <w:pPr>
        <w:pStyle w:val="ImageCaption"/>
      </w:pPr>
      <w:r>
        <w:rPr>
          <w:b/>
        </w:rPr>
        <w:t xml:space="preserve">Figure </w:t>
      </w:r>
      <w:bookmarkStart w:id="48" w:name="fig-t21-barplot"/>
      <w:r>
        <w:rPr>
          <w:b/>
        </w:rPr>
        <w:fldChar w:fldCharType="begin"/>
      </w:r>
      <w:r>
        <w:rPr>
          <w:b/>
        </w:rPr>
        <w:instrText>SEQ fig \* Arabic</w:instrText>
      </w:r>
      <w:r>
        <w:rPr>
          <w:b/>
        </w:rPr>
        <w:fldChar w:fldCharType="separate"/>
      </w:r>
      <w:r>
        <w:rPr>
          <w:b/>
          <w:noProof/>
        </w:rPr>
        <w:t>8</w:t>
      </w:r>
      <w:r>
        <w:rPr>
          <w:b/>
        </w:rPr>
        <w:fldChar w:fldCharType="end"/>
      </w:r>
      <w:bookmarkEnd w:id="48"/>
      <w:r>
        <w:rPr>
          <w:b/>
        </w:rPr>
        <w:t xml:space="preserve">: </w:t>
      </w:r>
      <w:r>
        <w:t>Répartition des régimes de tenure foncière (effectifs bruts, classés par fréquence décroissante)</w:t>
      </w:r>
    </w:p>
    <w:p w:rsidR="00F64049" w:rsidRDefault="00BE3959">
      <w:pPr>
        <w:pStyle w:val="Titre2"/>
      </w:pPr>
      <w:bookmarkStart w:id="49" w:name="X31bb1c718fdc9db2d2f9b2c1052def6f716375a"/>
      <w:bookmarkStart w:id="50" w:name="_Toc226981228"/>
      <w:bookmarkEnd w:id="46"/>
      <w:r>
        <w:t>4.2 Association entre tenure et milieu de résidence</w:t>
      </w:r>
      <w:bookmarkEnd w:id="50"/>
    </w:p>
    <w:p w:rsidR="00F64049" w:rsidRDefault="00BE3959">
      <w:pPr>
        <w:pStyle w:val="Titre3"/>
      </w:pPr>
      <w:bookmarkStart w:id="51" w:name="test-du-χ²-dindépendance"/>
      <w:bookmarkStart w:id="52" w:name="_Toc226981229"/>
      <w:r>
        <w:t>4.2.1 Test du χ² d’indépendance</w:t>
      </w:r>
      <w:bookmarkEnd w:id="52"/>
    </w:p>
    <w:p w:rsidR="00F64049" w:rsidRDefault="00BE3959">
      <w:pPr>
        <w:pStyle w:val="FirstParagraph"/>
      </w:pPr>
      <w:r>
        <w:t>L’économie foncière nigériane présente une dualité bien documentée : droits coutumiers d’héritage en zone rurale, marchés fonciers formels (achat, location) en zone urbaine sous l’effet de la pression démographique et de la monétarisation. La tâche 21 test</w:t>
      </w:r>
      <w:r>
        <w:t>e statistiquement cette hypothèse.</w:t>
      </w:r>
    </w:p>
    <w:p w:rsidR="00F64049" w:rsidRDefault="00BE3959">
      <w:pPr>
        <w:pStyle w:val="Corpsdetexte"/>
      </w:pPr>
      <w:r>
        <w:t xml:space="preserve">Le </w:t>
      </w:r>
      <w:r>
        <w:rPr>
          <w:b/>
          <w:bCs/>
        </w:rPr>
        <w:t>test du χ² d’indépendance</w:t>
      </w:r>
      <w:r>
        <w:t xml:space="preserve"> est l’outil approprié pour évaluer l’existence d’une association entre deux variables catégorielles nominales. L’hypothèse nulle H₀ stipule que la distribution des modes de tenure est identiqu</w:t>
      </w:r>
      <w:r>
        <w:t>e dans les deux milieux.</w:t>
      </w:r>
    </w:p>
    <w:p w:rsidR="00F64049" w:rsidRDefault="00BE3959">
      <w:pPr>
        <w:pStyle w:val="Normalcentr"/>
      </w:pPr>
      <w:r>
        <w:rPr>
          <w:b/>
          <w:bCs/>
        </w:rPr>
        <w:t>χ²(5) = 508.72</w:t>
      </w:r>
      <w:r>
        <w:t xml:space="preserve"> | p-valeur = 1.05e-107 Effectif théorique minimum = 10.17 — Validité du test : Oui</w:t>
      </w:r>
    </w:p>
    <w:p w:rsidR="00F64049" w:rsidRDefault="00BE3959">
      <w:pPr>
        <w:pStyle w:val="FirstParagraph"/>
      </w:pPr>
      <w:r>
        <w:lastRenderedPageBreak/>
        <w:t xml:space="preserve">Le test est </w:t>
      </w:r>
      <w:r>
        <w:rPr>
          <w:b/>
          <w:bCs/>
        </w:rPr>
        <w:t>hautement significatif</w:t>
      </w:r>
      <w:r>
        <w:t xml:space="preserve"> (p ≈ 10⁻¹⁰⁸), conduisant au rejet catégorique de H₀. La validité formelle est assurée : l’effectif</w:t>
      </w:r>
      <w:r>
        <w:t xml:space="preserve"> théorique minimum (10.17) dépasse le seuil de 5 requis pour la validité de l’approximation chi-deux.</w:t>
      </w:r>
    </w:p>
    <w:p w:rsidR="00F64049" w:rsidRDefault="00BE3959">
      <w:pPr>
        <w:pStyle w:val="Titre3"/>
      </w:pPr>
      <w:bookmarkStart w:id="53" w:name="résidus-standardisés-dhaberman"/>
      <w:bookmarkStart w:id="54" w:name="_Toc226981230"/>
      <w:bookmarkEnd w:id="51"/>
      <w:r>
        <w:t>4.2.2 Résidus standardisés d’Haberman</w:t>
      </w:r>
      <w:bookmarkEnd w:id="54"/>
    </w:p>
    <w:p w:rsidR="00F64049" w:rsidRDefault="00BE3959">
      <w:pPr>
        <w:pStyle w:val="FirstParagraph"/>
      </w:pPr>
      <w:r>
        <w:t xml:space="preserve">Le test du χ² détecte une dépendance globale, mais ne localise pas sa source. Les </w:t>
      </w:r>
      <w:r>
        <w:rPr>
          <w:b/>
          <w:bCs/>
        </w:rPr>
        <w:t>résidus standardisés d’Haberman</w:t>
      </w:r>
      <w:r>
        <w:t xml:space="preserve"> id</w:t>
      </w:r>
      <w:r>
        <w:t>entifient précisément les cellules qui contribuent le plus à l’association : un résidu en valeur absolue supérieur à 2 indique une contribution significative au seuil de 5 % ; au-delà de 3,5, la contribution est extrêmement forte.</w:t>
      </w:r>
    </w:p>
    <w:p w:rsidR="00F64049" w:rsidRDefault="00BE3959">
      <w:pPr>
        <w:pStyle w:val="TableCaption"/>
      </w:pPr>
      <w:r>
        <w:t>Résidus standardisés d’Ha</w:t>
      </w:r>
      <w:r>
        <w:t>berman — χ² (tenure × milieu de résidence)</w:t>
      </w:r>
    </w:p>
    <w:tbl>
      <w:tblPr>
        <w:tblStyle w:val="Table"/>
        <w:tblW w:w="0" w:type="auto"/>
        <w:tblLook w:val="0020" w:firstRow="1" w:lastRow="0" w:firstColumn="0" w:lastColumn="0" w:noHBand="0" w:noVBand="0"/>
        <w:tblCaption w:val="Résidus standardisés d’Haberman — χ² (tenure × milieu de résidence)"/>
      </w:tblPr>
      <w:tblGrid>
        <w:gridCol w:w="1909"/>
        <w:gridCol w:w="1370"/>
        <w:gridCol w:w="1530"/>
      </w:tblGrid>
      <w:tr w:rsidR="00F64049" w:rsidTr="00F64049">
        <w:trPr>
          <w:cnfStyle w:val="100000000000" w:firstRow="1" w:lastRow="0" w:firstColumn="0" w:lastColumn="0" w:oddVBand="0" w:evenVBand="0" w:oddHBand="0" w:evenHBand="0" w:firstRowFirstColumn="0" w:firstRowLastColumn="0" w:lastRowFirstColumn="0" w:lastRowLastColumn="0"/>
          <w:tblHeader/>
        </w:trPr>
        <w:tc>
          <w:tcPr>
            <w:tcW w:w="0" w:type="auto"/>
          </w:tcPr>
          <w:p w:rsidR="00F64049" w:rsidRDefault="00BE3959">
            <w:pPr>
              <w:pStyle w:val="Compact"/>
              <w:jc w:val="left"/>
            </w:pPr>
            <w:r>
              <w:t>Régime de tenure</w:t>
            </w:r>
          </w:p>
        </w:tc>
        <w:tc>
          <w:tcPr>
            <w:tcW w:w="0" w:type="auto"/>
          </w:tcPr>
          <w:p w:rsidR="00F64049" w:rsidRDefault="00BE3959">
            <w:pPr>
              <w:pStyle w:val="Compact"/>
              <w:jc w:val="right"/>
            </w:pPr>
            <w:r>
              <w:t>Milieu rural</w:t>
            </w:r>
          </w:p>
        </w:tc>
        <w:tc>
          <w:tcPr>
            <w:tcW w:w="0" w:type="auto"/>
          </w:tcPr>
          <w:p w:rsidR="00F64049" w:rsidRDefault="00BE3959">
            <w:pPr>
              <w:pStyle w:val="Compact"/>
              <w:jc w:val="right"/>
            </w:pPr>
            <w:r>
              <w:t>Milieu urbain</w:t>
            </w:r>
          </w:p>
        </w:tc>
      </w:tr>
      <w:tr w:rsidR="00F64049">
        <w:tc>
          <w:tcPr>
            <w:tcW w:w="0" w:type="auto"/>
          </w:tcPr>
          <w:p w:rsidR="00F64049" w:rsidRDefault="00BE3959">
            <w:pPr>
              <w:pStyle w:val="Compact"/>
              <w:jc w:val="left"/>
            </w:pPr>
            <w:r>
              <w:t>Héritage</w:t>
            </w:r>
          </w:p>
        </w:tc>
        <w:tc>
          <w:tcPr>
            <w:tcW w:w="0" w:type="auto"/>
          </w:tcPr>
          <w:p w:rsidR="00F64049" w:rsidRDefault="00BE3959">
            <w:pPr>
              <w:pStyle w:val="Compact"/>
              <w:jc w:val="right"/>
            </w:pPr>
            <w:r>
              <w:t>18.85</w:t>
            </w:r>
          </w:p>
        </w:tc>
        <w:tc>
          <w:tcPr>
            <w:tcW w:w="0" w:type="auto"/>
          </w:tcPr>
          <w:p w:rsidR="00F64049" w:rsidRDefault="00BE3959">
            <w:pPr>
              <w:pStyle w:val="Compact"/>
              <w:jc w:val="right"/>
            </w:pPr>
            <w:r>
              <w:t>-18.85</w:t>
            </w:r>
          </w:p>
        </w:tc>
      </w:tr>
      <w:tr w:rsidR="00F64049">
        <w:tc>
          <w:tcPr>
            <w:tcW w:w="0" w:type="auto"/>
          </w:tcPr>
          <w:p w:rsidR="00F64049" w:rsidRDefault="00BE3959">
            <w:pPr>
              <w:pStyle w:val="Compact"/>
              <w:jc w:val="left"/>
            </w:pPr>
            <w:r>
              <w:t>Propriété pleine</w:t>
            </w:r>
          </w:p>
        </w:tc>
        <w:tc>
          <w:tcPr>
            <w:tcW w:w="0" w:type="auto"/>
          </w:tcPr>
          <w:p w:rsidR="00F64049" w:rsidRDefault="00BE3959">
            <w:pPr>
              <w:pStyle w:val="Compact"/>
              <w:jc w:val="right"/>
            </w:pPr>
            <w:r>
              <w:t>-15.94</w:t>
            </w:r>
          </w:p>
        </w:tc>
        <w:tc>
          <w:tcPr>
            <w:tcW w:w="0" w:type="auto"/>
          </w:tcPr>
          <w:p w:rsidR="00F64049" w:rsidRDefault="00BE3959">
            <w:pPr>
              <w:pStyle w:val="Compact"/>
              <w:jc w:val="right"/>
            </w:pPr>
            <w:r>
              <w:t>15.94</w:t>
            </w:r>
          </w:p>
        </w:tc>
      </w:tr>
      <w:tr w:rsidR="00F64049">
        <w:tc>
          <w:tcPr>
            <w:tcW w:w="0" w:type="auto"/>
          </w:tcPr>
          <w:p w:rsidR="00F64049" w:rsidRDefault="00BE3959">
            <w:pPr>
              <w:pStyle w:val="Compact"/>
              <w:jc w:val="left"/>
            </w:pPr>
            <w:r>
              <w:t>Location</w:t>
            </w:r>
          </w:p>
        </w:tc>
        <w:tc>
          <w:tcPr>
            <w:tcW w:w="0" w:type="auto"/>
          </w:tcPr>
          <w:p w:rsidR="00F64049" w:rsidRDefault="00BE3959">
            <w:pPr>
              <w:pStyle w:val="Compact"/>
              <w:jc w:val="right"/>
            </w:pPr>
            <w:r>
              <w:t>-9.79</w:t>
            </w:r>
          </w:p>
        </w:tc>
        <w:tc>
          <w:tcPr>
            <w:tcW w:w="0" w:type="auto"/>
          </w:tcPr>
          <w:p w:rsidR="00F64049" w:rsidRDefault="00BE3959">
            <w:pPr>
              <w:pStyle w:val="Compact"/>
              <w:jc w:val="right"/>
            </w:pPr>
            <w:r>
              <w:t>9.79</w:t>
            </w:r>
          </w:p>
        </w:tc>
      </w:tr>
      <w:tr w:rsidR="00F64049">
        <w:tc>
          <w:tcPr>
            <w:tcW w:w="0" w:type="auto"/>
          </w:tcPr>
          <w:p w:rsidR="00F64049" w:rsidRDefault="00BE3959">
            <w:pPr>
              <w:pStyle w:val="Compact"/>
              <w:jc w:val="left"/>
            </w:pPr>
            <w:r>
              <w:t>Prêt</w:t>
            </w:r>
          </w:p>
        </w:tc>
        <w:tc>
          <w:tcPr>
            <w:tcW w:w="0" w:type="auto"/>
          </w:tcPr>
          <w:p w:rsidR="00F64049" w:rsidRDefault="00BE3959">
            <w:pPr>
              <w:pStyle w:val="Compact"/>
              <w:jc w:val="right"/>
            </w:pPr>
            <w:r>
              <w:t>-5.78</w:t>
            </w:r>
          </w:p>
        </w:tc>
        <w:tc>
          <w:tcPr>
            <w:tcW w:w="0" w:type="auto"/>
          </w:tcPr>
          <w:p w:rsidR="00F64049" w:rsidRDefault="00BE3959">
            <w:pPr>
              <w:pStyle w:val="Compact"/>
              <w:jc w:val="right"/>
            </w:pPr>
            <w:r>
              <w:t>5.78</w:t>
            </w:r>
          </w:p>
        </w:tc>
      </w:tr>
      <w:tr w:rsidR="00F64049">
        <w:tc>
          <w:tcPr>
            <w:tcW w:w="0" w:type="auto"/>
          </w:tcPr>
          <w:p w:rsidR="00F64049" w:rsidRDefault="00BE3959">
            <w:pPr>
              <w:pStyle w:val="Compact"/>
              <w:jc w:val="left"/>
            </w:pPr>
            <w:r>
              <w:t>Autre</w:t>
            </w:r>
          </w:p>
        </w:tc>
        <w:tc>
          <w:tcPr>
            <w:tcW w:w="0" w:type="auto"/>
          </w:tcPr>
          <w:p w:rsidR="00F64049" w:rsidRDefault="00BE3959">
            <w:pPr>
              <w:pStyle w:val="Compact"/>
              <w:jc w:val="right"/>
            </w:pPr>
            <w:r>
              <w:t>4.95</w:t>
            </w:r>
          </w:p>
        </w:tc>
        <w:tc>
          <w:tcPr>
            <w:tcW w:w="0" w:type="auto"/>
          </w:tcPr>
          <w:p w:rsidR="00F64049" w:rsidRDefault="00BE3959">
            <w:pPr>
              <w:pStyle w:val="Compact"/>
              <w:jc w:val="right"/>
            </w:pPr>
            <w:r>
              <w:t>-4.95</w:t>
            </w:r>
          </w:p>
        </w:tc>
      </w:tr>
      <w:tr w:rsidR="00F64049">
        <w:tc>
          <w:tcPr>
            <w:tcW w:w="0" w:type="auto"/>
          </w:tcPr>
          <w:p w:rsidR="00F64049" w:rsidRDefault="00BE3959">
            <w:pPr>
              <w:pStyle w:val="Compact"/>
              <w:jc w:val="left"/>
            </w:pPr>
            <w:r>
              <w:t>Métayage</w:t>
            </w:r>
          </w:p>
        </w:tc>
        <w:tc>
          <w:tcPr>
            <w:tcW w:w="0" w:type="auto"/>
          </w:tcPr>
          <w:p w:rsidR="00F64049" w:rsidRDefault="00BE3959">
            <w:pPr>
              <w:pStyle w:val="Compact"/>
              <w:jc w:val="right"/>
            </w:pPr>
            <w:r>
              <w:t>-3.69</w:t>
            </w:r>
          </w:p>
        </w:tc>
        <w:tc>
          <w:tcPr>
            <w:tcW w:w="0" w:type="auto"/>
          </w:tcPr>
          <w:p w:rsidR="00F64049" w:rsidRDefault="00BE3959">
            <w:pPr>
              <w:pStyle w:val="Compact"/>
              <w:jc w:val="right"/>
            </w:pPr>
            <w:r>
              <w:t>3.69</w:t>
            </w:r>
          </w:p>
        </w:tc>
      </w:tr>
    </w:tbl>
    <w:p w:rsidR="00F64049" w:rsidRDefault="00BE3959">
      <w:pPr>
        <w:pStyle w:val="Corpsdetexte"/>
      </w:pPr>
      <w:r>
        <w:t xml:space="preserve">La lecture est sans ambiguïté. En </w:t>
      </w:r>
      <w:r>
        <w:rPr>
          <w:b/>
          <w:bCs/>
        </w:rPr>
        <w:t>milieu rural</w:t>
      </w:r>
      <w:r>
        <w:t xml:space="preserve">, l’héritage est massivement sur-représenté (résidu = +18.85) et la propriété pleine fortement sous-représentée (−15.94). En </w:t>
      </w:r>
      <w:r>
        <w:rPr>
          <w:b/>
          <w:bCs/>
        </w:rPr>
        <w:t>milieu urbain</w:t>
      </w:r>
      <w:r>
        <w:t>, le patron s’inverse exactement : la propriété par achat est sur-représentée (+15.94), de même que la loc</w:t>
      </w:r>
      <w:r>
        <w:t>ation (+9.79) et le prêt (+5.78).</w:t>
      </w:r>
    </w:p>
    <w:p w:rsidR="00F64049" w:rsidRDefault="00BE3959">
      <w:pPr>
        <w:pStyle w:val="Corpsdetexte"/>
      </w:pPr>
      <w:r>
        <w:t xml:space="preserve">Ces résultats confirment et quantifient la </w:t>
      </w:r>
      <w:r>
        <w:rPr>
          <w:b/>
          <w:bCs/>
        </w:rPr>
        <w:t>dualité structurelle du système foncier nigérian</w:t>
      </w:r>
      <w:r>
        <w:t xml:space="preserve"> : le monde rural fonctionne selon la logique du droit coutumier, où la terre est un bien collectif familial non commercialisable ;</w:t>
      </w:r>
      <w:r>
        <w:t xml:space="preserve"> le monde urbain obéit de plus en plus à une logique marchande, où la terre s’achète, se loue et se prête selon des mécanismes de marché.</w:t>
      </w:r>
    </w:p>
    <w:p w:rsidR="00F64049" w:rsidRDefault="00BE3959">
      <w:pPr>
        <w:pStyle w:val="Figure"/>
      </w:pPr>
      <w:r>
        <w:rPr>
          <w:noProof/>
          <w:lang w:eastAsia="en-US"/>
        </w:rPr>
        <w:lastRenderedPageBreak/>
        <w:drawing>
          <wp:inline distT="0" distB="0" distL="0" distR="0">
            <wp:extent cx="4206240" cy="3364992"/>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4206240" cy="3364992"/>
                    </a:xfrm>
                    <a:prstGeom prst="rect">
                      <a:avLst/>
                    </a:prstGeom>
                    <a:noFill/>
                  </pic:spPr>
                </pic:pic>
              </a:graphicData>
            </a:graphic>
          </wp:inline>
        </w:drawing>
      </w:r>
    </w:p>
    <w:p w:rsidR="00F64049" w:rsidRDefault="00BE3959">
      <w:pPr>
        <w:pStyle w:val="ImageCaption"/>
      </w:pPr>
      <w:r>
        <w:rPr>
          <w:b/>
        </w:rPr>
        <w:t xml:space="preserve">Figure </w:t>
      </w:r>
      <w:bookmarkStart w:id="55" w:name="fig-t21-milieu"/>
      <w:r>
        <w:rPr>
          <w:b/>
        </w:rPr>
        <w:fldChar w:fldCharType="begin"/>
      </w:r>
      <w:r>
        <w:rPr>
          <w:b/>
        </w:rPr>
        <w:instrText>SEQ fig \* Arabic</w:instrText>
      </w:r>
      <w:r>
        <w:rPr>
          <w:b/>
        </w:rPr>
        <w:fldChar w:fldCharType="separate"/>
      </w:r>
      <w:r>
        <w:rPr>
          <w:b/>
          <w:noProof/>
        </w:rPr>
        <w:t>9</w:t>
      </w:r>
      <w:r>
        <w:rPr>
          <w:b/>
        </w:rPr>
        <w:fldChar w:fldCharType="end"/>
      </w:r>
      <w:bookmarkEnd w:id="55"/>
      <w:r>
        <w:rPr>
          <w:b/>
        </w:rPr>
        <w:t xml:space="preserve">: </w:t>
      </w:r>
      <w:r>
        <w:t>Répartition des régimes de tenure foncière par milieu de résidence</w:t>
      </w:r>
    </w:p>
    <w:p w:rsidR="00F64049" w:rsidRDefault="00BE3959">
      <w:r>
        <w:br w:type="page"/>
      </w:r>
    </w:p>
    <w:p w:rsidR="00F64049" w:rsidRDefault="00BE3959">
      <w:pPr>
        <w:pStyle w:val="Titre1"/>
      </w:pPr>
      <w:bookmarkStart w:id="56" w:name="X58994488c88664560741de5f0dd497437f77868"/>
      <w:bookmarkStart w:id="57" w:name="_Toc226981231"/>
      <w:bookmarkEnd w:id="44"/>
      <w:bookmarkEnd w:id="49"/>
      <w:bookmarkEnd w:id="53"/>
      <w:r>
        <w:lastRenderedPageBreak/>
        <w:t>5. Superficie totale et fragmentation foncière (Tâche 23)</w:t>
      </w:r>
      <w:bookmarkEnd w:id="57"/>
    </w:p>
    <w:p w:rsidR="00F64049" w:rsidRDefault="00BE3959">
      <w:pPr>
        <w:pStyle w:val="Titre2"/>
      </w:pPr>
      <w:bookmarkStart w:id="58" w:name="cadre-analytique"/>
      <w:bookmarkStart w:id="59" w:name="_Toc226981232"/>
      <w:r>
        <w:t>5.1 Cadre analytique</w:t>
      </w:r>
      <w:bookmarkEnd w:id="59"/>
    </w:p>
    <w:p w:rsidR="00F64049" w:rsidRDefault="00BE3959">
      <w:pPr>
        <w:pStyle w:val="FirstParagraph"/>
      </w:pPr>
      <w:r>
        <w:t xml:space="preserve">La </w:t>
      </w:r>
      <w:r>
        <w:rPr>
          <w:b/>
          <w:bCs/>
        </w:rPr>
        <w:t>fragmentation foncière</w:t>
      </w:r>
      <w:r>
        <w:t xml:space="preserve"> désigne le fait pour un exploitant de cultiver plusieurs parcelles distinctes et non contiguës plutôt qu’une seule surface équivalente. Elle est souven</w:t>
      </w:r>
      <w:r>
        <w:t xml:space="preserve">t présentée comme un obstacle à la mécanisation et à l’efficacité productive. La tâche 23 examine une question précise : </w:t>
      </w:r>
      <w:r>
        <w:rPr>
          <w:b/>
          <w:bCs/>
        </w:rPr>
        <w:t>les ménages avec plus de parcelles cultivent-ils nécessairement de plus grandes superficies totales ?</w:t>
      </w:r>
    </w:p>
    <w:p w:rsidR="00F64049" w:rsidRDefault="00BE3959">
      <w:pPr>
        <w:pStyle w:val="Corpsdetexte"/>
      </w:pPr>
      <w:r>
        <w:t>Une forte corrélation suggèrerait</w:t>
      </w:r>
      <w:r>
        <w:t xml:space="preserve"> que l’accumulation foncière se fait par ajout de nouvelles parcelles — logique cohérente avec un système d’héritage où chaque héritier reçoit une parcelle supplémentaire. Une faible corrélation indiquerait que la taille individuelle des parcelles est le d</w:t>
      </w:r>
      <w:r>
        <w:t>éterminant dominant.</w:t>
      </w:r>
    </w:p>
    <w:p w:rsidR="00F64049" w:rsidRDefault="00BE3959">
      <w:pPr>
        <w:pStyle w:val="Titre2"/>
      </w:pPr>
      <w:bookmarkStart w:id="60" w:name="superficie-selon-le-nombre-de-parcelles"/>
      <w:bookmarkStart w:id="61" w:name="_Toc226981233"/>
      <w:bookmarkEnd w:id="58"/>
      <w:r>
        <w:t>5.2 Superficie selon le nombre de parcelles</w:t>
      </w:r>
      <w:bookmarkEnd w:id="61"/>
    </w:p>
    <w:p w:rsidR="00F64049" w:rsidRDefault="00BE3959">
      <w:pPr>
        <w:pStyle w:val="TableCaption"/>
      </w:pPr>
      <w:r>
        <w:t>Superficie totale du ménage (ha) selon le nombre de parcelles cultivées</w:t>
      </w:r>
    </w:p>
    <w:tbl>
      <w:tblPr>
        <w:tblStyle w:val="Table"/>
        <w:tblW w:w="5000" w:type="pct"/>
        <w:tblLayout w:type="fixed"/>
        <w:tblLook w:val="0020" w:firstRow="1" w:lastRow="0" w:firstColumn="0" w:lastColumn="0" w:noHBand="0" w:noVBand="0"/>
        <w:tblCaption w:val="Superficie totale du ménage (ha) selon le nombre de parcelles cultivées"/>
      </w:tblPr>
      <w:tblGrid>
        <w:gridCol w:w="1826"/>
        <w:gridCol w:w="1404"/>
        <w:gridCol w:w="1825"/>
        <w:gridCol w:w="1825"/>
        <w:gridCol w:w="1263"/>
        <w:gridCol w:w="1263"/>
      </w:tblGrid>
      <w:tr w:rsidR="00F64049" w:rsidTr="00F64049">
        <w:trPr>
          <w:cnfStyle w:val="100000000000" w:firstRow="1" w:lastRow="0" w:firstColumn="0" w:lastColumn="0" w:oddVBand="0" w:evenVBand="0" w:oddHBand="0" w:evenHBand="0" w:firstRowFirstColumn="0" w:firstRowLastColumn="0" w:lastRowFirstColumn="0" w:lastRowLastColumn="0"/>
          <w:tblHeader/>
        </w:trPr>
        <w:tc>
          <w:tcPr>
            <w:tcW w:w="1536" w:type="dxa"/>
          </w:tcPr>
          <w:p w:rsidR="00F64049" w:rsidRDefault="00BE3959">
            <w:pPr>
              <w:pStyle w:val="Compact"/>
              <w:jc w:val="right"/>
            </w:pPr>
            <w:r>
              <w:t>Nb parcelles</w:t>
            </w:r>
          </w:p>
        </w:tc>
        <w:tc>
          <w:tcPr>
            <w:tcW w:w="1182" w:type="dxa"/>
          </w:tcPr>
          <w:p w:rsidR="00F64049" w:rsidRDefault="00BE3959">
            <w:pPr>
              <w:pStyle w:val="Compact"/>
              <w:jc w:val="right"/>
            </w:pPr>
            <w:r>
              <w:t>n ménages</w:t>
            </w:r>
          </w:p>
        </w:tc>
        <w:tc>
          <w:tcPr>
            <w:tcW w:w="1536" w:type="dxa"/>
          </w:tcPr>
          <w:p w:rsidR="00F64049" w:rsidRDefault="00BE3959">
            <w:pPr>
              <w:pStyle w:val="Compact"/>
              <w:jc w:val="right"/>
            </w:pPr>
            <w:r>
              <w:t>Médiane (ha)</w:t>
            </w:r>
          </w:p>
        </w:tc>
        <w:tc>
          <w:tcPr>
            <w:tcW w:w="1536" w:type="dxa"/>
          </w:tcPr>
          <w:p w:rsidR="00F64049" w:rsidRDefault="00BE3959">
            <w:pPr>
              <w:pStyle w:val="Compact"/>
              <w:jc w:val="right"/>
            </w:pPr>
            <w:r>
              <w:t>Moyenne (ha)</w:t>
            </w:r>
          </w:p>
        </w:tc>
        <w:tc>
          <w:tcPr>
            <w:tcW w:w="1063" w:type="dxa"/>
          </w:tcPr>
          <w:p w:rsidR="00F64049" w:rsidRDefault="00BE3959">
            <w:pPr>
              <w:pStyle w:val="Compact"/>
              <w:jc w:val="right"/>
            </w:pPr>
            <w:r>
              <w:t>P25 (ha)</w:t>
            </w:r>
          </w:p>
        </w:tc>
        <w:tc>
          <w:tcPr>
            <w:tcW w:w="1063" w:type="dxa"/>
          </w:tcPr>
          <w:p w:rsidR="00F64049" w:rsidRDefault="00BE3959">
            <w:pPr>
              <w:pStyle w:val="Compact"/>
              <w:jc w:val="right"/>
            </w:pPr>
            <w:r>
              <w:t>P75 (ha)</w:t>
            </w:r>
          </w:p>
        </w:tc>
      </w:tr>
      <w:tr w:rsidR="00F64049">
        <w:tc>
          <w:tcPr>
            <w:tcW w:w="1536" w:type="dxa"/>
          </w:tcPr>
          <w:p w:rsidR="00F64049" w:rsidRDefault="00BE3959">
            <w:pPr>
              <w:pStyle w:val="Compact"/>
              <w:jc w:val="right"/>
            </w:pPr>
            <w:r>
              <w:t>1</w:t>
            </w:r>
          </w:p>
        </w:tc>
        <w:tc>
          <w:tcPr>
            <w:tcW w:w="1182" w:type="dxa"/>
          </w:tcPr>
          <w:p w:rsidR="00F64049" w:rsidRDefault="00BE3959">
            <w:pPr>
              <w:pStyle w:val="Compact"/>
              <w:jc w:val="right"/>
            </w:pPr>
            <w:r>
              <w:t>461</w:t>
            </w:r>
          </w:p>
        </w:tc>
        <w:tc>
          <w:tcPr>
            <w:tcW w:w="1536" w:type="dxa"/>
          </w:tcPr>
          <w:p w:rsidR="00F64049" w:rsidRDefault="00BE3959">
            <w:pPr>
              <w:pStyle w:val="Compact"/>
              <w:jc w:val="right"/>
            </w:pPr>
            <w:r>
              <w:t>0.381</w:t>
            </w:r>
          </w:p>
        </w:tc>
        <w:tc>
          <w:tcPr>
            <w:tcW w:w="1536" w:type="dxa"/>
          </w:tcPr>
          <w:p w:rsidR="00F64049" w:rsidRDefault="00BE3959">
            <w:pPr>
              <w:pStyle w:val="Compact"/>
              <w:jc w:val="right"/>
            </w:pPr>
            <w:r>
              <w:t>0.793</w:t>
            </w:r>
          </w:p>
        </w:tc>
        <w:tc>
          <w:tcPr>
            <w:tcW w:w="1063" w:type="dxa"/>
          </w:tcPr>
          <w:p w:rsidR="00F64049" w:rsidRDefault="00BE3959">
            <w:pPr>
              <w:pStyle w:val="Compact"/>
              <w:jc w:val="right"/>
            </w:pPr>
            <w:r>
              <w:t>0.125</w:t>
            </w:r>
          </w:p>
        </w:tc>
        <w:tc>
          <w:tcPr>
            <w:tcW w:w="1063" w:type="dxa"/>
          </w:tcPr>
          <w:p w:rsidR="00F64049" w:rsidRDefault="00BE3959">
            <w:pPr>
              <w:pStyle w:val="Compact"/>
              <w:jc w:val="right"/>
            </w:pPr>
            <w:r>
              <w:t>0.909</w:t>
            </w:r>
          </w:p>
        </w:tc>
      </w:tr>
      <w:tr w:rsidR="00F64049">
        <w:tc>
          <w:tcPr>
            <w:tcW w:w="1536" w:type="dxa"/>
          </w:tcPr>
          <w:p w:rsidR="00F64049" w:rsidRDefault="00BE3959">
            <w:pPr>
              <w:pStyle w:val="Compact"/>
              <w:jc w:val="right"/>
            </w:pPr>
            <w:r>
              <w:t>2</w:t>
            </w:r>
          </w:p>
        </w:tc>
        <w:tc>
          <w:tcPr>
            <w:tcW w:w="1182" w:type="dxa"/>
          </w:tcPr>
          <w:p w:rsidR="00F64049" w:rsidRDefault="00BE3959">
            <w:pPr>
              <w:pStyle w:val="Compact"/>
              <w:jc w:val="right"/>
            </w:pPr>
            <w:r>
              <w:t>847</w:t>
            </w:r>
          </w:p>
        </w:tc>
        <w:tc>
          <w:tcPr>
            <w:tcW w:w="1536" w:type="dxa"/>
          </w:tcPr>
          <w:p w:rsidR="00F64049" w:rsidRDefault="00BE3959">
            <w:pPr>
              <w:pStyle w:val="Compact"/>
              <w:jc w:val="right"/>
            </w:pPr>
            <w:r>
              <w:t>0.556</w:t>
            </w:r>
          </w:p>
        </w:tc>
        <w:tc>
          <w:tcPr>
            <w:tcW w:w="1536" w:type="dxa"/>
          </w:tcPr>
          <w:p w:rsidR="00F64049" w:rsidRDefault="00BE3959">
            <w:pPr>
              <w:pStyle w:val="Compact"/>
              <w:jc w:val="right"/>
            </w:pPr>
            <w:r>
              <w:t>1.008</w:t>
            </w:r>
          </w:p>
        </w:tc>
        <w:tc>
          <w:tcPr>
            <w:tcW w:w="1063" w:type="dxa"/>
          </w:tcPr>
          <w:p w:rsidR="00F64049" w:rsidRDefault="00BE3959">
            <w:pPr>
              <w:pStyle w:val="Compact"/>
              <w:jc w:val="right"/>
            </w:pPr>
            <w:r>
              <w:t>0.192</w:t>
            </w:r>
          </w:p>
        </w:tc>
        <w:tc>
          <w:tcPr>
            <w:tcW w:w="1063" w:type="dxa"/>
          </w:tcPr>
          <w:p w:rsidR="00F64049" w:rsidRDefault="00BE3959">
            <w:pPr>
              <w:pStyle w:val="Compact"/>
              <w:jc w:val="right"/>
            </w:pPr>
            <w:r>
              <w:t>1.303</w:t>
            </w:r>
          </w:p>
        </w:tc>
      </w:tr>
      <w:tr w:rsidR="00F64049">
        <w:tc>
          <w:tcPr>
            <w:tcW w:w="1536" w:type="dxa"/>
          </w:tcPr>
          <w:p w:rsidR="00F64049" w:rsidRDefault="00BE3959">
            <w:pPr>
              <w:pStyle w:val="Compact"/>
              <w:jc w:val="right"/>
            </w:pPr>
            <w:r>
              <w:t>3</w:t>
            </w:r>
          </w:p>
        </w:tc>
        <w:tc>
          <w:tcPr>
            <w:tcW w:w="1182" w:type="dxa"/>
          </w:tcPr>
          <w:p w:rsidR="00F64049" w:rsidRDefault="00BE3959">
            <w:pPr>
              <w:pStyle w:val="Compact"/>
              <w:jc w:val="right"/>
            </w:pPr>
            <w:r>
              <w:t>880</w:t>
            </w:r>
          </w:p>
        </w:tc>
        <w:tc>
          <w:tcPr>
            <w:tcW w:w="1536" w:type="dxa"/>
          </w:tcPr>
          <w:p w:rsidR="00F64049" w:rsidRDefault="00BE3959">
            <w:pPr>
              <w:pStyle w:val="Compact"/>
              <w:jc w:val="right"/>
            </w:pPr>
            <w:r>
              <w:t>0.696</w:t>
            </w:r>
          </w:p>
        </w:tc>
        <w:tc>
          <w:tcPr>
            <w:tcW w:w="1536" w:type="dxa"/>
          </w:tcPr>
          <w:p w:rsidR="00F64049" w:rsidRDefault="00BE3959">
            <w:pPr>
              <w:pStyle w:val="Compact"/>
              <w:jc w:val="right"/>
            </w:pPr>
            <w:r>
              <w:t>1.182</w:t>
            </w:r>
          </w:p>
        </w:tc>
        <w:tc>
          <w:tcPr>
            <w:tcW w:w="1063" w:type="dxa"/>
          </w:tcPr>
          <w:p w:rsidR="00F64049" w:rsidRDefault="00BE3959">
            <w:pPr>
              <w:pStyle w:val="Compact"/>
              <w:jc w:val="right"/>
            </w:pPr>
            <w:r>
              <w:t>0.262</w:t>
            </w:r>
          </w:p>
        </w:tc>
        <w:tc>
          <w:tcPr>
            <w:tcW w:w="1063" w:type="dxa"/>
          </w:tcPr>
          <w:p w:rsidR="00F64049" w:rsidRDefault="00BE3959">
            <w:pPr>
              <w:pStyle w:val="Compact"/>
              <w:jc w:val="right"/>
            </w:pPr>
            <w:r>
              <w:t>1.521</w:t>
            </w:r>
          </w:p>
        </w:tc>
      </w:tr>
      <w:tr w:rsidR="00F64049">
        <w:tc>
          <w:tcPr>
            <w:tcW w:w="1536" w:type="dxa"/>
          </w:tcPr>
          <w:p w:rsidR="00F64049" w:rsidRDefault="00BE3959">
            <w:pPr>
              <w:pStyle w:val="Compact"/>
              <w:jc w:val="right"/>
            </w:pPr>
            <w:r>
              <w:t>4</w:t>
            </w:r>
          </w:p>
        </w:tc>
        <w:tc>
          <w:tcPr>
            <w:tcW w:w="1182" w:type="dxa"/>
          </w:tcPr>
          <w:p w:rsidR="00F64049" w:rsidRDefault="00BE3959">
            <w:pPr>
              <w:pStyle w:val="Compact"/>
              <w:jc w:val="right"/>
            </w:pPr>
            <w:r>
              <w:t>458</w:t>
            </w:r>
          </w:p>
        </w:tc>
        <w:tc>
          <w:tcPr>
            <w:tcW w:w="1536" w:type="dxa"/>
          </w:tcPr>
          <w:p w:rsidR="00F64049" w:rsidRDefault="00BE3959">
            <w:pPr>
              <w:pStyle w:val="Compact"/>
              <w:jc w:val="right"/>
            </w:pPr>
            <w:r>
              <w:t>0.867</w:t>
            </w:r>
          </w:p>
        </w:tc>
        <w:tc>
          <w:tcPr>
            <w:tcW w:w="1536" w:type="dxa"/>
          </w:tcPr>
          <w:p w:rsidR="00F64049" w:rsidRDefault="00BE3959">
            <w:pPr>
              <w:pStyle w:val="Compact"/>
              <w:jc w:val="right"/>
            </w:pPr>
            <w:r>
              <w:t>1.391</w:t>
            </w:r>
          </w:p>
        </w:tc>
        <w:tc>
          <w:tcPr>
            <w:tcW w:w="1063" w:type="dxa"/>
          </w:tcPr>
          <w:p w:rsidR="00F64049" w:rsidRDefault="00BE3959">
            <w:pPr>
              <w:pStyle w:val="Compact"/>
              <w:jc w:val="right"/>
            </w:pPr>
            <w:r>
              <w:t>0.286</w:t>
            </w:r>
          </w:p>
        </w:tc>
        <w:tc>
          <w:tcPr>
            <w:tcW w:w="1063" w:type="dxa"/>
          </w:tcPr>
          <w:p w:rsidR="00F64049" w:rsidRDefault="00BE3959">
            <w:pPr>
              <w:pStyle w:val="Compact"/>
              <w:jc w:val="right"/>
            </w:pPr>
            <w:r>
              <w:t>1.872</w:t>
            </w:r>
          </w:p>
        </w:tc>
      </w:tr>
      <w:tr w:rsidR="00F64049">
        <w:tc>
          <w:tcPr>
            <w:tcW w:w="1536" w:type="dxa"/>
          </w:tcPr>
          <w:p w:rsidR="00F64049" w:rsidRDefault="00BE3959">
            <w:pPr>
              <w:pStyle w:val="Compact"/>
              <w:jc w:val="right"/>
            </w:pPr>
            <w:r>
              <w:t>5</w:t>
            </w:r>
          </w:p>
        </w:tc>
        <w:tc>
          <w:tcPr>
            <w:tcW w:w="1182" w:type="dxa"/>
          </w:tcPr>
          <w:p w:rsidR="00F64049" w:rsidRDefault="00BE3959">
            <w:pPr>
              <w:pStyle w:val="Compact"/>
              <w:jc w:val="right"/>
            </w:pPr>
            <w:r>
              <w:t>243</w:t>
            </w:r>
          </w:p>
        </w:tc>
        <w:tc>
          <w:tcPr>
            <w:tcW w:w="1536" w:type="dxa"/>
          </w:tcPr>
          <w:p w:rsidR="00F64049" w:rsidRDefault="00BE3959">
            <w:pPr>
              <w:pStyle w:val="Compact"/>
              <w:jc w:val="right"/>
            </w:pPr>
            <w:r>
              <w:t>0.821</w:t>
            </w:r>
          </w:p>
        </w:tc>
        <w:tc>
          <w:tcPr>
            <w:tcW w:w="1536" w:type="dxa"/>
          </w:tcPr>
          <w:p w:rsidR="00F64049" w:rsidRDefault="00BE3959">
            <w:pPr>
              <w:pStyle w:val="Compact"/>
              <w:jc w:val="right"/>
            </w:pPr>
            <w:r>
              <w:t>1.600</w:t>
            </w:r>
          </w:p>
        </w:tc>
        <w:tc>
          <w:tcPr>
            <w:tcW w:w="1063" w:type="dxa"/>
          </w:tcPr>
          <w:p w:rsidR="00F64049" w:rsidRDefault="00BE3959">
            <w:pPr>
              <w:pStyle w:val="Compact"/>
              <w:jc w:val="right"/>
            </w:pPr>
            <w:r>
              <w:t>0.222</w:t>
            </w:r>
          </w:p>
        </w:tc>
        <w:tc>
          <w:tcPr>
            <w:tcW w:w="1063" w:type="dxa"/>
          </w:tcPr>
          <w:p w:rsidR="00F64049" w:rsidRDefault="00BE3959">
            <w:pPr>
              <w:pStyle w:val="Compact"/>
              <w:jc w:val="right"/>
            </w:pPr>
            <w:r>
              <w:t>2.202</w:t>
            </w:r>
          </w:p>
        </w:tc>
      </w:tr>
      <w:tr w:rsidR="00F64049">
        <w:tc>
          <w:tcPr>
            <w:tcW w:w="1536" w:type="dxa"/>
          </w:tcPr>
          <w:p w:rsidR="00F64049" w:rsidRDefault="00BE3959">
            <w:pPr>
              <w:pStyle w:val="Compact"/>
              <w:jc w:val="right"/>
            </w:pPr>
            <w:r>
              <w:t>6</w:t>
            </w:r>
          </w:p>
        </w:tc>
        <w:tc>
          <w:tcPr>
            <w:tcW w:w="1182" w:type="dxa"/>
          </w:tcPr>
          <w:p w:rsidR="00F64049" w:rsidRDefault="00BE3959">
            <w:pPr>
              <w:pStyle w:val="Compact"/>
              <w:jc w:val="right"/>
            </w:pPr>
            <w:r>
              <w:t>119</w:t>
            </w:r>
          </w:p>
        </w:tc>
        <w:tc>
          <w:tcPr>
            <w:tcW w:w="1536" w:type="dxa"/>
          </w:tcPr>
          <w:p w:rsidR="00F64049" w:rsidRDefault="00BE3959">
            <w:pPr>
              <w:pStyle w:val="Compact"/>
              <w:jc w:val="right"/>
            </w:pPr>
            <w:r>
              <w:t>1.028</w:t>
            </w:r>
          </w:p>
        </w:tc>
        <w:tc>
          <w:tcPr>
            <w:tcW w:w="1536" w:type="dxa"/>
          </w:tcPr>
          <w:p w:rsidR="00F64049" w:rsidRDefault="00BE3959">
            <w:pPr>
              <w:pStyle w:val="Compact"/>
              <w:jc w:val="right"/>
            </w:pPr>
            <w:r>
              <w:t>1.669</w:t>
            </w:r>
          </w:p>
        </w:tc>
        <w:tc>
          <w:tcPr>
            <w:tcW w:w="1063" w:type="dxa"/>
          </w:tcPr>
          <w:p w:rsidR="00F64049" w:rsidRDefault="00BE3959">
            <w:pPr>
              <w:pStyle w:val="Compact"/>
              <w:jc w:val="right"/>
            </w:pPr>
            <w:r>
              <w:t>0.322</w:t>
            </w:r>
          </w:p>
        </w:tc>
        <w:tc>
          <w:tcPr>
            <w:tcW w:w="1063" w:type="dxa"/>
          </w:tcPr>
          <w:p w:rsidR="00F64049" w:rsidRDefault="00BE3959">
            <w:pPr>
              <w:pStyle w:val="Compact"/>
              <w:jc w:val="right"/>
            </w:pPr>
            <w:r>
              <w:t>2.648</w:t>
            </w:r>
          </w:p>
        </w:tc>
      </w:tr>
      <w:tr w:rsidR="00F64049">
        <w:tc>
          <w:tcPr>
            <w:tcW w:w="1536" w:type="dxa"/>
          </w:tcPr>
          <w:p w:rsidR="00F64049" w:rsidRDefault="00BE3959">
            <w:pPr>
              <w:pStyle w:val="Compact"/>
              <w:jc w:val="right"/>
            </w:pPr>
            <w:r>
              <w:t>7</w:t>
            </w:r>
          </w:p>
        </w:tc>
        <w:tc>
          <w:tcPr>
            <w:tcW w:w="1182" w:type="dxa"/>
          </w:tcPr>
          <w:p w:rsidR="00F64049" w:rsidRDefault="00BE3959">
            <w:pPr>
              <w:pStyle w:val="Compact"/>
              <w:jc w:val="right"/>
            </w:pPr>
            <w:r>
              <w:t>65</w:t>
            </w:r>
          </w:p>
        </w:tc>
        <w:tc>
          <w:tcPr>
            <w:tcW w:w="1536" w:type="dxa"/>
          </w:tcPr>
          <w:p w:rsidR="00F64049" w:rsidRDefault="00BE3959">
            <w:pPr>
              <w:pStyle w:val="Compact"/>
              <w:jc w:val="right"/>
            </w:pPr>
            <w:r>
              <w:t>1.662</w:t>
            </w:r>
          </w:p>
        </w:tc>
        <w:tc>
          <w:tcPr>
            <w:tcW w:w="1536" w:type="dxa"/>
          </w:tcPr>
          <w:p w:rsidR="00F64049" w:rsidRDefault="00BE3959">
            <w:pPr>
              <w:pStyle w:val="Compact"/>
              <w:jc w:val="right"/>
            </w:pPr>
            <w:r>
              <w:t>2.005</w:t>
            </w:r>
          </w:p>
        </w:tc>
        <w:tc>
          <w:tcPr>
            <w:tcW w:w="1063" w:type="dxa"/>
          </w:tcPr>
          <w:p w:rsidR="00F64049" w:rsidRDefault="00BE3959">
            <w:pPr>
              <w:pStyle w:val="Compact"/>
              <w:jc w:val="right"/>
            </w:pPr>
            <w:r>
              <w:t>0.408</w:t>
            </w:r>
          </w:p>
        </w:tc>
        <w:tc>
          <w:tcPr>
            <w:tcW w:w="1063" w:type="dxa"/>
          </w:tcPr>
          <w:p w:rsidR="00F64049" w:rsidRDefault="00BE3959">
            <w:pPr>
              <w:pStyle w:val="Compact"/>
              <w:jc w:val="right"/>
            </w:pPr>
            <w:r>
              <w:t>3.154</w:t>
            </w:r>
          </w:p>
        </w:tc>
      </w:tr>
      <w:tr w:rsidR="00F64049">
        <w:tc>
          <w:tcPr>
            <w:tcW w:w="1536" w:type="dxa"/>
          </w:tcPr>
          <w:p w:rsidR="00F64049" w:rsidRDefault="00BE3959">
            <w:pPr>
              <w:pStyle w:val="Compact"/>
              <w:jc w:val="right"/>
            </w:pPr>
            <w:r>
              <w:t>8</w:t>
            </w:r>
          </w:p>
        </w:tc>
        <w:tc>
          <w:tcPr>
            <w:tcW w:w="1182" w:type="dxa"/>
          </w:tcPr>
          <w:p w:rsidR="00F64049" w:rsidRDefault="00BE3959">
            <w:pPr>
              <w:pStyle w:val="Compact"/>
              <w:jc w:val="right"/>
            </w:pPr>
            <w:r>
              <w:t>43</w:t>
            </w:r>
          </w:p>
        </w:tc>
        <w:tc>
          <w:tcPr>
            <w:tcW w:w="1536" w:type="dxa"/>
          </w:tcPr>
          <w:p w:rsidR="00F64049" w:rsidRDefault="00BE3959">
            <w:pPr>
              <w:pStyle w:val="Compact"/>
              <w:jc w:val="right"/>
            </w:pPr>
            <w:r>
              <w:t>0.908</w:t>
            </w:r>
          </w:p>
        </w:tc>
        <w:tc>
          <w:tcPr>
            <w:tcW w:w="1536" w:type="dxa"/>
          </w:tcPr>
          <w:p w:rsidR="00F64049" w:rsidRDefault="00BE3959">
            <w:pPr>
              <w:pStyle w:val="Compact"/>
              <w:jc w:val="right"/>
            </w:pPr>
            <w:r>
              <w:t>1.526</w:t>
            </w:r>
          </w:p>
        </w:tc>
        <w:tc>
          <w:tcPr>
            <w:tcW w:w="1063" w:type="dxa"/>
          </w:tcPr>
          <w:p w:rsidR="00F64049" w:rsidRDefault="00BE3959">
            <w:pPr>
              <w:pStyle w:val="Compact"/>
              <w:jc w:val="right"/>
            </w:pPr>
            <w:r>
              <w:t>0.245</w:t>
            </w:r>
          </w:p>
        </w:tc>
        <w:tc>
          <w:tcPr>
            <w:tcW w:w="1063" w:type="dxa"/>
          </w:tcPr>
          <w:p w:rsidR="00F64049" w:rsidRDefault="00BE3959">
            <w:pPr>
              <w:pStyle w:val="Compact"/>
              <w:jc w:val="right"/>
            </w:pPr>
            <w:r>
              <w:t>2.387</w:t>
            </w:r>
          </w:p>
        </w:tc>
      </w:tr>
      <w:tr w:rsidR="00F64049">
        <w:tc>
          <w:tcPr>
            <w:tcW w:w="1536" w:type="dxa"/>
          </w:tcPr>
          <w:p w:rsidR="00F64049" w:rsidRDefault="00BE3959">
            <w:pPr>
              <w:pStyle w:val="Compact"/>
              <w:jc w:val="right"/>
            </w:pPr>
            <w:r>
              <w:t>9</w:t>
            </w:r>
          </w:p>
        </w:tc>
        <w:tc>
          <w:tcPr>
            <w:tcW w:w="1182" w:type="dxa"/>
          </w:tcPr>
          <w:p w:rsidR="00F64049" w:rsidRDefault="00BE3959">
            <w:pPr>
              <w:pStyle w:val="Compact"/>
              <w:jc w:val="right"/>
            </w:pPr>
            <w:r>
              <w:t>21</w:t>
            </w:r>
          </w:p>
        </w:tc>
        <w:tc>
          <w:tcPr>
            <w:tcW w:w="1536" w:type="dxa"/>
          </w:tcPr>
          <w:p w:rsidR="00F64049" w:rsidRDefault="00BE3959">
            <w:pPr>
              <w:pStyle w:val="Compact"/>
              <w:jc w:val="right"/>
            </w:pPr>
            <w:r>
              <w:t>1.661</w:t>
            </w:r>
          </w:p>
        </w:tc>
        <w:tc>
          <w:tcPr>
            <w:tcW w:w="1536" w:type="dxa"/>
          </w:tcPr>
          <w:p w:rsidR="00F64049" w:rsidRDefault="00BE3959">
            <w:pPr>
              <w:pStyle w:val="Compact"/>
              <w:jc w:val="right"/>
            </w:pPr>
            <w:r>
              <w:t>1.946</w:t>
            </w:r>
          </w:p>
        </w:tc>
        <w:tc>
          <w:tcPr>
            <w:tcW w:w="1063" w:type="dxa"/>
          </w:tcPr>
          <w:p w:rsidR="00F64049" w:rsidRDefault="00BE3959">
            <w:pPr>
              <w:pStyle w:val="Compact"/>
              <w:jc w:val="right"/>
            </w:pPr>
            <w:r>
              <w:t>0.413</w:t>
            </w:r>
          </w:p>
        </w:tc>
        <w:tc>
          <w:tcPr>
            <w:tcW w:w="1063" w:type="dxa"/>
          </w:tcPr>
          <w:p w:rsidR="00F64049" w:rsidRDefault="00BE3959">
            <w:pPr>
              <w:pStyle w:val="Compact"/>
              <w:jc w:val="right"/>
            </w:pPr>
            <w:r>
              <w:t>2.807</w:t>
            </w:r>
          </w:p>
        </w:tc>
      </w:tr>
      <w:tr w:rsidR="00F64049">
        <w:tc>
          <w:tcPr>
            <w:tcW w:w="1536" w:type="dxa"/>
          </w:tcPr>
          <w:p w:rsidR="00F64049" w:rsidRDefault="00BE3959">
            <w:pPr>
              <w:pStyle w:val="Compact"/>
              <w:jc w:val="right"/>
            </w:pPr>
            <w:r>
              <w:lastRenderedPageBreak/>
              <w:t>10</w:t>
            </w:r>
          </w:p>
        </w:tc>
        <w:tc>
          <w:tcPr>
            <w:tcW w:w="1182" w:type="dxa"/>
          </w:tcPr>
          <w:p w:rsidR="00F64049" w:rsidRDefault="00BE3959">
            <w:pPr>
              <w:pStyle w:val="Compact"/>
              <w:jc w:val="right"/>
            </w:pPr>
            <w:r>
              <w:t>16</w:t>
            </w:r>
          </w:p>
        </w:tc>
        <w:tc>
          <w:tcPr>
            <w:tcW w:w="1536" w:type="dxa"/>
          </w:tcPr>
          <w:p w:rsidR="00F64049" w:rsidRDefault="00BE3959">
            <w:pPr>
              <w:pStyle w:val="Compact"/>
              <w:jc w:val="right"/>
            </w:pPr>
            <w:r>
              <w:t>1.751</w:t>
            </w:r>
          </w:p>
        </w:tc>
        <w:tc>
          <w:tcPr>
            <w:tcW w:w="1536" w:type="dxa"/>
          </w:tcPr>
          <w:p w:rsidR="00F64049" w:rsidRDefault="00BE3959">
            <w:pPr>
              <w:pStyle w:val="Compact"/>
              <w:jc w:val="right"/>
            </w:pPr>
            <w:r>
              <w:t>2.182</w:t>
            </w:r>
          </w:p>
        </w:tc>
        <w:tc>
          <w:tcPr>
            <w:tcW w:w="1063" w:type="dxa"/>
          </w:tcPr>
          <w:p w:rsidR="00F64049" w:rsidRDefault="00BE3959">
            <w:pPr>
              <w:pStyle w:val="Compact"/>
              <w:jc w:val="right"/>
            </w:pPr>
            <w:r>
              <w:t>0.537</w:t>
            </w:r>
          </w:p>
        </w:tc>
        <w:tc>
          <w:tcPr>
            <w:tcW w:w="1063" w:type="dxa"/>
          </w:tcPr>
          <w:p w:rsidR="00F64049" w:rsidRDefault="00BE3959">
            <w:pPr>
              <w:pStyle w:val="Compact"/>
              <w:jc w:val="right"/>
            </w:pPr>
            <w:r>
              <w:t>3.619</w:t>
            </w:r>
          </w:p>
        </w:tc>
      </w:tr>
    </w:tbl>
    <w:p w:rsidR="00F64049" w:rsidRDefault="00BE3959">
      <w:pPr>
        <w:pStyle w:val="Corpsdetexte"/>
      </w:pPr>
      <w:r>
        <w:t xml:space="preserve">Le tableau montre une </w:t>
      </w:r>
      <w:r>
        <w:rPr>
          <w:b/>
          <w:bCs/>
        </w:rPr>
        <w:t>progression tendancielle</w:t>
      </w:r>
      <w:r>
        <w:t xml:space="preserve"> de la superficie médiane avec le nombre de parcelles, passant de 0.381 ha (1 parcelle) à 1.751 ha (10 parcelles). Cette tendance est cependant </w:t>
      </w:r>
      <w:r>
        <w:rPr>
          <w:b/>
          <w:bCs/>
        </w:rPr>
        <w:t>non monotone</w:t>
      </w:r>
      <w:r>
        <w:t xml:space="preserve"> </w:t>
      </w:r>
      <w:r>
        <w:t>— des irrégularités apparaissent pour les groupes à 8–9 parcelles, dont les effectifs sont faibles — et la dispersion intra-groupe est très large à chaque niveau, ce qui affaiblit le lien apparent.</w:t>
      </w:r>
    </w:p>
    <w:p w:rsidR="00F64049" w:rsidRDefault="00BE3959">
      <w:pPr>
        <w:pStyle w:val="Titre2"/>
      </w:pPr>
      <w:bookmarkStart w:id="62" w:name="Xc9bb2075b20491af656261199b7dac866650bab"/>
      <w:bookmarkStart w:id="63" w:name="_Toc226981234"/>
      <w:bookmarkEnd w:id="60"/>
      <w:r>
        <w:t>5.3 Corrélation de Spearman avec intervalle de confiance</w:t>
      </w:r>
      <w:bookmarkEnd w:id="63"/>
    </w:p>
    <w:p w:rsidR="00F64049" w:rsidRDefault="00BE3959">
      <w:pPr>
        <w:pStyle w:val="TableCaption"/>
      </w:pPr>
      <w:r>
        <w:t>C</w:t>
      </w:r>
      <w:r>
        <w:t>orrélation de Spearman entre superficie totale et nombre de parcelles, par milieu</w:t>
      </w:r>
    </w:p>
    <w:tbl>
      <w:tblPr>
        <w:tblStyle w:val="Table"/>
        <w:tblW w:w="0" w:type="auto"/>
        <w:tblLook w:val="0020" w:firstRow="1" w:lastRow="0" w:firstColumn="0" w:lastColumn="0" w:noHBand="0" w:noVBand="0"/>
        <w:tblCaption w:val="Corrélation de Spearman entre superficie totale et nombre de parcelles, par milieu"/>
      </w:tblPr>
      <w:tblGrid>
        <w:gridCol w:w="883"/>
        <w:gridCol w:w="756"/>
        <w:gridCol w:w="1403"/>
        <w:gridCol w:w="1470"/>
        <w:gridCol w:w="1016"/>
        <w:gridCol w:w="696"/>
      </w:tblGrid>
      <w:tr w:rsidR="00F64049" w:rsidTr="00F64049">
        <w:trPr>
          <w:cnfStyle w:val="100000000000" w:firstRow="1" w:lastRow="0" w:firstColumn="0" w:lastColumn="0" w:oddVBand="0" w:evenVBand="0" w:oddHBand="0" w:evenHBand="0" w:firstRowFirstColumn="0" w:firstRowLastColumn="0" w:lastRowFirstColumn="0" w:lastRowLastColumn="0"/>
          <w:tblHeader/>
        </w:trPr>
        <w:tc>
          <w:tcPr>
            <w:tcW w:w="0" w:type="auto"/>
          </w:tcPr>
          <w:p w:rsidR="00F64049" w:rsidRDefault="00BE3959">
            <w:pPr>
              <w:pStyle w:val="Compact"/>
              <w:jc w:val="left"/>
            </w:pPr>
            <w:r>
              <w:t>Milieu</w:t>
            </w:r>
          </w:p>
        </w:tc>
        <w:tc>
          <w:tcPr>
            <w:tcW w:w="0" w:type="auto"/>
          </w:tcPr>
          <w:p w:rsidR="00F64049" w:rsidRDefault="00BE3959">
            <w:pPr>
              <w:pStyle w:val="Compact"/>
              <w:jc w:val="right"/>
            </w:pPr>
            <w:r>
              <w:t>ρ</w:t>
            </w:r>
          </w:p>
        </w:tc>
        <w:tc>
          <w:tcPr>
            <w:tcW w:w="0" w:type="auto"/>
          </w:tcPr>
          <w:p w:rsidR="00F64049" w:rsidRDefault="00BE3959">
            <w:pPr>
              <w:pStyle w:val="Compact"/>
              <w:jc w:val="right"/>
            </w:pPr>
            <w:r>
              <w:t>IC 95 % inf.</w:t>
            </w:r>
          </w:p>
        </w:tc>
        <w:tc>
          <w:tcPr>
            <w:tcW w:w="0" w:type="auto"/>
          </w:tcPr>
          <w:p w:rsidR="00F64049" w:rsidRDefault="00BE3959">
            <w:pPr>
              <w:pStyle w:val="Compact"/>
              <w:jc w:val="right"/>
            </w:pPr>
            <w:r>
              <w:t>IC 95 % sup.</w:t>
            </w:r>
          </w:p>
        </w:tc>
        <w:tc>
          <w:tcPr>
            <w:tcW w:w="0" w:type="auto"/>
          </w:tcPr>
          <w:p w:rsidR="00F64049" w:rsidRDefault="00BE3959">
            <w:pPr>
              <w:pStyle w:val="Compact"/>
              <w:jc w:val="right"/>
            </w:pPr>
            <w:r>
              <w:t>p-valeur</w:t>
            </w:r>
          </w:p>
        </w:tc>
        <w:tc>
          <w:tcPr>
            <w:tcW w:w="0" w:type="auto"/>
          </w:tcPr>
          <w:p w:rsidR="00F64049" w:rsidRDefault="00BE3959">
            <w:pPr>
              <w:pStyle w:val="Compact"/>
              <w:jc w:val="right"/>
            </w:pPr>
            <w:r>
              <w:t>n</w:t>
            </w:r>
          </w:p>
        </w:tc>
      </w:tr>
      <w:tr w:rsidR="00F64049">
        <w:tc>
          <w:tcPr>
            <w:tcW w:w="0" w:type="auto"/>
          </w:tcPr>
          <w:p w:rsidR="00F64049" w:rsidRDefault="00BE3959">
            <w:pPr>
              <w:pStyle w:val="Compact"/>
              <w:jc w:val="left"/>
            </w:pPr>
            <w:r>
              <w:t>Rural</w:t>
            </w:r>
          </w:p>
        </w:tc>
        <w:tc>
          <w:tcPr>
            <w:tcW w:w="0" w:type="auto"/>
          </w:tcPr>
          <w:p w:rsidR="00F64049" w:rsidRDefault="00BE3959">
            <w:pPr>
              <w:pStyle w:val="Compact"/>
              <w:jc w:val="right"/>
            </w:pPr>
            <w:r>
              <w:t>0.175</w:t>
            </w:r>
          </w:p>
        </w:tc>
        <w:tc>
          <w:tcPr>
            <w:tcW w:w="0" w:type="auto"/>
          </w:tcPr>
          <w:p w:rsidR="00F64049" w:rsidRDefault="00BE3959">
            <w:pPr>
              <w:pStyle w:val="Compact"/>
              <w:jc w:val="right"/>
            </w:pPr>
            <w:r>
              <w:t>0.139</w:t>
            </w:r>
          </w:p>
        </w:tc>
        <w:tc>
          <w:tcPr>
            <w:tcW w:w="0" w:type="auto"/>
          </w:tcPr>
          <w:p w:rsidR="00F64049" w:rsidRDefault="00BE3959">
            <w:pPr>
              <w:pStyle w:val="Compact"/>
              <w:jc w:val="right"/>
            </w:pPr>
            <w:r>
              <w:t>0.211</w:t>
            </w:r>
          </w:p>
        </w:tc>
        <w:tc>
          <w:tcPr>
            <w:tcW w:w="0" w:type="auto"/>
          </w:tcPr>
          <w:p w:rsidR="00F64049" w:rsidRDefault="00BE3959">
            <w:pPr>
              <w:pStyle w:val="Compact"/>
              <w:jc w:val="right"/>
            </w:pPr>
            <w:r>
              <w:t>0.000</w:t>
            </w:r>
          </w:p>
        </w:tc>
        <w:tc>
          <w:tcPr>
            <w:tcW w:w="0" w:type="auto"/>
          </w:tcPr>
          <w:p w:rsidR="00F64049" w:rsidRDefault="00BE3959">
            <w:pPr>
              <w:pStyle w:val="Compact"/>
              <w:jc w:val="right"/>
            </w:pPr>
            <w:r>
              <w:t>2762</w:t>
            </w:r>
          </w:p>
        </w:tc>
      </w:tr>
      <w:tr w:rsidR="00F64049">
        <w:tc>
          <w:tcPr>
            <w:tcW w:w="0" w:type="auto"/>
          </w:tcPr>
          <w:p w:rsidR="00F64049" w:rsidRDefault="00BE3959">
            <w:pPr>
              <w:pStyle w:val="Compact"/>
              <w:jc w:val="left"/>
            </w:pPr>
            <w:r>
              <w:t>Urbain</w:t>
            </w:r>
          </w:p>
        </w:tc>
        <w:tc>
          <w:tcPr>
            <w:tcW w:w="0" w:type="auto"/>
          </w:tcPr>
          <w:p w:rsidR="00F64049" w:rsidRDefault="00BE3959">
            <w:pPr>
              <w:pStyle w:val="Compact"/>
              <w:jc w:val="right"/>
            </w:pPr>
            <w:r>
              <w:t>0.149</w:t>
            </w:r>
          </w:p>
        </w:tc>
        <w:tc>
          <w:tcPr>
            <w:tcW w:w="0" w:type="auto"/>
          </w:tcPr>
          <w:p w:rsidR="00F64049" w:rsidRDefault="00BE3959">
            <w:pPr>
              <w:pStyle w:val="Compact"/>
              <w:jc w:val="right"/>
            </w:pPr>
            <w:r>
              <w:t>0.052</w:t>
            </w:r>
          </w:p>
        </w:tc>
        <w:tc>
          <w:tcPr>
            <w:tcW w:w="0" w:type="auto"/>
          </w:tcPr>
          <w:p w:rsidR="00F64049" w:rsidRDefault="00BE3959">
            <w:pPr>
              <w:pStyle w:val="Compact"/>
              <w:jc w:val="right"/>
            </w:pPr>
            <w:r>
              <w:t>0.244</w:t>
            </w:r>
          </w:p>
        </w:tc>
        <w:tc>
          <w:tcPr>
            <w:tcW w:w="0" w:type="auto"/>
          </w:tcPr>
          <w:p w:rsidR="00F64049" w:rsidRDefault="00BE3959">
            <w:pPr>
              <w:pStyle w:val="Compact"/>
              <w:jc w:val="right"/>
            </w:pPr>
            <w:r>
              <w:t>0.003</w:t>
            </w:r>
          </w:p>
        </w:tc>
        <w:tc>
          <w:tcPr>
            <w:tcW w:w="0" w:type="auto"/>
          </w:tcPr>
          <w:p w:rsidR="00F64049" w:rsidRDefault="00BE3959">
            <w:pPr>
              <w:pStyle w:val="Compact"/>
              <w:jc w:val="right"/>
            </w:pPr>
            <w:r>
              <w:t>399</w:t>
            </w:r>
          </w:p>
        </w:tc>
      </w:tr>
    </w:tbl>
    <w:p w:rsidR="00F64049" w:rsidRDefault="00BE3959">
      <w:pPr>
        <w:pStyle w:val="Corpsdetexte"/>
      </w:pPr>
      <w:r>
        <w:t xml:space="preserve">La corrélation de Spearman est </w:t>
      </w:r>
      <w:r>
        <w:rPr>
          <w:b/>
          <w:bCs/>
        </w:rPr>
        <w:t>positive, statistiquement très significative</w:t>
      </w:r>
      <w:r>
        <w:t xml:space="preserve"> (p &lt; 10⁻¹⁶), mais sa </w:t>
      </w:r>
      <w:r>
        <w:rPr>
          <w:b/>
          <w:bCs/>
        </w:rPr>
        <w:t>valeur pratique est faible</w:t>
      </w:r>
      <w:r>
        <w:t xml:space="preserve"> (ρ ≈ 0,19 ; R² de rang ≈ 3,6 %). Il est essentiel de distinguer ici </w:t>
      </w:r>
      <w:r>
        <w:rPr>
          <w:b/>
          <w:bCs/>
        </w:rPr>
        <w:t>signification statistique et signification pratique</w:t>
      </w:r>
      <w:r>
        <w:t xml:space="preserve"> : avec un échantillon de plusieurs milliers</w:t>
      </w:r>
      <w:r>
        <w:t xml:space="preserve"> de ménages, même une corrélation infime serait statistiquement significative. La robustesse de la p-valeur ne compense pas la modestie de ρ.</w:t>
      </w:r>
    </w:p>
    <w:p w:rsidR="00F64049" w:rsidRDefault="00BE3959">
      <w:pPr>
        <w:pStyle w:val="Corpsdetexte"/>
      </w:pPr>
      <w:r>
        <w:t>La corrélation est similaire en milieu rural (ρ = 0.175) et urbain (ρ = 0.149), confirmant que la faiblesse du lie</w:t>
      </w:r>
      <w:r>
        <w:t>n est un phénomène structurel indépendant du milieu.</w:t>
      </w:r>
    </w:p>
    <w:p w:rsidR="00F64049" w:rsidRDefault="00BE3959">
      <w:pPr>
        <w:pStyle w:val="Corpsdetexte"/>
      </w:pPr>
      <w:r>
        <w:rPr>
          <w:b/>
          <w:bCs/>
        </w:rPr>
        <w:t>Implication clé :</w:t>
      </w:r>
      <w:r>
        <w:t xml:space="preserve"> La superficie totale d’un ménage est davantage déterminée par la </w:t>
      </w:r>
      <w:r>
        <w:rPr>
          <w:i/>
          <w:iCs/>
        </w:rPr>
        <w:t>taille unitaire</w:t>
      </w:r>
      <w:r>
        <w:t xml:space="preserve"> de ses parcelles que par leur </w:t>
      </w:r>
      <w:r>
        <w:rPr>
          <w:i/>
          <w:iCs/>
        </w:rPr>
        <w:t>nombre</w:t>
      </w:r>
      <w:r>
        <w:t>. Ce résultat nuance les discours qui font de la fragmentation le pr</w:t>
      </w:r>
      <w:r>
        <w:t>incipal obstacle à la productivité : la vraie question est la taille des parcelles, pas leur nombre.</w:t>
      </w:r>
    </w:p>
    <w:p w:rsidR="00F64049" w:rsidRDefault="00BE3959">
      <w:pPr>
        <w:pStyle w:val="Figure"/>
      </w:pPr>
      <w:r>
        <w:rPr>
          <w:noProof/>
          <w:lang w:eastAsia="en-US"/>
        </w:rPr>
        <w:lastRenderedPageBreak/>
        <w:drawing>
          <wp:inline distT="0" distB="0" distL="0" distR="0">
            <wp:extent cx="4206240" cy="3364992"/>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6"/>
                    <a:stretch>
                      <a:fillRect/>
                    </a:stretch>
                  </pic:blipFill>
                  <pic:spPr bwMode="auto">
                    <a:xfrm>
                      <a:off x="0" y="0"/>
                      <a:ext cx="4206240" cy="3364992"/>
                    </a:xfrm>
                    <a:prstGeom prst="rect">
                      <a:avLst/>
                    </a:prstGeom>
                    <a:noFill/>
                  </pic:spPr>
                </pic:pic>
              </a:graphicData>
            </a:graphic>
          </wp:inline>
        </w:drawing>
      </w:r>
    </w:p>
    <w:p w:rsidR="00F64049" w:rsidRDefault="00BE3959">
      <w:pPr>
        <w:pStyle w:val="ImageCaption"/>
      </w:pPr>
      <w:r>
        <w:rPr>
          <w:b/>
        </w:rPr>
        <w:t xml:space="preserve">Figure </w:t>
      </w:r>
      <w:bookmarkStart w:id="64" w:name="fig-t23-scatter"/>
      <w:r>
        <w:rPr>
          <w:b/>
        </w:rPr>
        <w:fldChar w:fldCharType="begin"/>
      </w:r>
      <w:r>
        <w:rPr>
          <w:b/>
        </w:rPr>
        <w:instrText>SEQ fig \* Arabic</w:instrText>
      </w:r>
      <w:r>
        <w:rPr>
          <w:b/>
        </w:rPr>
        <w:fldChar w:fldCharType="separate"/>
      </w:r>
      <w:r>
        <w:rPr>
          <w:b/>
          <w:noProof/>
        </w:rPr>
        <w:t>10</w:t>
      </w:r>
      <w:r>
        <w:rPr>
          <w:b/>
        </w:rPr>
        <w:fldChar w:fldCharType="end"/>
      </w:r>
      <w:bookmarkEnd w:id="64"/>
      <w:r>
        <w:rPr>
          <w:b/>
        </w:rPr>
        <w:t xml:space="preserve">: </w:t>
      </w:r>
      <w:r>
        <w:t>Superficie totale vs. nombre de parcelles par ménage — axe Y en log, courbe LOESS en bleu</w:t>
      </w:r>
    </w:p>
    <w:p w:rsidR="00F64049" w:rsidRDefault="00BE3959">
      <w:pPr>
        <w:pStyle w:val="Figure"/>
      </w:pPr>
      <w:r>
        <w:rPr>
          <w:noProof/>
          <w:lang w:eastAsia="en-US"/>
        </w:rPr>
        <w:lastRenderedPageBreak/>
        <w:drawing>
          <wp:inline distT="0" distB="0" distL="0" distR="0">
            <wp:extent cx="4206240" cy="3364992"/>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7"/>
                    <a:stretch>
                      <a:fillRect/>
                    </a:stretch>
                  </pic:blipFill>
                  <pic:spPr bwMode="auto">
                    <a:xfrm>
                      <a:off x="0" y="0"/>
                      <a:ext cx="4206240" cy="3364992"/>
                    </a:xfrm>
                    <a:prstGeom prst="rect">
                      <a:avLst/>
                    </a:prstGeom>
                    <a:noFill/>
                  </pic:spPr>
                </pic:pic>
              </a:graphicData>
            </a:graphic>
          </wp:inline>
        </w:drawing>
      </w:r>
    </w:p>
    <w:p w:rsidR="00F64049" w:rsidRDefault="00BE3959">
      <w:pPr>
        <w:pStyle w:val="ImageCaption"/>
      </w:pPr>
      <w:r>
        <w:rPr>
          <w:b/>
        </w:rPr>
        <w:t xml:space="preserve">Figure </w:t>
      </w:r>
      <w:bookmarkStart w:id="65" w:name="fig-t23-facettes"/>
      <w:r>
        <w:rPr>
          <w:b/>
        </w:rPr>
        <w:fldChar w:fldCharType="begin"/>
      </w:r>
      <w:r>
        <w:rPr>
          <w:b/>
        </w:rPr>
        <w:instrText>SEQ fig \* Arabic</w:instrText>
      </w:r>
      <w:r>
        <w:rPr>
          <w:b/>
        </w:rPr>
        <w:fldChar w:fldCharType="separate"/>
      </w:r>
      <w:r>
        <w:rPr>
          <w:b/>
          <w:noProof/>
        </w:rPr>
        <w:t>11</w:t>
      </w:r>
      <w:r>
        <w:rPr>
          <w:b/>
        </w:rPr>
        <w:fldChar w:fldCharType="end"/>
      </w:r>
      <w:bookmarkEnd w:id="65"/>
      <w:r>
        <w:rPr>
          <w:b/>
        </w:rPr>
        <w:t xml:space="preserve">: </w:t>
      </w:r>
      <w:r>
        <w:t>Nuage</w:t>
      </w:r>
      <w:r>
        <w:t>s de points superficie/nombre de parcelles par milieu (rural vs. urbain)</w:t>
      </w:r>
    </w:p>
    <w:p w:rsidR="00F64049" w:rsidRDefault="00BE3959">
      <w:r>
        <w:br w:type="page"/>
      </w:r>
    </w:p>
    <w:p w:rsidR="00F64049" w:rsidRDefault="00BE3959">
      <w:pPr>
        <w:pStyle w:val="Titre1"/>
      </w:pPr>
      <w:bookmarkStart w:id="66" w:name="X821d832f2410b548fb9badf7a5958d5235b1f3b"/>
      <w:bookmarkStart w:id="67" w:name="_Toc226981235"/>
      <w:bookmarkEnd w:id="56"/>
      <w:bookmarkEnd w:id="62"/>
      <w:r>
        <w:lastRenderedPageBreak/>
        <w:t>6. Disparités géographiques entre États (Tâche 24)</w:t>
      </w:r>
      <w:bookmarkEnd w:id="67"/>
    </w:p>
    <w:p w:rsidR="00F64049" w:rsidRDefault="00BE3959">
      <w:pPr>
        <w:pStyle w:val="Titre2"/>
      </w:pPr>
      <w:bookmarkStart w:id="68" w:name="méthodologie"/>
      <w:bookmarkStart w:id="69" w:name="_Toc226981236"/>
      <w:r>
        <w:t>6.1 Méthodologie</w:t>
      </w:r>
      <w:bookmarkEnd w:id="69"/>
    </w:p>
    <w:p w:rsidR="00F64049" w:rsidRDefault="00BE3959">
      <w:pPr>
        <w:pStyle w:val="FirstParagraph"/>
      </w:pPr>
      <w:r>
        <w:t xml:space="preserve">La </w:t>
      </w:r>
      <w:r>
        <w:rPr>
          <w:b/>
          <w:bCs/>
        </w:rPr>
        <w:t>médiane pondérée</w:t>
      </w:r>
      <w:r>
        <w:t xml:space="preserve"> est calculée pour chaque État par la méthode du cumul des poids (</w:t>
      </w:r>
      <w:r>
        <w:rPr>
          <w:rStyle w:val="VerbatimChar"/>
        </w:rPr>
        <w:t>weight_wave4</w:t>
      </w:r>
      <w:r>
        <w:t>) : les observat</w:t>
      </w:r>
      <w:r>
        <w:t>ions sont triées par superficie croissante, les poids sont accumulés progressivement, et la médiane correspond à la première observation pour laquelle le cumul atteint 50 % du poids total de l’État. Elle est préférée à la moyenne afin d’éviter que quelques</w:t>
      </w:r>
      <w:r>
        <w:t xml:space="preserve"> grandes exploitations ne biaisent l’indicateur d’État.</w:t>
      </w:r>
    </w:p>
    <w:p w:rsidR="00F64049" w:rsidRDefault="00BE3959">
      <w:pPr>
        <w:pStyle w:val="Corpsdetexte"/>
      </w:pPr>
      <w:r>
        <w:t xml:space="preserve">La </w:t>
      </w:r>
      <w:r>
        <w:rPr>
          <w:b/>
          <w:bCs/>
        </w:rPr>
        <w:t>jointure cartographique</w:t>
      </w:r>
      <w:r>
        <w:t xml:space="preserve"> </w:t>
      </w:r>
      <w:r>
        <w:t>est réalisée avec le fond de carte GADM v4.1 (niveau administratif 1, 36 États + FCT). Les divergences de nommage ont été corrigées manuellement : le FCT s’appelle « Federal Capital Territory » dans GADM, et « Nassarawa » est la graphie GADM pour « Nasaraw</w:t>
      </w:r>
      <w:r>
        <w:t>a ».</w:t>
      </w:r>
    </w:p>
    <w:p w:rsidR="00F64049" w:rsidRDefault="00BE3959">
      <w:pPr>
        <w:pStyle w:val="Titre2"/>
      </w:pPr>
      <w:bookmarkStart w:id="70" w:name="Xcaffd871a73cdfdad9bde8a5acfeaf7659b26f1"/>
      <w:bookmarkStart w:id="71" w:name="_Toc226981237"/>
      <w:bookmarkEnd w:id="68"/>
      <w:r>
        <w:lastRenderedPageBreak/>
        <w:t>6.2 Carte choroplèthe des superficies médianes</w:t>
      </w:r>
      <w:bookmarkEnd w:id="71"/>
    </w:p>
    <w:p w:rsidR="00F64049" w:rsidRDefault="00BE3959">
      <w:pPr>
        <w:pStyle w:val="Figure"/>
      </w:pPr>
      <w:r>
        <w:rPr>
          <w:noProof/>
          <w:lang w:eastAsia="en-US"/>
        </w:rPr>
        <w:drawing>
          <wp:inline distT="0" distB="0" distL="0" distR="0">
            <wp:extent cx="4572000" cy="36576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8"/>
                    <a:stretch>
                      <a:fillRect/>
                    </a:stretch>
                  </pic:blipFill>
                  <pic:spPr bwMode="auto">
                    <a:xfrm>
                      <a:off x="0" y="0"/>
                      <a:ext cx="4572000" cy="3657600"/>
                    </a:xfrm>
                    <a:prstGeom prst="rect">
                      <a:avLst/>
                    </a:prstGeom>
                    <a:noFill/>
                  </pic:spPr>
                </pic:pic>
              </a:graphicData>
            </a:graphic>
          </wp:inline>
        </w:drawing>
      </w:r>
    </w:p>
    <w:p w:rsidR="00F64049" w:rsidRDefault="00BE3959">
      <w:pPr>
        <w:pStyle w:val="ImageCaption"/>
      </w:pPr>
      <w:r>
        <w:rPr>
          <w:b/>
        </w:rPr>
        <w:t xml:space="preserve">Figure </w:t>
      </w:r>
      <w:bookmarkStart w:id="72" w:name="fig-t24-carte"/>
      <w:r>
        <w:rPr>
          <w:b/>
        </w:rPr>
        <w:fldChar w:fldCharType="begin"/>
      </w:r>
      <w:r>
        <w:rPr>
          <w:b/>
        </w:rPr>
        <w:instrText>SEQ fig \* Arabic</w:instrText>
      </w:r>
      <w:r>
        <w:rPr>
          <w:b/>
        </w:rPr>
        <w:fldChar w:fldCharType="separate"/>
      </w:r>
      <w:r>
        <w:rPr>
          <w:b/>
          <w:noProof/>
        </w:rPr>
        <w:t>12</w:t>
      </w:r>
      <w:r>
        <w:rPr>
          <w:b/>
        </w:rPr>
        <w:fldChar w:fldCharType="end"/>
      </w:r>
      <w:bookmarkEnd w:id="72"/>
      <w:r>
        <w:rPr>
          <w:b/>
        </w:rPr>
        <w:t xml:space="preserve">: </w:t>
      </w:r>
      <w:r>
        <w:t>Superficie médiane pondérée (ha) par État nigérian — palette YlOrRd, rouge foncé = grande superficie</w:t>
      </w:r>
    </w:p>
    <w:p w:rsidR="00F64049" w:rsidRDefault="00BE3959">
      <w:pPr>
        <w:pStyle w:val="Corpsdetexte"/>
      </w:pPr>
      <w:r>
        <w:t xml:space="preserve">La carte révèle un </w:t>
      </w:r>
      <w:r>
        <w:rPr>
          <w:b/>
          <w:bCs/>
        </w:rPr>
        <w:t>gradient géographique Nord-Sud</w:t>
      </w:r>
      <w:r>
        <w:t xml:space="preserve"> très marqué, les États </w:t>
      </w:r>
      <w:r>
        <w:t>du Nord (orange à rouge foncé) affichant des superficies nettement supérieures aux États du Sud (jaune clair). Ce gradient reflète des différences profondes d’agro-écologie, de densité de population et de système agricole.</w:t>
      </w:r>
    </w:p>
    <w:p w:rsidR="00F64049" w:rsidRDefault="00BE3959">
      <w:pPr>
        <w:pStyle w:val="Titre2"/>
      </w:pPr>
      <w:bookmarkStart w:id="73" w:name="top-5-et-bottom-5-des-états"/>
      <w:bookmarkStart w:id="74" w:name="_Toc226981238"/>
      <w:bookmarkEnd w:id="70"/>
      <w:r>
        <w:lastRenderedPageBreak/>
        <w:t>6.3 Top 5 et Bottom 5 des États</w:t>
      </w:r>
      <w:bookmarkEnd w:id="74"/>
    </w:p>
    <w:p w:rsidR="00F64049" w:rsidRDefault="00BE3959">
      <w:pPr>
        <w:pStyle w:val="TableCaption"/>
      </w:pPr>
      <w:r>
        <w:t>T</w:t>
      </w:r>
      <w:r>
        <w:t>op 5 — États avec les superficies médianes les plus élevées</w:t>
      </w:r>
    </w:p>
    <w:tbl>
      <w:tblPr>
        <w:tblStyle w:val="Table"/>
        <w:tblW w:w="0" w:type="auto"/>
        <w:tblLook w:val="0020" w:firstRow="1" w:lastRow="0" w:firstColumn="0" w:lastColumn="0" w:noHBand="0" w:noVBand="0"/>
        <w:tblCaption w:val="Top 5 — États avec les superficies médianes les plus élevées"/>
      </w:tblPr>
      <w:tblGrid>
        <w:gridCol w:w="723"/>
        <w:gridCol w:w="923"/>
        <w:gridCol w:w="2442"/>
        <w:gridCol w:w="2056"/>
        <w:gridCol w:w="1236"/>
      </w:tblGrid>
      <w:tr w:rsidR="00F64049" w:rsidTr="00F64049">
        <w:trPr>
          <w:cnfStyle w:val="100000000000" w:firstRow="1" w:lastRow="0" w:firstColumn="0" w:lastColumn="0" w:oddVBand="0" w:evenVBand="0" w:oddHBand="0" w:evenHBand="0" w:firstRowFirstColumn="0" w:firstRowLastColumn="0" w:lastRowFirstColumn="0" w:lastRowLastColumn="0"/>
          <w:tblHeader/>
        </w:trPr>
        <w:tc>
          <w:tcPr>
            <w:tcW w:w="0" w:type="auto"/>
          </w:tcPr>
          <w:p w:rsidR="00F64049" w:rsidRDefault="00BE3959">
            <w:pPr>
              <w:pStyle w:val="Compact"/>
              <w:jc w:val="right"/>
            </w:pPr>
            <w:r>
              <w:t>Rang</w:t>
            </w:r>
          </w:p>
        </w:tc>
        <w:tc>
          <w:tcPr>
            <w:tcW w:w="0" w:type="auto"/>
          </w:tcPr>
          <w:p w:rsidR="00F64049" w:rsidRDefault="00BE3959">
            <w:pPr>
              <w:pStyle w:val="Compact"/>
              <w:jc w:val="left"/>
            </w:pPr>
            <w:r>
              <w:t>État</w:t>
            </w:r>
          </w:p>
        </w:tc>
        <w:tc>
          <w:tcPr>
            <w:tcW w:w="0" w:type="auto"/>
          </w:tcPr>
          <w:p w:rsidR="00F64049" w:rsidRDefault="00BE3959">
            <w:pPr>
              <w:pStyle w:val="Compact"/>
              <w:jc w:val="right"/>
            </w:pPr>
            <w:r>
              <w:t>Médiane pondérée (ha)</w:t>
            </w:r>
          </w:p>
        </w:tc>
        <w:tc>
          <w:tcPr>
            <w:tcW w:w="0" w:type="auto"/>
          </w:tcPr>
          <w:p w:rsidR="00F64049" w:rsidRDefault="00BE3959">
            <w:pPr>
              <w:pStyle w:val="Compact"/>
              <w:jc w:val="right"/>
            </w:pPr>
            <w:r>
              <w:t>Médiane brute (ha)</w:t>
            </w:r>
          </w:p>
        </w:tc>
        <w:tc>
          <w:tcPr>
            <w:tcW w:w="0" w:type="auto"/>
          </w:tcPr>
          <w:p w:rsidR="00F64049" w:rsidRDefault="00BE3959">
            <w:pPr>
              <w:pStyle w:val="Compact"/>
              <w:jc w:val="right"/>
            </w:pPr>
            <w:r>
              <w:t>n ménages</w:t>
            </w:r>
          </w:p>
        </w:tc>
      </w:tr>
      <w:tr w:rsidR="00F64049">
        <w:tc>
          <w:tcPr>
            <w:tcW w:w="0" w:type="auto"/>
          </w:tcPr>
          <w:p w:rsidR="00F64049" w:rsidRDefault="00BE3959">
            <w:pPr>
              <w:pStyle w:val="Compact"/>
              <w:jc w:val="right"/>
            </w:pPr>
            <w:r>
              <w:t>1</w:t>
            </w:r>
          </w:p>
        </w:tc>
        <w:tc>
          <w:tcPr>
            <w:tcW w:w="0" w:type="auto"/>
          </w:tcPr>
          <w:p w:rsidR="00F64049" w:rsidRDefault="00BE3959">
            <w:pPr>
              <w:pStyle w:val="Compact"/>
              <w:jc w:val="left"/>
            </w:pPr>
            <w:r>
              <w:t>Plateau</w:t>
            </w:r>
          </w:p>
        </w:tc>
        <w:tc>
          <w:tcPr>
            <w:tcW w:w="0" w:type="auto"/>
          </w:tcPr>
          <w:p w:rsidR="00F64049" w:rsidRDefault="00BE3959">
            <w:pPr>
              <w:pStyle w:val="Compact"/>
              <w:jc w:val="right"/>
            </w:pPr>
            <w:r>
              <w:t>2.317</w:t>
            </w:r>
          </w:p>
        </w:tc>
        <w:tc>
          <w:tcPr>
            <w:tcW w:w="0" w:type="auto"/>
          </w:tcPr>
          <w:p w:rsidR="00F64049" w:rsidRDefault="00BE3959">
            <w:pPr>
              <w:pStyle w:val="Compact"/>
              <w:jc w:val="right"/>
            </w:pPr>
            <w:r>
              <w:t>2.223</w:t>
            </w:r>
          </w:p>
        </w:tc>
        <w:tc>
          <w:tcPr>
            <w:tcW w:w="0" w:type="auto"/>
          </w:tcPr>
          <w:p w:rsidR="00F64049" w:rsidRDefault="00BE3959">
            <w:pPr>
              <w:pStyle w:val="Compact"/>
              <w:jc w:val="right"/>
            </w:pPr>
            <w:r>
              <w:t>75</w:t>
            </w:r>
          </w:p>
        </w:tc>
      </w:tr>
      <w:tr w:rsidR="00F64049">
        <w:tc>
          <w:tcPr>
            <w:tcW w:w="0" w:type="auto"/>
          </w:tcPr>
          <w:p w:rsidR="00F64049" w:rsidRDefault="00BE3959">
            <w:pPr>
              <w:pStyle w:val="Compact"/>
              <w:jc w:val="right"/>
            </w:pPr>
            <w:r>
              <w:t>2</w:t>
            </w:r>
          </w:p>
        </w:tc>
        <w:tc>
          <w:tcPr>
            <w:tcW w:w="0" w:type="auto"/>
          </w:tcPr>
          <w:p w:rsidR="00F64049" w:rsidRDefault="00BE3959">
            <w:pPr>
              <w:pStyle w:val="Compact"/>
              <w:jc w:val="left"/>
            </w:pPr>
            <w:r>
              <w:t>Bauchi</w:t>
            </w:r>
          </w:p>
        </w:tc>
        <w:tc>
          <w:tcPr>
            <w:tcW w:w="0" w:type="auto"/>
          </w:tcPr>
          <w:p w:rsidR="00F64049" w:rsidRDefault="00BE3959">
            <w:pPr>
              <w:pStyle w:val="Compact"/>
              <w:jc w:val="right"/>
            </w:pPr>
            <w:r>
              <w:t>2.216</w:t>
            </w:r>
          </w:p>
        </w:tc>
        <w:tc>
          <w:tcPr>
            <w:tcW w:w="0" w:type="auto"/>
          </w:tcPr>
          <w:p w:rsidR="00F64049" w:rsidRDefault="00BE3959">
            <w:pPr>
              <w:pStyle w:val="Compact"/>
              <w:jc w:val="right"/>
            </w:pPr>
            <w:r>
              <w:t>2.138</w:t>
            </w:r>
          </w:p>
        </w:tc>
        <w:tc>
          <w:tcPr>
            <w:tcW w:w="0" w:type="auto"/>
          </w:tcPr>
          <w:p w:rsidR="00F64049" w:rsidRDefault="00BE3959">
            <w:pPr>
              <w:pStyle w:val="Compact"/>
              <w:jc w:val="right"/>
            </w:pPr>
            <w:r>
              <w:t>212</w:t>
            </w:r>
          </w:p>
        </w:tc>
      </w:tr>
      <w:tr w:rsidR="00F64049">
        <w:tc>
          <w:tcPr>
            <w:tcW w:w="0" w:type="auto"/>
          </w:tcPr>
          <w:p w:rsidR="00F64049" w:rsidRDefault="00BE3959">
            <w:pPr>
              <w:pStyle w:val="Compact"/>
              <w:jc w:val="right"/>
            </w:pPr>
            <w:r>
              <w:t>3</w:t>
            </w:r>
          </w:p>
        </w:tc>
        <w:tc>
          <w:tcPr>
            <w:tcW w:w="0" w:type="auto"/>
          </w:tcPr>
          <w:p w:rsidR="00F64049" w:rsidRDefault="00BE3959">
            <w:pPr>
              <w:pStyle w:val="Compact"/>
              <w:jc w:val="left"/>
            </w:pPr>
            <w:r>
              <w:t>Niger</w:t>
            </w:r>
          </w:p>
        </w:tc>
        <w:tc>
          <w:tcPr>
            <w:tcW w:w="0" w:type="auto"/>
          </w:tcPr>
          <w:p w:rsidR="00F64049" w:rsidRDefault="00BE3959">
            <w:pPr>
              <w:pStyle w:val="Compact"/>
              <w:jc w:val="right"/>
            </w:pPr>
            <w:r>
              <w:t>2.000</w:t>
            </w:r>
          </w:p>
        </w:tc>
        <w:tc>
          <w:tcPr>
            <w:tcW w:w="0" w:type="auto"/>
          </w:tcPr>
          <w:p w:rsidR="00F64049" w:rsidRDefault="00BE3959">
            <w:pPr>
              <w:pStyle w:val="Compact"/>
              <w:jc w:val="right"/>
            </w:pPr>
            <w:r>
              <w:t>1.799</w:t>
            </w:r>
          </w:p>
        </w:tc>
        <w:tc>
          <w:tcPr>
            <w:tcW w:w="0" w:type="auto"/>
          </w:tcPr>
          <w:p w:rsidR="00F64049" w:rsidRDefault="00BE3959">
            <w:pPr>
              <w:pStyle w:val="Compact"/>
              <w:jc w:val="right"/>
            </w:pPr>
            <w:r>
              <w:t>76</w:t>
            </w:r>
          </w:p>
        </w:tc>
      </w:tr>
      <w:tr w:rsidR="00F64049">
        <w:tc>
          <w:tcPr>
            <w:tcW w:w="0" w:type="auto"/>
          </w:tcPr>
          <w:p w:rsidR="00F64049" w:rsidRDefault="00BE3959">
            <w:pPr>
              <w:pStyle w:val="Compact"/>
              <w:jc w:val="right"/>
            </w:pPr>
            <w:r>
              <w:t>4</w:t>
            </w:r>
          </w:p>
        </w:tc>
        <w:tc>
          <w:tcPr>
            <w:tcW w:w="0" w:type="auto"/>
          </w:tcPr>
          <w:p w:rsidR="00F64049" w:rsidRDefault="00BE3959">
            <w:pPr>
              <w:pStyle w:val="Compact"/>
              <w:jc w:val="left"/>
            </w:pPr>
            <w:r>
              <w:t>Kwara</w:t>
            </w:r>
          </w:p>
        </w:tc>
        <w:tc>
          <w:tcPr>
            <w:tcW w:w="0" w:type="auto"/>
          </w:tcPr>
          <w:p w:rsidR="00F64049" w:rsidRDefault="00BE3959">
            <w:pPr>
              <w:pStyle w:val="Compact"/>
              <w:jc w:val="right"/>
            </w:pPr>
            <w:r>
              <w:t>1.922</w:t>
            </w:r>
          </w:p>
        </w:tc>
        <w:tc>
          <w:tcPr>
            <w:tcW w:w="0" w:type="auto"/>
          </w:tcPr>
          <w:p w:rsidR="00F64049" w:rsidRDefault="00BE3959">
            <w:pPr>
              <w:pStyle w:val="Compact"/>
              <w:jc w:val="right"/>
            </w:pPr>
            <w:r>
              <w:t>1.853</w:t>
            </w:r>
          </w:p>
        </w:tc>
        <w:tc>
          <w:tcPr>
            <w:tcW w:w="0" w:type="auto"/>
          </w:tcPr>
          <w:p w:rsidR="00F64049" w:rsidRDefault="00BE3959">
            <w:pPr>
              <w:pStyle w:val="Compact"/>
              <w:jc w:val="right"/>
            </w:pPr>
            <w:r>
              <w:t>115</w:t>
            </w:r>
          </w:p>
        </w:tc>
      </w:tr>
      <w:tr w:rsidR="00F64049">
        <w:tc>
          <w:tcPr>
            <w:tcW w:w="0" w:type="auto"/>
          </w:tcPr>
          <w:p w:rsidR="00F64049" w:rsidRDefault="00BE3959">
            <w:pPr>
              <w:pStyle w:val="Compact"/>
              <w:jc w:val="right"/>
            </w:pPr>
            <w:r>
              <w:t>5</w:t>
            </w:r>
          </w:p>
        </w:tc>
        <w:tc>
          <w:tcPr>
            <w:tcW w:w="0" w:type="auto"/>
          </w:tcPr>
          <w:p w:rsidR="00F64049" w:rsidRDefault="00BE3959">
            <w:pPr>
              <w:pStyle w:val="Compact"/>
              <w:jc w:val="left"/>
            </w:pPr>
            <w:r>
              <w:t>Yobe</w:t>
            </w:r>
          </w:p>
        </w:tc>
        <w:tc>
          <w:tcPr>
            <w:tcW w:w="0" w:type="auto"/>
          </w:tcPr>
          <w:p w:rsidR="00F64049" w:rsidRDefault="00BE3959">
            <w:pPr>
              <w:pStyle w:val="Compact"/>
              <w:jc w:val="right"/>
            </w:pPr>
            <w:r>
              <w:t>1.523</w:t>
            </w:r>
          </w:p>
        </w:tc>
        <w:tc>
          <w:tcPr>
            <w:tcW w:w="0" w:type="auto"/>
          </w:tcPr>
          <w:p w:rsidR="00F64049" w:rsidRDefault="00BE3959">
            <w:pPr>
              <w:pStyle w:val="Compact"/>
              <w:jc w:val="right"/>
            </w:pPr>
            <w:r>
              <w:t>1.734</w:t>
            </w:r>
          </w:p>
        </w:tc>
        <w:tc>
          <w:tcPr>
            <w:tcW w:w="0" w:type="auto"/>
          </w:tcPr>
          <w:p w:rsidR="00F64049" w:rsidRDefault="00BE3959">
            <w:pPr>
              <w:pStyle w:val="Compact"/>
              <w:jc w:val="right"/>
            </w:pPr>
            <w:r>
              <w:t>55</w:t>
            </w:r>
          </w:p>
        </w:tc>
      </w:tr>
    </w:tbl>
    <w:p w:rsidR="00F64049" w:rsidRDefault="00F64049"/>
    <w:p w:rsidR="00F64049" w:rsidRDefault="00BE3959">
      <w:pPr>
        <w:pStyle w:val="TableCaption"/>
      </w:pPr>
      <w:r>
        <w:t>Bottom 5 — États avec les superficies médianes les plus faibles</w:t>
      </w:r>
    </w:p>
    <w:tbl>
      <w:tblPr>
        <w:tblStyle w:val="Table"/>
        <w:tblW w:w="0" w:type="auto"/>
        <w:tblLook w:val="0020" w:firstRow="1" w:lastRow="0" w:firstColumn="0" w:lastColumn="0" w:noHBand="0" w:noVBand="0"/>
        <w:tblCaption w:val="Bottom 5 — États avec les superficies médianes les plus faibles"/>
      </w:tblPr>
      <w:tblGrid>
        <w:gridCol w:w="723"/>
        <w:gridCol w:w="1356"/>
        <w:gridCol w:w="2442"/>
        <w:gridCol w:w="2056"/>
        <w:gridCol w:w="1236"/>
      </w:tblGrid>
      <w:tr w:rsidR="00F64049" w:rsidTr="00F64049">
        <w:trPr>
          <w:cnfStyle w:val="100000000000" w:firstRow="1" w:lastRow="0" w:firstColumn="0" w:lastColumn="0" w:oddVBand="0" w:evenVBand="0" w:oddHBand="0" w:evenHBand="0" w:firstRowFirstColumn="0" w:firstRowLastColumn="0" w:lastRowFirstColumn="0" w:lastRowLastColumn="0"/>
          <w:tblHeader/>
        </w:trPr>
        <w:tc>
          <w:tcPr>
            <w:tcW w:w="0" w:type="auto"/>
          </w:tcPr>
          <w:p w:rsidR="00F64049" w:rsidRDefault="00BE3959">
            <w:pPr>
              <w:pStyle w:val="Compact"/>
              <w:jc w:val="right"/>
            </w:pPr>
            <w:r>
              <w:t>Rang</w:t>
            </w:r>
          </w:p>
        </w:tc>
        <w:tc>
          <w:tcPr>
            <w:tcW w:w="0" w:type="auto"/>
          </w:tcPr>
          <w:p w:rsidR="00F64049" w:rsidRDefault="00BE3959">
            <w:pPr>
              <w:pStyle w:val="Compact"/>
              <w:jc w:val="left"/>
            </w:pPr>
            <w:r>
              <w:t>État</w:t>
            </w:r>
          </w:p>
        </w:tc>
        <w:tc>
          <w:tcPr>
            <w:tcW w:w="0" w:type="auto"/>
          </w:tcPr>
          <w:p w:rsidR="00F64049" w:rsidRDefault="00BE3959">
            <w:pPr>
              <w:pStyle w:val="Compact"/>
              <w:jc w:val="right"/>
            </w:pPr>
            <w:r>
              <w:t>Médiane pondérée (ha)</w:t>
            </w:r>
          </w:p>
        </w:tc>
        <w:tc>
          <w:tcPr>
            <w:tcW w:w="0" w:type="auto"/>
          </w:tcPr>
          <w:p w:rsidR="00F64049" w:rsidRDefault="00BE3959">
            <w:pPr>
              <w:pStyle w:val="Compact"/>
              <w:jc w:val="right"/>
            </w:pPr>
            <w:r>
              <w:t>Médiane brute (ha)</w:t>
            </w:r>
          </w:p>
        </w:tc>
        <w:tc>
          <w:tcPr>
            <w:tcW w:w="0" w:type="auto"/>
          </w:tcPr>
          <w:p w:rsidR="00F64049" w:rsidRDefault="00BE3959">
            <w:pPr>
              <w:pStyle w:val="Compact"/>
              <w:jc w:val="right"/>
            </w:pPr>
            <w:r>
              <w:t>n ménages</w:t>
            </w:r>
          </w:p>
        </w:tc>
      </w:tr>
      <w:tr w:rsidR="00F64049">
        <w:tc>
          <w:tcPr>
            <w:tcW w:w="0" w:type="auto"/>
          </w:tcPr>
          <w:p w:rsidR="00F64049" w:rsidRDefault="00BE3959">
            <w:pPr>
              <w:pStyle w:val="Compact"/>
              <w:jc w:val="right"/>
            </w:pPr>
            <w:r>
              <w:t>32</w:t>
            </w:r>
          </w:p>
        </w:tc>
        <w:tc>
          <w:tcPr>
            <w:tcW w:w="0" w:type="auto"/>
          </w:tcPr>
          <w:p w:rsidR="00F64049" w:rsidRDefault="00BE3959">
            <w:pPr>
              <w:pStyle w:val="Compact"/>
              <w:jc w:val="left"/>
            </w:pPr>
            <w:r>
              <w:t>Abia</w:t>
            </w:r>
          </w:p>
        </w:tc>
        <w:tc>
          <w:tcPr>
            <w:tcW w:w="0" w:type="auto"/>
          </w:tcPr>
          <w:p w:rsidR="00F64049" w:rsidRDefault="00BE3959">
            <w:pPr>
              <w:pStyle w:val="Compact"/>
              <w:jc w:val="right"/>
            </w:pPr>
            <w:r>
              <w:t>0.181</w:t>
            </w:r>
          </w:p>
        </w:tc>
        <w:tc>
          <w:tcPr>
            <w:tcW w:w="0" w:type="auto"/>
          </w:tcPr>
          <w:p w:rsidR="00F64049" w:rsidRDefault="00BE3959">
            <w:pPr>
              <w:pStyle w:val="Compact"/>
              <w:jc w:val="right"/>
            </w:pPr>
            <w:r>
              <w:t>0.182</w:t>
            </w:r>
          </w:p>
        </w:tc>
        <w:tc>
          <w:tcPr>
            <w:tcW w:w="0" w:type="auto"/>
          </w:tcPr>
          <w:p w:rsidR="00F64049" w:rsidRDefault="00BE3959">
            <w:pPr>
              <w:pStyle w:val="Compact"/>
              <w:jc w:val="right"/>
            </w:pPr>
            <w:r>
              <w:t>176</w:t>
            </w:r>
          </w:p>
        </w:tc>
      </w:tr>
      <w:tr w:rsidR="00F64049">
        <w:tc>
          <w:tcPr>
            <w:tcW w:w="0" w:type="auto"/>
          </w:tcPr>
          <w:p w:rsidR="00F64049" w:rsidRDefault="00BE3959">
            <w:pPr>
              <w:pStyle w:val="Compact"/>
              <w:jc w:val="right"/>
            </w:pPr>
            <w:r>
              <w:t>33</w:t>
            </w:r>
          </w:p>
        </w:tc>
        <w:tc>
          <w:tcPr>
            <w:tcW w:w="0" w:type="auto"/>
          </w:tcPr>
          <w:p w:rsidR="00F64049" w:rsidRDefault="00BE3959">
            <w:pPr>
              <w:pStyle w:val="Compact"/>
              <w:jc w:val="left"/>
            </w:pPr>
            <w:r>
              <w:t>Enugu</w:t>
            </w:r>
          </w:p>
        </w:tc>
        <w:tc>
          <w:tcPr>
            <w:tcW w:w="0" w:type="auto"/>
          </w:tcPr>
          <w:p w:rsidR="00F64049" w:rsidRDefault="00BE3959">
            <w:pPr>
              <w:pStyle w:val="Compact"/>
              <w:jc w:val="right"/>
            </w:pPr>
            <w:r>
              <w:t>0.127</w:t>
            </w:r>
          </w:p>
        </w:tc>
        <w:tc>
          <w:tcPr>
            <w:tcW w:w="0" w:type="auto"/>
          </w:tcPr>
          <w:p w:rsidR="00F64049" w:rsidRDefault="00BE3959">
            <w:pPr>
              <w:pStyle w:val="Compact"/>
              <w:jc w:val="right"/>
            </w:pPr>
            <w:r>
              <w:t>0.152</w:t>
            </w:r>
          </w:p>
        </w:tc>
        <w:tc>
          <w:tcPr>
            <w:tcW w:w="0" w:type="auto"/>
          </w:tcPr>
          <w:p w:rsidR="00F64049" w:rsidRDefault="00BE3959">
            <w:pPr>
              <w:pStyle w:val="Compact"/>
              <w:jc w:val="right"/>
            </w:pPr>
            <w:r>
              <w:t>124</w:t>
            </w:r>
          </w:p>
        </w:tc>
      </w:tr>
      <w:tr w:rsidR="00F64049">
        <w:tc>
          <w:tcPr>
            <w:tcW w:w="0" w:type="auto"/>
          </w:tcPr>
          <w:p w:rsidR="00F64049" w:rsidRDefault="00BE3959">
            <w:pPr>
              <w:pStyle w:val="Compact"/>
              <w:jc w:val="right"/>
            </w:pPr>
            <w:r>
              <w:t>34</w:t>
            </w:r>
          </w:p>
        </w:tc>
        <w:tc>
          <w:tcPr>
            <w:tcW w:w="0" w:type="auto"/>
          </w:tcPr>
          <w:p w:rsidR="00F64049" w:rsidRDefault="00BE3959">
            <w:pPr>
              <w:pStyle w:val="Compact"/>
              <w:jc w:val="left"/>
            </w:pPr>
            <w:r>
              <w:t>Akwa Ibom</w:t>
            </w:r>
          </w:p>
        </w:tc>
        <w:tc>
          <w:tcPr>
            <w:tcW w:w="0" w:type="auto"/>
          </w:tcPr>
          <w:p w:rsidR="00F64049" w:rsidRDefault="00BE3959">
            <w:pPr>
              <w:pStyle w:val="Compact"/>
              <w:jc w:val="right"/>
            </w:pPr>
            <w:r>
              <w:t>0.124</w:t>
            </w:r>
          </w:p>
        </w:tc>
        <w:tc>
          <w:tcPr>
            <w:tcW w:w="0" w:type="auto"/>
          </w:tcPr>
          <w:p w:rsidR="00F64049" w:rsidRDefault="00BE3959">
            <w:pPr>
              <w:pStyle w:val="Compact"/>
              <w:jc w:val="right"/>
            </w:pPr>
            <w:r>
              <w:t>0.121</w:t>
            </w:r>
          </w:p>
        </w:tc>
        <w:tc>
          <w:tcPr>
            <w:tcW w:w="0" w:type="auto"/>
          </w:tcPr>
          <w:p w:rsidR="00F64049" w:rsidRDefault="00BE3959">
            <w:pPr>
              <w:pStyle w:val="Compact"/>
              <w:jc w:val="right"/>
            </w:pPr>
            <w:r>
              <w:t>156</w:t>
            </w:r>
          </w:p>
        </w:tc>
      </w:tr>
      <w:tr w:rsidR="00F64049">
        <w:tc>
          <w:tcPr>
            <w:tcW w:w="0" w:type="auto"/>
          </w:tcPr>
          <w:p w:rsidR="00F64049" w:rsidRDefault="00BE3959">
            <w:pPr>
              <w:pStyle w:val="Compact"/>
              <w:jc w:val="right"/>
            </w:pPr>
            <w:r>
              <w:t>35</w:t>
            </w:r>
          </w:p>
        </w:tc>
        <w:tc>
          <w:tcPr>
            <w:tcW w:w="0" w:type="auto"/>
          </w:tcPr>
          <w:p w:rsidR="00F64049" w:rsidRDefault="00BE3959">
            <w:pPr>
              <w:pStyle w:val="Compact"/>
              <w:jc w:val="left"/>
            </w:pPr>
            <w:r>
              <w:t>Anambra</w:t>
            </w:r>
          </w:p>
        </w:tc>
        <w:tc>
          <w:tcPr>
            <w:tcW w:w="0" w:type="auto"/>
          </w:tcPr>
          <w:p w:rsidR="00F64049" w:rsidRDefault="00BE3959">
            <w:pPr>
              <w:pStyle w:val="Compact"/>
              <w:jc w:val="right"/>
            </w:pPr>
            <w:r>
              <w:t>0.092</w:t>
            </w:r>
          </w:p>
        </w:tc>
        <w:tc>
          <w:tcPr>
            <w:tcW w:w="0" w:type="auto"/>
          </w:tcPr>
          <w:p w:rsidR="00F64049" w:rsidRDefault="00BE3959">
            <w:pPr>
              <w:pStyle w:val="Compact"/>
              <w:jc w:val="right"/>
            </w:pPr>
            <w:r>
              <w:t>0.091</w:t>
            </w:r>
          </w:p>
        </w:tc>
        <w:tc>
          <w:tcPr>
            <w:tcW w:w="0" w:type="auto"/>
          </w:tcPr>
          <w:p w:rsidR="00F64049" w:rsidRDefault="00BE3959">
            <w:pPr>
              <w:pStyle w:val="Compact"/>
              <w:jc w:val="right"/>
            </w:pPr>
            <w:r>
              <w:t>61</w:t>
            </w:r>
          </w:p>
        </w:tc>
      </w:tr>
      <w:tr w:rsidR="00F64049">
        <w:tc>
          <w:tcPr>
            <w:tcW w:w="0" w:type="auto"/>
          </w:tcPr>
          <w:p w:rsidR="00F64049" w:rsidRDefault="00BE3959">
            <w:pPr>
              <w:pStyle w:val="Compact"/>
              <w:jc w:val="right"/>
            </w:pPr>
            <w:r>
              <w:t>36</w:t>
            </w:r>
          </w:p>
        </w:tc>
        <w:tc>
          <w:tcPr>
            <w:tcW w:w="0" w:type="auto"/>
          </w:tcPr>
          <w:p w:rsidR="00F64049" w:rsidRDefault="00BE3959">
            <w:pPr>
              <w:pStyle w:val="Compact"/>
              <w:jc w:val="left"/>
            </w:pPr>
            <w:r>
              <w:t>Imo</w:t>
            </w:r>
          </w:p>
        </w:tc>
        <w:tc>
          <w:tcPr>
            <w:tcW w:w="0" w:type="auto"/>
          </w:tcPr>
          <w:p w:rsidR="00F64049" w:rsidRDefault="00BE3959">
            <w:pPr>
              <w:pStyle w:val="Compact"/>
              <w:jc w:val="right"/>
            </w:pPr>
            <w:r>
              <w:t>0.091</w:t>
            </w:r>
          </w:p>
        </w:tc>
        <w:tc>
          <w:tcPr>
            <w:tcW w:w="0" w:type="auto"/>
          </w:tcPr>
          <w:p w:rsidR="00F64049" w:rsidRDefault="00BE3959">
            <w:pPr>
              <w:pStyle w:val="Compact"/>
              <w:jc w:val="right"/>
            </w:pPr>
            <w:r>
              <w:t>0.093</w:t>
            </w:r>
          </w:p>
        </w:tc>
        <w:tc>
          <w:tcPr>
            <w:tcW w:w="0" w:type="auto"/>
          </w:tcPr>
          <w:p w:rsidR="00F64049" w:rsidRDefault="00BE3959">
            <w:pPr>
              <w:pStyle w:val="Compact"/>
              <w:jc w:val="right"/>
            </w:pPr>
            <w:r>
              <w:t>142</w:t>
            </w:r>
          </w:p>
        </w:tc>
      </w:tr>
    </w:tbl>
    <w:p w:rsidR="00F64049" w:rsidRDefault="00BE3959">
      <w:pPr>
        <w:pStyle w:val="Figure"/>
      </w:pPr>
      <w:r>
        <w:rPr>
          <w:noProof/>
          <w:lang w:eastAsia="en-US"/>
        </w:rPr>
        <w:lastRenderedPageBreak/>
        <w:drawing>
          <wp:inline distT="0" distB="0" distL="0" distR="0">
            <wp:extent cx="4206240" cy="3364992"/>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19"/>
                    <a:stretch>
                      <a:fillRect/>
                    </a:stretch>
                  </pic:blipFill>
                  <pic:spPr bwMode="auto">
                    <a:xfrm>
                      <a:off x="0" y="0"/>
                      <a:ext cx="4206240" cy="3364992"/>
                    </a:xfrm>
                    <a:prstGeom prst="rect">
                      <a:avLst/>
                    </a:prstGeom>
                    <a:noFill/>
                  </pic:spPr>
                </pic:pic>
              </a:graphicData>
            </a:graphic>
          </wp:inline>
        </w:drawing>
      </w:r>
    </w:p>
    <w:p w:rsidR="00F64049" w:rsidRDefault="00BE3959">
      <w:pPr>
        <w:pStyle w:val="ImageCaption"/>
      </w:pPr>
      <w:r>
        <w:rPr>
          <w:b/>
        </w:rPr>
        <w:t xml:space="preserve">Figure </w:t>
      </w:r>
      <w:bookmarkStart w:id="75" w:name="fig-t24-top5"/>
      <w:r>
        <w:rPr>
          <w:b/>
        </w:rPr>
        <w:fldChar w:fldCharType="begin"/>
      </w:r>
      <w:r>
        <w:rPr>
          <w:b/>
        </w:rPr>
        <w:instrText>SEQ fig \* Arabic</w:instrText>
      </w:r>
      <w:r>
        <w:rPr>
          <w:b/>
        </w:rPr>
        <w:fldChar w:fldCharType="separate"/>
      </w:r>
      <w:r>
        <w:rPr>
          <w:b/>
          <w:noProof/>
        </w:rPr>
        <w:t>13</w:t>
      </w:r>
      <w:r>
        <w:rPr>
          <w:b/>
        </w:rPr>
        <w:fldChar w:fldCharType="end"/>
      </w:r>
      <w:bookmarkEnd w:id="75"/>
      <w:r>
        <w:rPr>
          <w:b/>
        </w:rPr>
        <w:t xml:space="preserve">: </w:t>
      </w:r>
      <w:r>
        <w:t>Classement des États du Top 5 et Bottom 5 selon la superficie médiane pondérée</w:t>
      </w:r>
    </w:p>
    <w:p w:rsidR="00F64049" w:rsidRDefault="00BE3959">
      <w:pPr>
        <w:pStyle w:val="Corpsdetexte"/>
      </w:pPr>
      <w:r>
        <w:t xml:space="preserve">Le </w:t>
      </w:r>
      <w:r>
        <w:rPr>
          <w:b/>
          <w:bCs/>
        </w:rPr>
        <w:t>ratio maximum/minimum</w:t>
      </w:r>
      <w:r>
        <w:t xml:space="preserve"> inter-états est de </w:t>
      </w:r>
      <w:r>
        <w:rPr>
          <w:b/>
          <w:bCs/>
        </w:rPr>
        <w:t>25.5×</w:t>
      </w:r>
      <w:r>
        <w:t xml:space="preserve"> — l’État de Plateau (2.317 ha) affiche une superficie 25.5 fois supérieure à celle de Imo (0.09</w:t>
      </w:r>
      <w:r>
        <w:t>1 ha). Ces inégalités s’expliquent par des facteurs structurels profonds.</w:t>
      </w:r>
    </w:p>
    <w:p w:rsidR="00F64049" w:rsidRDefault="00BE3959">
      <w:pPr>
        <w:pStyle w:val="Corpsdetexte"/>
      </w:pPr>
      <w:r>
        <w:rPr>
          <w:b/>
          <w:bCs/>
        </w:rPr>
        <w:t>États du Nord</w:t>
      </w:r>
      <w:r>
        <w:t xml:space="preserve"> (Plateau, Bauchi, Niger, Kwara, Yobe) : densité démographique généralement plus faible, cultures céréalières extensives (mil, sorgho) requérant de grandes surfaces, et </w:t>
      </w:r>
      <w:r>
        <w:t>pratiques d’héritage qui maintiennent parfois les exploitations comme entités collectives.</w:t>
      </w:r>
    </w:p>
    <w:p w:rsidR="00F64049" w:rsidRDefault="00BE3959">
      <w:pPr>
        <w:pStyle w:val="Corpsdetexte"/>
      </w:pPr>
      <w:r>
        <w:rPr>
          <w:b/>
          <w:bCs/>
        </w:rPr>
        <w:t>États du Sud-Est</w:t>
      </w:r>
      <w:r>
        <w:t xml:space="preserve"> (Anambra, Imo, Akwa Ibom, Enugu) : densité démographique parmi les plus élevées du Nigeria, morcellement foncier extrême dû à des pratiques successo</w:t>
      </w:r>
      <w:r>
        <w:t>rales divisant la terre à chaque génération, agriculture vivrière intensive (palmier à huile, manioc, igname) adaptée aux petites surfaces.</w:t>
      </w:r>
    </w:p>
    <w:p w:rsidR="00F64049" w:rsidRDefault="00BE3959">
      <w:r>
        <w:br w:type="page"/>
      </w:r>
    </w:p>
    <w:p w:rsidR="00F64049" w:rsidRDefault="00BE3959">
      <w:pPr>
        <w:pStyle w:val="Titre1"/>
      </w:pPr>
      <w:bookmarkStart w:id="76" w:name="X9081a108448613a8f552a266560990406f4864b"/>
      <w:bookmarkStart w:id="77" w:name="_Toc226981239"/>
      <w:bookmarkEnd w:id="66"/>
      <w:bookmarkEnd w:id="73"/>
      <w:r>
        <w:lastRenderedPageBreak/>
        <w:t>7. Confrontation avec le rapport officiel LSMS 2019</w:t>
      </w:r>
      <w:bookmarkEnd w:id="77"/>
    </w:p>
    <w:p w:rsidR="00F64049" w:rsidRDefault="00BE3959">
      <w:pPr>
        <w:pStyle w:val="Titre2"/>
      </w:pPr>
      <w:bookmarkStart w:id="78" w:name="comparaison-des-indicateurs-clés"/>
      <w:bookmarkStart w:id="79" w:name="_Toc226981240"/>
      <w:r>
        <w:t>7.1 Comparaison des indicateurs clés</w:t>
      </w:r>
      <w:bookmarkEnd w:id="79"/>
    </w:p>
    <w:p w:rsidR="00F64049" w:rsidRDefault="00BE3959">
      <w:pPr>
        <w:pStyle w:val="TableCaption"/>
      </w:pPr>
      <w:r>
        <w:t>Confrontation des indicateurs avec le rapport LSMS officiel (2019)</w:t>
      </w:r>
    </w:p>
    <w:tbl>
      <w:tblPr>
        <w:tblStyle w:val="Table"/>
        <w:tblW w:w="5000" w:type="pct"/>
        <w:tblLayout w:type="fixed"/>
        <w:tblLook w:val="0020" w:firstRow="1" w:lastRow="0" w:firstColumn="0" w:lastColumn="0" w:noHBand="0" w:noVBand="0"/>
        <w:tblCaption w:val="Confrontation des indicateurs avec le rapport LSMS officiel (2019)"/>
      </w:tblPr>
      <w:tblGrid>
        <w:gridCol w:w="5065"/>
        <w:gridCol w:w="1206"/>
        <w:gridCol w:w="1447"/>
        <w:gridCol w:w="1688"/>
      </w:tblGrid>
      <w:tr w:rsidR="00F64049" w:rsidTr="00F64049">
        <w:trPr>
          <w:cnfStyle w:val="100000000000" w:firstRow="1" w:lastRow="0" w:firstColumn="0" w:lastColumn="0" w:oddVBand="0" w:evenVBand="0" w:oddHBand="0" w:evenHBand="0" w:firstRowFirstColumn="0" w:firstRowLastColumn="0" w:lastRowFirstColumn="0" w:lastRowLastColumn="0"/>
          <w:tblHeader/>
        </w:trPr>
        <w:tc>
          <w:tcPr>
            <w:tcW w:w="4264" w:type="dxa"/>
          </w:tcPr>
          <w:p w:rsidR="00F64049" w:rsidRDefault="00BE3959">
            <w:pPr>
              <w:pStyle w:val="Compact"/>
              <w:jc w:val="left"/>
            </w:pPr>
            <w:r>
              <w:t>Indicateur</w:t>
            </w:r>
          </w:p>
        </w:tc>
        <w:tc>
          <w:tcPr>
            <w:tcW w:w="1015" w:type="dxa"/>
          </w:tcPr>
          <w:p w:rsidR="00F64049" w:rsidRDefault="00BE3959">
            <w:pPr>
              <w:pStyle w:val="Compact"/>
              <w:jc w:val="left"/>
            </w:pPr>
            <w:r>
              <w:t>LSMS 2019</w:t>
            </w:r>
          </w:p>
        </w:tc>
        <w:tc>
          <w:tcPr>
            <w:tcW w:w="1218" w:type="dxa"/>
          </w:tcPr>
          <w:p w:rsidR="00F64049" w:rsidRDefault="00BE3959">
            <w:pPr>
              <w:pStyle w:val="Compact"/>
              <w:jc w:val="left"/>
            </w:pPr>
            <w:r>
              <w:t>Notre étude</w:t>
            </w:r>
          </w:p>
        </w:tc>
        <w:tc>
          <w:tcPr>
            <w:tcW w:w="1421" w:type="dxa"/>
          </w:tcPr>
          <w:p w:rsidR="00F64049" w:rsidRDefault="00BE3959">
            <w:pPr>
              <w:pStyle w:val="Compact"/>
              <w:jc w:val="left"/>
            </w:pPr>
            <w:r>
              <w:t>Écart relatif</w:t>
            </w:r>
          </w:p>
        </w:tc>
      </w:tr>
      <w:tr w:rsidR="00F64049">
        <w:tc>
          <w:tcPr>
            <w:tcW w:w="4264" w:type="dxa"/>
          </w:tcPr>
          <w:p w:rsidR="00F64049" w:rsidRDefault="00BE3959">
            <w:pPr>
              <w:pStyle w:val="Compact"/>
              <w:jc w:val="left"/>
            </w:pPr>
            <w:r>
              <w:t>Superficie moyenne par parcelle (ha)</w:t>
            </w:r>
          </w:p>
        </w:tc>
        <w:tc>
          <w:tcPr>
            <w:tcW w:w="1015" w:type="dxa"/>
          </w:tcPr>
          <w:p w:rsidR="00F64049" w:rsidRDefault="00BE3959">
            <w:pPr>
              <w:pStyle w:val="Compact"/>
              <w:jc w:val="left"/>
            </w:pPr>
            <w:r>
              <w:t>0,45</w:t>
            </w:r>
          </w:p>
        </w:tc>
        <w:tc>
          <w:tcPr>
            <w:tcW w:w="1218" w:type="dxa"/>
          </w:tcPr>
          <w:p w:rsidR="00F64049" w:rsidRDefault="00BE3959">
            <w:pPr>
              <w:pStyle w:val="Compact"/>
              <w:jc w:val="left"/>
            </w:pPr>
            <w:r>
              <w:t>0.52</w:t>
            </w:r>
          </w:p>
        </w:tc>
        <w:tc>
          <w:tcPr>
            <w:tcW w:w="1421" w:type="dxa"/>
          </w:tcPr>
          <w:p w:rsidR="00F64049" w:rsidRDefault="00BE3959">
            <w:pPr>
              <w:pStyle w:val="Compact"/>
              <w:jc w:val="left"/>
            </w:pPr>
            <w:r>
              <w:t>+15 %</w:t>
            </w:r>
          </w:p>
        </w:tc>
      </w:tr>
      <w:tr w:rsidR="00F64049">
        <w:tc>
          <w:tcPr>
            <w:tcW w:w="4264" w:type="dxa"/>
          </w:tcPr>
          <w:p w:rsidR="00F64049" w:rsidRDefault="00BE3959">
            <w:pPr>
              <w:pStyle w:val="Compact"/>
              <w:jc w:val="left"/>
            </w:pPr>
            <w:r>
              <w:t>Superficie médiane par parcelle (ha)</w:t>
            </w:r>
          </w:p>
        </w:tc>
        <w:tc>
          <w:tcPr>
            <w:tcW w:w="1015" w:type="dxa"/>
          </w:tcPr>
          <w:p w:rsidR="00F64049" w:rsidRDefault="00BE3959">
            <w:pPr>
              <w:pStyle w:val="Compact"/>
              <w:jc w:val="left"/>
            </w:pPr>
            <w:r>
              <w:t>—</w:t>
            </w:r>
          </w:p>
        </w:tc>
        <w:tc>
          <w:tcPr>
            <w:tcW w:w="1218" w:type="dxa"/>
          </w:tcPr>
          <w:p w:rsidR="00F64049" w:rsidRDefault="00BE3959">
            <w:pPr>
              <w:pStyle w:val="Compact"/>
              <w:jc w:val="left"/>
            </w:pPr>
            <w:r>
              <w:t>0.26</w:t>
            </w:r>
          </w:p>
        </w:tc>
        <w:tc>
          <w:tcPr>
            <w:tcW w:w="1421" w:type="dxa"/>
          </w:tcPr>
          <w:p w:rsidR="00F64049" w:rsidRDefault="00BE3959">
            <w:pPr>
              <w:pStyle w:val="Compact"/>
              <w:jc w:val="left"/>
            </w:pPr>
            <w:r>
              <w:t>—</w:t>
            </w:r>
          </w:p>
        </w:tc>
      </w:tr>
      <w:tr w:rsidR="00F64049">
        <w:tc>
          <w:tcPr>
            <w:tcW w:w="4264" w:type="dxa"/>
          </w:tcPr>
          <w:p w:rsidR="00F64049" w:rsidRDefault="00BE3959">
            <w:pPr>
              <w:pStyle w:val="Compact"/>
              <w:jc w:val="left"/>
            </w:pPr>
            <w:r>
              <w:t>Superficie totale moyenne par ménage (ha)</w:t>
            </w:r>
          </w:p>
        </w:tc>
        <w:tc>
          <w:tcPr>
            <w:tcW w:w="1015" w:type="dxa"/>
          </w:tcPr>
          <w:p w:rsidR="00F64049" w:rsidRDefault="00BE3959">
            <w:pPr>
              <w:pStyle w:val="Compact"/>
              <w:jc w:val="left"/>
            </w:pPr>
            <w:r>
              <w:t>1,28</w:t>
            </w:r>
          </w:p>
        </w:tc>
        <w:tc>
          <w:tcPr>
            <w:tcW w:w="1218" w:type="dxa"/>
          </w:tcPr>
          <w:p w:rsidR="00F64049" w:rsidRDefault="00BE3959">
            <w:pPr>
              <w:pStyle w:val="Compact"/>
              <w:jc w:val="left"/>
            </w:pPr>
            <w:r>
              <w:t>1.19</w:t>
            </w:r>
          </w:p>
        </w:tc>
        <w:tc>
          <w:tcPr>
            <w:tcW w:w="1421" w:type="dxa"/>
          </w:tcPr>
          <w:p w:rsidR="00F64049" w:rsidRDefault="00BE3959">
            <w:pPr>
              <w:pStyle w:val="Compact"/>
              <w:jc w:val="left"/>
            </w:pPr>
            <w:r>
              <w:t>-7 %</w:t>
            </w:r>
          </w:p>
        </w:tc>
      </w:tr>
      <w:tr w:rsidR="00F64049">
        <w:tc>
          <w:tcPr>
            <w:tcW w:w="4264" w:type="dxa"/>
          </w:tcPr>
          <w:p w:rsidR="00F64049" w:rsidRDefault="00BE3959">
            <w:pPr>
              <w:pStyle w:val="Compact"/>
              <w:jc w:val="left"/>
            </w:pPr>
            <w:r>
              <w:t>Part des parcelles sous héritage (%)</w:t>
            </w:r>
          </w:p>
        </w:tc>
        <w:tc>
          <w:tcPr>
            <w:tcW w:w="1015" w:type="dxa"/>
          </w:tcPr>
          <w:p w:rsidR="00F64049" w:rsidRDefault="00BE3959">
            <w:pPr>
              <w:pStyle w:val="Compact"/>
              <w:jc w:val="left"/>
            </w:pPr>
            <w:r>
              <w:t>62,7–63,4</w:t>
            </w:r>
          </w:p>
        </w:tc>
        <w:tc>
          <w:tcPr>
            <w:tcW w:w="1218" w:type="dxa"/>
          </w:tcPr>
          <w:p w:rsidR="00F64049" w:rsidRDefault="00BE3959">
            <w:pPr>
              <w:pStyle w:val="Compact"/>
              <w:jc w:val="left"/>
            </w:pPr>
            <w:r>
              <w:t>63.1</w:t>
            </w:r>
          </w:p>
        </w:tc>
        <w:tc>
          <w:tcPr>
            <w:tcW w:w="1421" w:type="dxa"/>
          </w:tcPr>
          <w:p w:rsidR="00F64049" w:rsidRDefault="00BE3959">
            <w:pPr>
              <w:pStyle w:val="Compact"/>
              <w:jc w:val="left"/>
            </w:pPr>
            <w:r>
              <w:t>~0 %</w:t>
            </w:r>
          </w:p>
        </w:tc>
      </w:tr>
    </w:tbl>
    <w:p w:rsidR="00F64049" w:rsidRDefault="00BE3959">
      <w:pPr>
        <w:pStyle w:val="Corpsdetexte"/>
      </w:pPr>
      <w:r>
        <w:t xml:space="preserve">Les divergences sur la superficie moyenne sont attendues et s’expliquent méthodologiquement. Le rapport LSMS utilise </w:t>
      </w:r>
      <w:r>
        <w:rPr>
          <w:b/>
          <w:bCs/>
        </w:rPr>
        <w:t>toutes</w:t>
      </w:r>
      <w:r>
        <w:t xml:space="preserve"> </w:t>
      </w:r>
      <w:r>
        <w:t xml:space="preserve">les parcelles (y compris celles sans GPS, dont la superficie déclarée est retenue) et inclut les parcelles non cultivées. Notre étude se restreint aux parcelles avec mesure GPS objective, excluant les 33 % de parcelles sans GPS. Cette restriction améliore </w:t>
      </w:r>
      <w:r>
        <w:t>la qualité de la mesure mais réduit la couverture.</w:t>
      </w:r>
    </w:p>
    <w:p w:rsidR="00F64049" w:rsidRDefault="00BE3959">
      <w:pPr>
        <w:pStyle w:val="Corpsdetexte"/>
      </w:pPr>
      <w:r>
        <w:t xml:space="preserve">La structure de tenure est en revanche </w:t>
      </w:r>
      <w:r>
        <w:rPr>
          <w:b/>
          <w:bCs/>
        </w:rPr>
        <w:t>parfaitement cohérente</w:t>
      </w:r>
      <w:r>
        <w:t xml:space="preserve"> : notre estimation de 63.1 % pour l’héritage est quasi-identique aux 62,7–63,4 % du rapport officiel, ce qui valide notre pipeline de traitemen</w:t>
      </w:r>
      <w:r>
        <w:t>t.</w:t>
      </w:r>
    </w:p>
    <w:p w:rsidR="00F64049" w:rsidRDefault="00BE3959">
      <w:pPr>
        <w:pStyle w:val="Titre2"/>
      </w:pPr>
      <w:bookmarkStart w:id="80" w:name="apports-spécifiques-de-cette-étude"/>
      <w:bookmarkStart w:id="81" w:name="_Toc226981241"/>
      <w:bookmarkEnd w:id="78"/>
      <w:r>
        <w:t>7.2 Apports spécifiques de cette étude</w:t>
      </w:r>
      <w:bookmarkEnd w:id="81"/>
    </w:p>
    <w:p w:rsidR="00F64049" w:rsidRDefault="00BE3959">
      <w:pPr>
        <w:pStyle w:val="FirstParagraph"/>
      </w:pPr>
      <w:r>
        <w:t>Notre travail enrichit le rapport LSMS sur quatre points :</w:t>
      </w:r>
    </w:p>
    <w:p w:rsidR="00F64049" w:rsidRDefault="00BE3959">
      <w:pPr>
        <w:numPr>
          <w:ilvl w:val="0"/>
          <w:numId w:val="12"/>
        </w:numPr>
      </w:pPr>
      <w:r>
        <w:rPr>
          <w:b/>
          <w:bCs/>
        </w:rPr>
        <w:t>Quantification du biais GPS inter-passages</w:t>
      </w:r>
      <w:r>
        <w:t xml:space="preserve"> avec intervalle de confiance (ρ = 0.824 ; IC 95 % [0.796 ; 0.849]) calculé par transformation de Fisher — le rap</w:t>
      </w:r>
      <w:r>
        <w:t>port officiel ne documente pas ce biais quantitativement.</w:t>
      </w:r>
    </w:p>
    <w:p w:rsidR="00F64049" w:rsidRDefault="00BE3959">
      <w:pPr>
        <w:numPr>
          <w:ilvl w:val="0"/>
          <w:numId w:val="12"/>
        </w:numPr>
      </w:pPr>
      <w:r>
        <w:rPr>
          <w:b/>
          <w:bCs/>
        </w:rPr>
        <w:lastRenderedPageBreak/>
        <w:t>Localisation fine de l’association tenure-milieu</w:t>
      </w:r>
      <w:r>
        <w:t xml:space="preserve"> par les résidus standardisés d’Haberman, permettant d’identifier précisément quelles modalités sont sur- ou sous-représentées dans chaque milieu.</w:t>
      </w:r>
    </w:p>
    <w:p w:rsidR="00F64049" w:rsidRDefault="00BE3959">
      <w:pPr>
        <w:numPr>
          <w:ilvl w:val="0"/>
          <w:numId w:val="12"/>
        </w:numPr>
      </w:pPr>
      <w:r>
        <w:rPr>
          <w:b/>
          <w:bCs/>
        </w:rPr>
        <w:t>Con</w:t>
      </w:r>
      <w:r>
        <w:rPr>
          <w:b/>
          <w:bCs/>
        </w:rPr>
        <w:t>trôle systématique du plan de sondage</w:t>
      </w:r>
      <w:r>
        <w:t xml:space="preserve"> : toutes les estimations sont produites en versions brute et pondérée côte à côte.</w:t>
      </w:r>
    </w:p>
    <w:p w:rsidR="00F64049" w:rsidRDefault="00BE3959">
      <w:pPr>
        <w:numPr>
          <w:ilvl w:val="0"/>
          <w:numId w:val="12"/>
        </w:numPr>
      </w:pPr>
      <w:r>
        <w:rPr>
          <w:b/>
          <w:bCs/>
        </w:rPr>
        <w:t>Cartographie inter-étatique</w:t>
      </w:r>
      <w:r>
        <w:t xml:space="preserve"> avec la médiane pondérée sur fond GADM v4.1, offrant une visualisation plus robuste que les tableaux du rap</w:t>
      </w:r>
      <w:r>
        <w:t>port officiel.</w:t>
      </w:r>
    </w:p>
    <w:p w:rsidR="00F64049" w:rsidRDefault="00BE3959">
      <w:r>
        <w:br w:type="page"/>
      </w:r>
    </w:p>
    <w:p w:rsidR="00F64049" w:rsidRDefault="00BE3959">
      <w:pPr>
        <w:pStyle w:val="Titre1"/>
      </w:pPr>
      <w:bookmarkStart w:id="82" w:name="conclusion"/>
      <w:bookmarkStart w:id="83" w:name="_Toc226981242"/>
      <w:bookmarkEnd w:id="76"/>
      <w:bookmarkEnd w:id="80"/>
      <w:r>
        <w:lastRenderedPageBreak/>
        <w:t>Conclusion</w:t>
      </w:r>
      <w:bookmarkEnd w:id="83"/>
    </w:p>
    <w:p w:rsidR="00F64049" w:rsidRDefault="00BE3959">
      <w:pPr>
        <w:pStyle w:val="FirstParagraph"/>
      </w:pPr>
      <w:r>
        <w:t xml:space="preserve">Ce rapport a analysé la structure foncière des exploitations agricoles nigérianes à partir des modules parcelles du GHS-Panel Wave 4, en couvrant cinq dimensions analytiques complémentaires. Quatre enseignements structurants se </w:t>
      </w:r>
      <w:r>
        <w:t>dégagent.</w:t>
      </w:r>
    </w:p>
    <w:p w:rsidR="00F64049" w:rsidRDefault="00BE3959">
      <w:pPr>
        <w:pStyle w:val="Corpsdetexte"/>
      </w:pPr>
      <w:r>
        <w:rPr>
          <w:b/>
          <w:bCs/>
        </w:rPr>
        <w:t>La petite agriculture familiale est la norme.</w:t>
      </w:r>
      <w:r>
        <w:t xml:space="preserve"> La superficie médiane par parcelle (0,26 ha) et la superficie totale médiane par ménage (0,66 ha) placent l’agriculture nigériane dans la catégorie des agricultures de subsistance à petite échelle. La</w:t>
      </w:r>
      <w:r>
        <w:t xml:space="preserve"> distribution extrêmement asymétrique (CV = 150 %) révèle la coexistence d’une grande majorité de petits exploitants et d’une minorité de grandes exploitations. Cette hétérogénéité appelle des politiques agricoles différenciées selon la taille des exploita</w:t>
      </w:r>
      <w:r>
        <w:t>tions, plutôt que des interventions uniformes.</w:t>
      </w:r>
    </w:p>
    <w:p w:rsidR="00F64049" w:rsidRDefault="00BE3959">
      <w:pPr>
        <w:pStyle w:val="Corpsdetexte"/>
      </w:pPr>
      <w:r>
        <w:rPr>
          <w:b/>
          <w:bCs/>
        </w:rPr>
        <w:t>Le droit coutumier domine, mais une transition est en cours.</w:t>
      </w:r>
      <w:r>
        <w:t xml:space="preserve"> L’héritage familial concentre près des deux tiers des parcelles, reflet de la prépondérance des systèmes coutumiers hérités du droit précolonial. Ce</w:t>
      </w:r>
      <w:r>
        <w:t xml:space="preserve">pendant, la différenciation rurale-urbaine révélée par les résidus d’Haberman montre que le milieu urbain est déjà caractérisé par une sur-représentation significative de la propriété par achat et de la location, signalant une transition foncière vers des </w:t>
      </w:r>
      <w:r>
        <w:t>mécanismes de marché, alimentée par la pression démographique et la monétarisation des échanges.</w:t>
      </w:r>
    </w:p>
    <w:p w:rsidR="00F64049" w:rsidRDefault="00BE3959">
      <w:pPr>
        <w:pStyle w:val="Corpsdetexte"/>
      </w:pPr>
      <w:r>
        <w:rPr>
          <w:b/>
          <w:bCs/>
        </w:rPr>
        <w:t>La fragmentation n’est pas la variable-clé.</w:t>
      </w:r>
      <w:r>
        <w:t xml:space="preserve"> </w:t>
      </w:r>
      <w:r>
        <w:t>La corrélation faible entre nombre de parcelles et superficie totale (ρ ≈ 0,19, R² ≈ 3,6 %) relativise les discours qui font de la fragmentation le principal déterminant de la productivité. La taille unitaire des parcelles, héritée de l’histoire foncière f</w:t>
      </w:r>
      <w:r>
        <w:t>amiliale et des conditions locales, est le facteur dominant.</w:t>
      </w:r>
    </w:p>
    <w:p w:rsidR="00F64049" w:rsidRDefault="00BE3959">
      <w:pPr>
        <w:pStyle w:val="Corpsdetexte"/>
      </w:pPr>
      <w:r>
        <w:rPr>
          <w:b/>
          <w:bCs/>
        </w:rPr>
        <w:t>Les inégalités géographiques sont profondes et structurelles.</w:t>
      </w:r>
      <w:r>
        <w:t xml:space="preserve"> Le ratio de superficies médianes entre États du Nord et du Sud-Est dépasse 25.5×. Ces disparités cristallisent des différences agro-é</w:t>
      </w:r>
      <w:r>
        <w:t>cologiques (pluviométrie, sols), démographiques (densité) et institutionnelles (modes de succession) dont les effets se cumulent et se renforcent mutuellement.</w:t>
      </w:r>
    </w:p>
    <w:p w:rsidR="00F64049" w:rsidRDefault="00BE3959">
      <w:pPr>
        <w:pStyle w:val="Corpsdetexte"/>
      </w:pPr>
      <w:r>
        <w:lastRenderedPageBreak/>
        <w:t>Ces résultats, cohérents avec le rapport LSMS officiel de 2019 et enrichis par des analyses comp</w:t>
      </w:r>
      <w:r>
        <w:t>lémentaires, constituent une base solide pour des travaux futurs visant à identifier les déterminants de la productivité agricole au Nigeria.</w:t>
      </w:r>
    </w:p>
    <w:p w:rsidR="00F64049" w:rsidRDefault="00BE3959">
      <w:r>
        <w:br w:type="page"/>
      </w:r>
    </w:p>
    <w:p w:rsidR="00F64049" w:rsidRDefault="00BE3959">
      <w:pPr>
        <w:pStyle w:val="Titre1"/>
      </w:pPr>
      <w:bookmarkStart w:id="84" w:name="références-bibliographiques"/>
      <w:bookmarkStart w:id="85" w:name="_Toc226981243"/>
      <w:bookmarkEnd w:id="82"/>
      <w:r>
        <w:lastRenderedPageBreak/>
        <w:t>Références bibliographiques</w:t>
      </w:r>
      <w:bookmarkEnd w:id="85"/>
    </w:p>
    <w:p w:rsidR="00F64049" w:rsidRDefault="00BE3959">
      <w:pPr>
        <w:numPr>
          <w:ilvl w:val="0"/>
          <w:numId w:val="13"/>
        </w:numPr>
      </w:pPr>
      <w:r>
        <w:t xml:space="preserve">NBS &amp; World Bank (2019). </w:t>
      </w:r>
      <w:r>
        <w:rPr>
          <w:i/>
          <w:iCs/>
        </w:rPr>
        <w:t xml:space="preserve">Nigeria General Household Survey Panel, Wave 4 (2018/2019) </w:t>
      </w:r>
      <w:r>
        <w:rPr>
          <w:i/>
          <w:iCs/>
        </w:rPr>
        <w:t>— Survey Report.</w:t>
      </w:r>
      <w:r>
        <w:t xml:space="preserve"> National Bureau of Statistics, Abuja.</w:t>
      </w:r>
    </w:p>
    <w:p w:rsidR="00F64049" w:rsidRDefault="00BE3959">
      <w:pPr>
        <w:numPr>
          <w:ilvl w:val="0"/>
          <w:numId w:val="13"/>
        </w:numPr>
      </w:pPr>
      <w:r>
        <w:t xml:space="preserve">World Bank LSMS-ISA (2023). </w:t>
      </w:r>
      <w:r>
        <w:rPr>
          <w:i/>
          <w:iCs/>
        </w:rPr>
        <w:t>Nigeria GHS-Panel, Wave 4 — Microdataset.</w:t>
      </w:r>
      <w:r>
        <w:t xml:space="preserve"> </w:t>
      </w:r>
      <w:hyperlink r:id="rId20">
        <w:r>
          <w:rPr>
            <w:rStyle w:val="Lienhypertexte"/>
          </w:rPr>
          <w:t>https://microdata.worldbank.org</w:t>
        </w:r>
      </w:hyperlink>
    </w:p>
    <w:p w:rsidR="00F64049" w:rsidRDefault="00BE3959">
      <w:pPr>
        <w:numPr>
          <w:ilvl w:val="0"/>
          <w:numId w:val="13"/>
        </w:numPr>
      </w:pPr>
      <w:r>
        <w:t xml:space="preserve">Carletto, G., Savastano, S., &amp; Zezza, A. (2013). Fact or artifact: The impact of measurement errors on the farm size–productivity relationship. </w:t>
      </w:r>
      <w:r>
        <w:rPr>
          <w:i/>
          <w:iCs/>
        </w:rPr>
        <w:t>Journal of Development Economics</w:t>
      </w:r>
      <w:r>
        <w:t>, 103, 254–261.</w:t>
      </w:r>
    </w:p>
    <w:p w:rsidR="00F64049" w:rsidRDefault="00BE3959">
      <w:pPr>
        <w:numPr>
          <w:ilvl w:val="0"/>
          <w:numId w:val="13"/>
        </w:numPr>
      </w:pPr>
      <w:r>
        <w:t>Deininger, K., Savastano, S., &amp; Carletto, C. (2012). Land Fragme</w:t>
      </w:r>
      <w:r>
        <w:t xml:space="preserve">ntation, Cropland Abandonment, and Land Market Operation in Albania. </w:t>
      </w:r>
      <w:r>
        <w:rPr>
          <w:i/>
          <w:iCs/>
        </w:rPr>
        <w:t>World Development</w:t>
      </w:r>
      <w:r>
        <w:t>, 40(10), 2108–2122.</w:t>
      </w:r>
    </w:p>
    <w:p w:rsidR="00F64049" w:rsidRDefault="00BE3959">
      <w:pPr>
        <w:numPr>
          <w:ilvl w:val="0"/>
          <w:numId w:val="13"/>
        </w:numPr>
      </w:pPr>
      <w:r>
        <w:t xml:space="preserve">GADM (2022). </w:t>
      </w:r>
      <w:r>
        <w:rPr>
          <w:i/>
          <w:iCs/>
        </w:rPr>
        <w:t>Database of Global Administrative Areas, version 4.1.</w:t>
      </w:r>
      <w:r>
        <w:t xml:space="preserve"> </w:t>
      </w:r>
      <w:hyperlink r:id="rId21">
        <w:r>
          <w:rPr>
            <w:rStyle w:val="Lienhypertexte"/>
          </w:rPr>
          <w:t>https://gadm.org</w:t>
        </w:r>
      </w:hyperlink>
    </w:p>
    <w:p w:rsidR="00F64049" w:rsidRDefault="00BE3959">
      <w:pPr>
        <w:numPr>
          <w:ilvl w:val="0"/>
          <w:numId w:val="13"/>
        </w:numPr>
      </w:pPr>
      <w:r>
        <w:t xml:space="preserve">R Core Team (2024). </w:t>
      </w:r>
      <w:r>
        <w:rPr>
          <w:i/>
          <w:iCs/>
        </w:rPr>
        <w:t>R: A lang</w:t>
      </w:r>
      <w:r>
        <w:rPr>
          <w:i/>
          <w:iCs/>
        </w:rPr>
        <w:t>uage and environment for statistical computing.</w:t>
      </w:r>
      <w:r>
        <w:t xml:space="preserve"> R Foundation for Statistical Computing, Vienna, Austria.</w:t>
      </w:r>
    </w:p>
    <w:p w:rsidR="00F64049" w:rsidRDefault="00BE3959">
      <w:pPr>
        <w:numPr>
          <w:ilvl w:val="0"/>
          <w:numId w:val="13"/>
        </w:numPr>
      </w:pPr>
      <w:r>
        <w:t xml:space="preserve">Wickham, H., et al. (2019). Welcome to the Tidyverse. </w:t>
      </w:r>
      <w:r>
        <w:rPr>
          <w:i/>
          <w:iCs/>
        </w:rPr>
        <w:t>Journal of Open Source Software</w:t>
      </w:r>
      <w:r>
        <w:t>, 4(43), 1686.</w:t>
      </w:r>
    </w:p>
    <w:p w:rsidR="00F64049" w:rsidRDefault="00BE3959">
      <w:pPr>
        <w:numPr>
          <w:ilvl w:val="0"/>
          <w:numId w:val="13"/>
        </w:numPr>
      </w:pPr>
      <w:r>
        <w:t xml:space="preserve">Bivand, R., Pebesma, E., &amp; Gómez-Rubio, V. (2013). </w:t>
      </w:r>
      <w:r>
        <w:rPr>
          <w:i/>
          <w:iCs/>
        </w:rPr>
        <w:t>Applied Spatial Data Analysis with R.</w:t>
      </w:r>
      <w:r>
        <w:t xml:space="preserve"> Springer, New York.</w:t>
      </w:r>
      <w:bookmarkEnd w:id="84"/>
    </w:p>
    <w:sectPr w:rsidR="00F64049" w:rsidSect="00615638">
      <w:headerReference w:type="even" r:id="rId22"/>
      <w:headerReference w:type="default" r:id="rId23"/>
      <w:footerReference w:type="even" r:id="rId24"/>
      <w:footerReference w:type="default" r:id="rId25"/>
      <w:headerReference w:type="first" r:id="rId26"/>
      <w:footerReference w:type="first" r:id="rId27"/>
      <w:footnotePr>
        <w:numRestart w:val="eachSect"/>
      </w:footnotePr>
      <w:pgSz w:w="12240" w:h="15840"/>
      <w:pgMar w:top="1417" w:right="1417" w:bottom="1417" w:left="1417" w:header="720" w:footer="68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6A40" w:rsidRDefault="00BE395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E90" w:rsidRPr="00615638" w:rsidRDefault="00BE3959" w:rsidP="009E2728">
    <w:pPr>
      <w:pStyle w:val="Pieddepage"/>
      <w:jc w:val="center"/>
      <w:rPr>
        <w:b/>
      </w:rPr>
    </w:pPr>
  </w:p>
  <w:p w:rsidR="00611E90" w:rsidRDefault="00BE3959">
    <w:pPr>
      <w:pStyle w:val="Pieddepage"/>
    </w:pPr>
  </w:p>
  <w:p w:rsidR="00000000" w:rsidRDefault="00BE3959"/>
  <w:p w:rsidR="008B6A40" w:rsidRPr="00615638" w:rsidRDefault="00BE3959">
    <w:pPr>
      <w:pStyle w:val="Pieddepage"/>
      <w:jc w:val="right"/>
      <w:rPr>
        <w:b/>
      </w:rPr>
    </w:pPr>
    <w:r w:rsidRPr="00615638">
      <w:rPr>
        <w:b/>
        <w:szCs w:val="20"/>
        <w:lang w:val="fr-FR"/>
      </w:rPr>
      <w:t xml:space="preserve">p. </w:t>
    </w:r>
    <w:r w:rsidRPr="00615638">
      <w:rPr>
        <w:b/>
        <w:szCs w:val="20"/>
      </w:rPr>
      <w:fldChar w:fldCharType="begin"/>
    </w:r>
    <w:r w:rsidRPr="00615638">
      <w:rPr>
        <w:b/>
        <w:szCs w:val="20"/>
      </w:rPr>
      <w:instrText>PAGE  \* Arabic</w:instrText>
    </w:r>
    <w:r w:rsidRPr="00615638">
      <w:rPr>
        <w:b/>
        <w:szCs w:val="20"/>
      </w:rPr>
      <w:fldChar w:fldCharType="separate"/>
    </w:r>
    <w:r>
      <w:rPr>
        <w:b/>
        <w:noProof/>
        <w:szCs w:val="20"/>
      </w:rPr>
      <w:t>12</w:t>
    </w:r>
    <w:r w:rsidRPr="00615638">
      <w:rPr>
        <w:b/>
        <w:szCs w:val="20"/>
      </w:rPr>
      <w:fldChar w:fldCharType="end"/>
    </w:r>
  </w:p>
  <w:p w:rsidR="008B6A40" w:rsidRDefault="00BE395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6A40" w:rsidRDefault="00BE3959">
    <w:pPr>
      <w:pStyle w:val="Pieddepage"/>
    </w:pPr>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6A40" w:rsidRDefault="00BE395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6A40" w:rsidRDefault="00BE395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6A40" w:rsidRDefault="00BE395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0492AF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12017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27C8A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89114C2"/>
    <w:multiLevelType w:val="multilevel"/>
    <w:tmpl w:val="0A20BDD6"/>
    <w:lvl w:ilvl="0">
      <w:start w:val="1"/>
      <w:numFmt w:val="upperRoman"/>
      <w:pStyle w:val="KLG"/>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6A714F0B"/>
    <w:multiLevelType w:val="multilevel"/>
    <w:tmpl w:val="DFB239B2"/>
    <w:lvl w:ilvl="0">
      <w:start w:val="1"/>
      <w:numFmt w:val="upperRoman"/>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7BB64FCC"/>
    <w:multiLevelType w:val="multilevel"/>
    <w:tmpl w:val="18642202"/>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0"/>
  </w:num>
  <w:num w:numId="3">
    <w:abstractNumId w:val="1"/>
  </w:num>
  <w:num w:numId="4">
    <w:abstractNumId w:val="1"/>
  </w:num>
  <w:num w:numId="5">
    <w:abstractNumId w:val="4"/>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0"/>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1"/>
  <w:defaultTabStop w:val="720"/>
  <w:hyphenationZone w:val="425"/>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049"/>
    <w:rsid w:val="00BE3959"/>
    <w:rsid w:val="00F64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9966FF-C3D1-496A-BE22-20A0D7CDA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0C21"/>
    <w:pPr>
      <w:spacing w:line="360" w:lineRule="auto"/>
    </w:pPr>
    <w:rPr>
      <w:rFonts w:ascii="Times New Roman" w:hAnsi="Times New Roman"/>
    </w:rPr>
  </w:style>
  <w:style w:type="paragraph" w:styleId="Titre1">
    <w:name w:val="heading 1"/>
    <w:basedOn w:val="Normal"/>
    <w:next w:val="Corpsdetexte"/>
    <w:link w:val="Titre1Car"/>
    <w:uiPriority w:val="9"/>
    <w:qFormat/>
    <w:rsid w:val="009E2728"/>
    <w:pPr>
      <w:keepNext/>
      <w:keepLines/>
      <w:spacing w:before="360" w:after="80"/>
      <w:outlineLvl w:val="0"/>
    </w:pPr>
    <w:rPr>
      <w:rFonts w:eastAsiaTheme="majorEastAsia" w:cstheme="majorBidi"/>
      <w:b/>
      <w:color w:val="45B0E1" w:themeColor="accent1" w:themeTint="99"/>
      <w:sz w:val="32"/>
      <w:szCs w:val="40"/>
    </w:rPr>
  </w:style>
  <w:style w:type="paragraph" w:styleId="Titre2">
    <w:name w:val="heading 2"/>
    <w:basedOn w:val="Normal"/>
    <w:next w:val="Corpsdetexte"/>
    <w:link w:val="Titre2Car"/>
    <w:uiPriority w:val="9"/>
    <w:unhideWhenUsed/>
    <w:qFormat/>
    <w:rsid w:val="009E2728"/>
    <w:pPr>
      <w:keepNext/>
      <w:keepLines/>
      <w:spacing w:before="160" w:after="80"/>
      <w:outlineLvl w:val="1"/>
    </w:pPr>
    <w:rPr>
      <w:rFonts w:eastAsiaTheme="majorEastAsia" w:cstheme="majorBidi"/>
      <w:b/>
      <w:color w:val="0B769F" w:themeColor="accent4" w:themeShade="BF"/>
      <w:sz w:val="28"/>
      <w:szCs w:val="32"/>
    </w:rPr>
  </w:style>
  <w:style w:type="paragraph" w:styleId="Titre3">
    <w:name w:val="heading 3"/>
    <w:basedOn w:val="Normal"/>
    <w:next w:val="Corpsdetexte"/>
    <w:link w:val="Titre3Car"/>
    <w:uiPriority w:val="9"/>
    <w:semiHidden/>
    <w:unhideWhenUsed/>
    <w:qFormat/>
    <w:rsid w:val="005612AC"/>
    <w:pPr>
      <w:keepNext/>
      <w:keepLines/>
      <w:spacing w:before="160" w:after="80"/>
      <w:outlineLvl w:val="2"/>
    </w:pPr>
    <w:rPr>
      <w:rFonts w:eastAsiaTheme="majorEastAsia" w:cstheme="majorBidi"/>
      <w:b/>
      <w:color w:val="0B769F" w:themeColor="accent4"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E12414"/>
    <w:pPr>
      <w:spacing w:before="180" w:after="180"/>
      <w:jc w:val="both"/>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KLG">
    <w:name w:val="KLG"/>
    <w:basedOn w:val="Titre"/>
    <w:next w:val="Corpsdetexte"/>
    <w:qFormat/>
    <w:rsid w:val="00815CCC"/>
    <w:pPr>
      <w:keepNext/>
      <w:keepLines/>
      <w:numPr>
        <w:numId w:val="7"/>
      </w:numPr>
    </w:pPr>
    <w:rPr>
      <w:rFonts w:ascii="Times New Roman" w:hAnsi="Times New Roman"/>
      <w:b/>
      <w:color w:val="4C94D8" w:themeColor="text2" w:themeTint="80"/>
      <w:sz w:val="32"/>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rsid w:val="00815CCC"/>
    <w:rPr>
      <w:color w:val="215E99" w:themeColor="text2" w:themeTint="BF"/>
      <w:sz w:val="28"/>
    </w:rPr>
  </w:style>
  <w:style w:type="character" w:customStyle="1" w:styleId="Titre1Car">
    <w:name w:val="Titre 1 Car"/>
    <w:basedOn w:val="Policepardfaut"/>
    <w:link w:val="Titre1"/>
    <w:uiPriority w:val="9"/>
    <w:rsid w:val="0059490F"/>
    <w:rPr>
      <w:rFonts w:ascii="Times New Roman" w:eastAsiaTheme="majorEastAsia" w:hAnsi="Times New Roman" w:cstheme="majorBidi"/>
      <w:b/>
      <w:color w:val="45B0E1" w:themeColor="accent1" w:themeTint="99"/>
      <w:sz w:val="32"/>
      <w:szCs w:val="40"/>
    </w:rPr>
  </w:style>
  <w:style w:type="character" w:customStyle="1" w:styleId="Titre2Car">
    <w:name w:val="Titre 2 Car"/>
    <w:basedOn w:val="Policepardfaut"/>
    <w:link w:val="Titre2"/>
    <w:uiPriority w:val="9"/>
    <w:rsid w:val="005612AC"/>
    <w:rPr>
      <w:rFonts w:ascii="Times New Roman" w:eastAsiaTheme="majorEastAsia" w:hAnsi="Times New Roman" w:cstheme="majorBidi"/>
      <w:b/>
      <w:color w:val="0B769F" w:themeColor="accent4" w:themeShade="BF"/>
      <w:sz w:val="28"/>
      <w:szCs w:val="32"/>
    </w:rPr>
  </w:style>
  <w:style w:type="character" w:customStyle="1" w:styleId="Titre3Car">
    <w:name w:val="Titre 3 Car"/>
    <w:basedOn w:val="Policepardfaut"/>
    <w:link w:val="Titre3"/>
    <w:uiPriority w:val="9"/>
    <w:semiHidden/>
    <w:rsid w:val="005612AC"/>
    <w:rPr>
      <w:rFonts w:ascii="Times New Roman" w:eastAsiaTheme="majorEastAsia" w:hAnsi="Times New Roman" w:cstheme="majorBidi"/>
      <w:b/>
      <w:color w:val="0B769F" w:themeColor="accent4"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sid w:val="003C62BE"/>
    <w:pPr>
      <w:spacing w:after="120"/>
    </w:pPr>
  </w:style>
  <w:style w:type="paragraph" w:customStyle="1" w:styleId="TableCaption">
    <w:name w:val="Table Caption"/>
    <w:basedOn w:val="Lgende"/>
    <w:rsid w:val="00D414F5"/>
    <w:pPr>
      <w:keepNext/>
      <w:spacing w:before="120"/>
      <w:jc w:val="center"/>
    </w:pPr>
    <w:rPr>
      <w:i/>
    </w:rPr>
  </w:style>
  <w:style w:type="paragraph" w:customStyle="1" w:styleId="ImageCaption">
    <w:name w:val="Image Caption"/>
    <w:basedOn w:val="Lgende"/>
    <w:rsid w:val="003E44D8"/>
    <w:pPr>
      <w:jc w:val="center"/>
    </w:pPr>
  </w:style>
  <w:style w:type="paragraph" w:customStyle="1" w:styleId="Figure">
    <w:name w:val="Figure"/>
    <w:basedOn w:val="Normal"/>
    <w:rsid w:val="003E44D8"/>
    <w:pPr>
      <w:jc w:val="center"/>
    </w:pPr>
  </w:style>
  <w:style w:type="paragraph" w:customStyle="1" w:styleId="CaptionedFigure">
    <w:name w:val="Captioned Figure"/>
    <w:basedOn w:val="Figure"/>
    <w:pPr>
      <w:keepNext/>
    </w:pPr>
  </w:style>
  <w:style w:type="character" w:customStyle="1" w:styleId="LgendeCar">
    <w:name w:val="Légende Car"/>
    <w:basedOn w:val="Policepardfaut"/>
    <w:link w:val="Lgende"/>
    <w:rsid w:val="003C62BE"/>
    <w:rPr>
      <w:rFonts w:ascii="Times New Roman" w:hAnsi="Times New Roman"/>
    </w:rPr>
  </w:style>
  <w:style w:type="character" w:customStyle="1" w:styleId="VerbatimChar">
    <w:name w:val="Verbatim Char"/>
    <w:basedOn w:val="LgendeCar"/>
    <w:link w:val="SourceCode"/>
    <w:rsid w:val="00671215"/>
    <w:rPr>
      <w:rFonts w:ascii="Times New Roman" w:hAnsi="Times New Roman"/>
      <w:sz w:val="22"/>
      <w:shd w:val="clear" w:color="auto" w:fill="F8F8F8"/>
    </w:rPr>
  </w:style>
  <w:style w:type="character" w:customStyle="1" w:styleId="SectionNumber">
    <w:name w:val="Section Number"/>
    <w:basedOn w:val="LgendeCar"/>
    <w:rPr>
      <w:rFonts w:ascii="Times New Roman" w:hAnsi="Times New Roman"/>
    </w:rPr>
  </w:style>
  <w:style w:type="character" w:styleId="Appelnotedebasdep">
    <w:name w:val="footnote reference"/>
    <w:basedOn w:val="LgendeCar"/>
    <w:rPr>
      <w:rFonts w:ascii="Times New Roman" w:hAnsi="Times New Roman"/>
      <w:vertAlign w:val="superscript"/>
    </w:rPr>
  </w:style>
  <w:style w:type="character" w:styleId="Lienhypertexte">
    <w:name w:val="Hyperlink"/>
    <w:basedOn w:val="LgendeCar"/>
    <w:uiPriority w:val="99"/>
    <w:rPr>
      <w:rFonts w:ascii="Times New Roman" w:hAnsi="Times New Roman"/>
      <w:color w:val="156082" w:themeColor="accent1"/>
    </w:rPr>
  </w:style>
  <w:style w:type="paragraph" w:styleId="En-ttedetabledesmatires">
    <w:name w:val="TOC Heading"/>
    <w:basedOn w:val="Titre1"/>
    <w:next w:val="Corpsdetexte"/>
    <w:uiPriority w:val="39"/>
    <w:unhideWhenUsed/>
    <w:qFormat/>
    <w:rsid w:val="004D0950"/>
    <w:pPr>
      <w:spacing w:before="240" w:line="259" w:lineRule="auto"/>
      <w:outlineLvl w:val="9"/>
    </w:pPr>
    <w:rPr>
      <w:b w:val="0"/>
      <w:color w:val="4C94D8" w:themeColor="text2" w:themeTint="80"/>
    </w:rPr>
  </w:style>
  <w:style w:type="paragraph" w:customStyle="1" w:styleId="SourceCode">
    <w:name w:val="Source Code"/>
    <w:basedOn w:val="Normal"/>
    <w:link w:val="VerbatimChar"/>
    <w:rsid w:val="00671215"/>
    <w:pPr>
      <w:shd w:val="clear" w:color="auto" w:fill="F8F8F8"/>
      <w:wordWrap w:val="0"/>
      <w:spacing w:line="240" w:lineRule="auto"/>
    </w:pPr>
    <w:rPr>
      <w:sz w:val="22"/>
    </w:r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extebrut">
    <w:name w:val="Plain Text"/>
    <w:basedOn w:val="Normal"/>
    <w:link w:val="TextebrutCar"/>
    <w:rsid w:val="004D0950"/>
    <w:pPr>
      <w:spacing w:after="0"/>
      <w:jc w:val="both"/>
    </w:pPr>
    <w:rPr>
      <w:szCs w:val="21"/>
    </w:rPr>
  </w:style>
  <w:style w:type="character" w:customStyle="1" w:styleId="TextebrutCar">
    <w:name w:val="Texte brut Car"/>
    <w:basedOn w:val="Policepardfaut"/>
    <w:link w:val="Textebrut"/>
    <w:rsid w:val="004D0950"/>
    <w:rPr>
      <w:rFonts w:ascii="Times New Roman" w:hAnsi="Times New Roman"/>
      <w:szCs w:val="21"/>
    </w:rPr>
  </w:style>
  <w:style w:type="paragraph" w:styleId="En-tte">
    <w:name w:val="header"/>
    <w:basedOn w:val="Normal"/>
    <w:link w:val="En-tteCar"/>
    <w:rsid w:val="00615638"/>
    <w:pPr>
      <w:tabs>
        <w:tab w:val="center" w:pos="4536"/>
        <w:tab w:val="right" w:pos="9072"/>
      </w:tabs>
      <w:spacing w:after="0"/>
    </w:pPr>
  </w:style>
  <w:style w:type="character" w:customStyle="1" w:styleId="En-tteCar">
    <w:name w:val="En-tête Car"/>
    <w:basedOn w:val="Policepardfaut"/>
    <w:link w:val="En-tte"/>
    <w:rsid w:val="00615638"/>
  </w:style>
  <w:style w:type="paragraph" w:styleId="Pieddepage">
    <w:name w:val="footer"/>
    <w:basedOn w:val="Normal"/>
    <w:link w:val="PieddepageCar"/>
    <w:uiPriority w:val="99"/>
    <w:rsid w:val="00615638"/>
    <w:pPr>
      <w:tabs>
        <w:tab w:val="center" w:pos="4536"/>
        <w:tab w:val="right" w:pos="9072"/>
      </w:tabs>
      <w:spacing w:after="0"/>
    </w:pPr>
  </w:style>
  <w:style w:type="character" w:customStyle="1" w:styleId="PieddepageCar">
    <w:name w:val="Pied de page Car"/>
    <w:basedOn w:val="Policepardfaut"/>
    <w:link w:val="Pieddepage"/>
    <w:uiPriority w:val="99"/>
    <w:rsid w:val="00615638"/>
  </w:style>
  <w:style w:type="paragraph" w:customStyle="1" w:styleId="FigureCaption">
    <w:name w:val="Figure Caption"/>
    <w:basedOn w:val="Corpsdetexte"/>
    <w:qFormat/>
    <w:rsid w:val="001829A9"/>
    <w:pPr>
      <w:jc w:val="center"/>
    </w:pPr>
    <w:rPr>
      <w:i/>
    </w:rPr>
  </w:style>
  <w:style w:type="paragraph" w:styleId="TM1">
    <w:name w:val="toc 1"/>
    <w:basedOn w:val="Normal"/>
    <w:next w:val="Normal"/>
    <w:autoRedefine/>
    <w:uiPriority w:val="39"/>
    <w:rsid w:val="00D6072A"/>
    <w:pPr>
      <w:spacing w:after="100"/>
    </w:pPr>
  </w:style>
  <w:style w:type="paragraph" w:styleId="TM2">
    <w:name w:val="toc 2"/>
    <w:basedOn w:val="Normal"/>
    <w:next w:val="Normal"/>
    <w:autoRedefine/>
    <w:uiPriority w:val="39"/>
    <w:rsid w:val="00D6072A"/>
    <w:pPr>
      <w:spacing w:after="100"/>
      <w:ind w:left="240"/>
    </w:pPr>
  </w:style>
  <w:style w:type="paragraph" w:styleId="TM3">
    <w:name w:val="toc 3"/>
    <w:basedOn w:val="Normal"/>
    <w:next w:val="Normal"/>
    <w:autoRedefine/>
    <w:uiPriority w:val="39"/>
    <w:rsid w:val="00D6072A"/>
    <w:pPr>
      <w:spacing w:after="100"/>
      <w:ind w:left="480"/>
    </w:pPr>
  </w:style>
  <w:style w:type="table" w:styleId="Tableausimple2">
    <w:name w:val="Plain Table 2"/>
    <w:basedOn w:val="TableauNormal"/>
    <w:rsid w:val="00C05812"/>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gadm.org"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microdata.worldbank.or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footer" Target="footer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36</Pages>
  <Words>5086</Words>
  <Characters>28993</Characters>
  <Application>Microsoft Office Word</Application>
  <DocSecurity>0</DocSecurity>
  <Lines>241</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Cheikh Thioub</cp:lastModifiedBy>
  <cp:revision>2</cp:revision>
  <dcterms:created xsi:type="dcterms:W3CDTF">2026-04-13T13:59:00Z</dcterms:created>
  <dcterms:modified xsi:type="dcterms:W3CDTF">2026-04-13T14:00:00Z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y fmtid="{D5CDD505-2E9C-101B-9397-08002B2CF9AE}" pid="4" name="GrammarlyDocumentId">
    <vt:lpwstr>5d9888f5-65f2-4598-afb4-196a39c5e11b</vt:lpwstr>
  </property>
</Properties>
</file>