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30.png" ContentType="image/png"/>
  <Override PartName="/word/media/rId42.png" ContentType="image/png"/>
  <Override PartName="/word/media/rId27.png" ContentType="image/png"/>
  <Override PartName="/word/media/rId34.png" ContentType="image/png"/>
  <Override PartName="/word/media/rId48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Ecole Nationale de la Statistique et de l’Analyse Economique Pierre Ndiaye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Republique du Senegal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Annee academique</w:t>
      </w:r>
      <w:r>
        <w:t xml:space="preserve"> </w:t>
      </w:r>
      <w:r>
        <w:rPr>
          <w:b/>
          <w:bCs/>
        </w:rPr>
        <w:t xml:space="preserve">2025–2026</w:t>
      </w:r>
    </w:p>
    <w:p>
      <w:pPr>
        <w:pStyle w:val="BodyText"/>
      </w:pPr>
      <w:r>
        <w:t xml:space="preserve">Cours :</w:t>
      </w:r>
      <w:r>
        <w:t xml:space="preserve"> </w:t>
      </w:r>
      <w:r>
        <w:rPr>
          <w:b/>
          <w:bCs/>
        </w:rPr>
        <w:t xml:space="preserve">Projet Statistique sous R et Python</w:t>
      </w:r>
      <w:r>
        <w:t xml:space="preserve"> </w:t>
      </w:r>
      <w:r>
        <w:t xml:space="preserve">| Enseignant :</w:t>
      </w:r>
      <w:r>
        <w:t xml:space="preserve"> </w:t>
      </w:r>
      <w:r>
        <w:rPr>
          <w:b/>
          <w:bCs/>
        </w:rPr>
        <w:t xml:space="preserve">Aboubacar HEMA</w:t>
      </w:r>
    </w:p>
    <w:p>
      <w:r>
        <w:pict>
          <v:rect style="width:0;height:1.5pt" o:hralign="center" o:hrstd="t" o:hr="t"/>
        </w:pict>
      </w:r>
    </w:p>
    <w:bookmarkStart w:id="20" w:name="travaux-pratiques-seance-1"/>
    <w:p>
      <w:pPr>
        <w:pStyle w:val="Heading3"/>
      </w:pPr>
      <w:r>
        <w:t xml:space="preserve">Travaux Pratiques — Seance 1</w:t>
      </w:r>
    </w:p>
    <w:p>
      <w:pPr>
        <w:pStyle w:val="FirstParagraph"/>
      </w:pPr>
      <w:r>
        <w:rPr>
          <w:i/>
          <w:iCs/>
        </w:rPr>
        <w:t xml:space="preserve">Profil demographique des menages nigerians</w:t>
      </w:r>
    </w:p>
    <w:p>
      <w:pPr>
        <w:pStyle w:val="BodyText"/>
      </w:pPr>
      <w:r>
        <w:rPr>
          <w:i/>
          <w:iCs/>
        </w:rPr>
        <w:t xml:space="preserve">Nigeria General Household Survey-Panel Waves 1–4 (NBS, 2010–2018)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Groupe 18</w:t>
      </w:r>
    </w:p>
    <w:p>
      <w:pPr>
        <w:pStyle w:val="BodyText"/>
      </w:pPr>
      <w:r>
        <w:t xml:space="preserve">AGNANGMA SANAM David Landry — ISE1-CL</w:t>
      </w:r>
    </w:p>
    <w:p>
      <w:pPr>
        <w:pStyle w:val="BodyText"/>
      </w:pPr>
      <w:r>
        <w:t xml:space="preserve">THIOUB Cheikh — ISE1-CL</w:t>
      </w:r>
    </w:p>
    <w:p>
      <w:r>
        <w:br w:type="page"/>
      </w:r>
    </w:p>
    <w:bookmarkEnd w:id="20"/>
    <w:bookmarkStart w:id="21" w:name="table-des-matieres"/>
    <w:p>
      <w:pPr>
        <w:pStyle w:val="Heading3"/>
      </w:pPr>
      <w:r>
        <w:t xml:space="preserve">Table des matieres</w:t>
      </w:r>
    </w:p>
    <w:p>
      <w:pPr>
        <w:numPr>
          <w:ilvl w:val="0"/>
          <w:numId w:val="1001"/>
        </w:numPr>
      </w:pPr>
      <w:r>
        <w:t xml:space="preserve">Introduction</w:t>
      </w:r>
    </w:p>
    <w:p>
      <w:pPr>
        <w:numPr>
          <w:ilvl w:val="0"/>
          <w:numId w:val="1001"/>
        </w:numPr>
      </w:pPr>
      <w:r>
        <w:t xml:space="preserve">Exploration et qualite des donnees (Tache 1)</w:t>
      </w:r>
    </w:p>
    <w:p>
      <w:pPr>
        <w:numPr>
          <w:ilvl w:val="0"/>
          <w:numId w:val="1001"/>
        </w:numPr>
      </w:pPr>
      <w:r>
        <w:t xml:space="preserve">Analyse univariee de l’age (Tache 2)</w:t>
      </w:r>
    </w:p>
    <w:p>
      <w:pPr>
        <w:numPr>
          <w:ilvl w:val="0"/>
          <w:numId w:val="1001"/>
        </w:numPr>
      </w:pPr>
      <w:r>
        <w:t xml:space="preserve">Pyramide des ages par sexe (Tache 3)</w:t>
      </w:r>
    </w:p>
    <w:p>
      <w:pPr>
        <w:numPr>
          <w:ilvl w:val="0"/>
          <w:numId w:val="1001"/>
        </w:numPr>
      </w:pPr>
      <w:r>
        <w:t xml:space="preserve">Lien de parente avec le chef de menage (Tache 4)</w:t>
      </w:r>
    </w:p>
    <w:p>
      <w:pPr>
        <w:numPr>
          <w:ilvl w:val="0"/>
          <w:numId w:val="1001"/>
        </w:numPr>
      </w:pPr>
      <w:r>
        <w:t xml:space="preserve">Comparaison rural / urbain de la taille des menages (Tache 5)</w:t>
      </w:r>
    </w:p>
    <w:p>
      <w:pPr>
        <w:numPr>
          <w:ilvl w:val="0"/>
          <w:numId w:val="1001"/>
        </w:numPr>
      </w:pPr>
      <w:r>
        <w:t xml:space="preserve">Tableau recapitulatif pondere par zone (Tache 6)</w:t>
      </w:r>
    </w:p>
    <w:p>
      <w:pPr>
        <w:numPr>
          <w:ilvl w:val="0"/>
          <w:numId w:val="1001"/>
        </w:numPr>
      </w:pPr>
      <w:r>
        <w:t xml:space="preserve">Evolution inter-vagues (W1–W4)</w:t>
      </w:r>
    </w:p>
    <w:p>
      <w:pPr>
        <w:numPr>
          <w:ilvl w:val="0"/>
          <w:numId w:val="1001"/>
        </w:numPr>
      </w:pPr>
      <w:r>
        <w:t xml:space="preserve">Figure de synthese et conclusion</w:t>
      </w:r>
    </w:p>
    <w:p>
      <w:r>
        <w:br w:type="page"/>
      </w:r>
    </w:p>
    <w:bookmarkEnd w:id="21"/>
    <w:bookmarkStart w:id="22" w:name="introductio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Introduction</w:t>
      </w:r>
    </w:p>
    <w:p>
      <w:pPr>
        <w:pStyle w:val="FirstParagraph"/>
      </w:pPr>
      <w:r>
        <w:t xml:space="preserve">Le présent rapport constitue le livrable principal du</w:t>
      </w:r>
      <w:r>
        <w:t xml:space="preserve"> </w:t>
      </w:r>
      <w:r>
        <w:rPr>
          <w:b/>
          <w:bCs/>
        </w:rPr>
        <w:t xml:space="preserve">TP1</w:t>
      </w:r>
      <w:r>
        <w:t xml:space="preserve"> </w:t>
      </w:r>
      <w:r>
        <w:t xml:space="preserve">du cours de Projet Statistique sous R et Python (ENSAE Pierre Ndiaye, ISE1-CL, 2025-2026). Il porte sur l’analyse descriptive du profil démographique des ménages nigérians à partir du</w:t>
      </w:r>
      <w:r>
        <w:t xml:space="preserve"> </w:t>
      </w:r>
      <w:r>
        <w:rPr>
          <w:b/>
          <w:bCs/>
        </w:rPr>
        <w:t xml:space="preserve">Nigeria General Household Survey (GHS) Panel</w:t>
      </w:r>
      <w:r>
        <w:t xml:space="preserve">, enquête longitudinale en quatre vagues (W1 : 2010, W2 : 2012, W3 : 2015, W4 : 2018) conduite dans le cadre du programme LSMS-ISA de la Banque Mondiale.</w:t>
      </w:r>
    </w:p>
    <w:p>
      <w:pPr>
        <w:pStyle w:val="BodyText"/>
      </w:pPr>
      <w:r>
        <w:t xml:space="preserve">L’objectif est de décrire la composition et les caractéristiques démographiques des ménages enquêtés en exploitant les sections</w:t>
      </w:r>
      <w:r>
        <w:t xml:space="preserve"> </w:t>
      </w:r>
      <w:r>
        <w:rPr>
          <w:rStyle w:val="VerbatimChar"/>
        </w:rPr>
        <w:t xml:space="preserve">sect1_harvest</w:t>
      </w:r>
      <w:r>
        <w:t xml:space="preserve"> </w:t>
      </w:r>
      <w:r>
        <w:t xml:space="preserve">(roster des membres) et</w:t>
      </w:r>
      <w:r>
        <w:t xml:space="preserve"> </w:t>
      </w:r>
      <w:r>
        <w:rPr>
          <w:rStyle w:val="VerbatimChar"/>
        </w:rPr>
        <w:t xml:space="preserve">secta_harvest</w:t>
      </w:r>
      <w:r>
        <w:t xml:space="preserve"> </w:t>
      </w:r>
      <w:r>
        <w:t xml:space="preserve">(identification géographique). Toutes les analyses intègrent la</w:t>
      </w:r>
      <w:r>
        <w:t xml:space="preserve"> </w:t>
      </w:r>
      <w:r>
        <w:rPr>
          <w:b/>
          <w:bCs/>
        </w:rPr>
        <w:t xml:space="preserve">pondération d’enquête</w:t>
      </w:r>
      <w:r>
        <w:t xml:space="preserve"> </w:t>
      </w:r>
      <w:r>
        <w:t xml:space="preserve">(</w:t>
      </w:r>
      <w:r>
        <w:rPr>
          <w:rStyle w:val="VerbatimChar"/>
        </w:rPr>
        <w:t xml:space="preserve">wt_wave4</w:t>
      </w:r>
      <w:r>
        <w:t xml:space="preserve">) afin de produire des estimations représentatives de la population nigériane. Six tâches sont couvertes : exploration des données, analyse univariée de l’âge, pyramide des âges, lien de parenté, comparaison rural/urbain et tableau récapitulatif stratifié.</w:t>
      </w:r>
    </w:p>
    <w:bookmarkEnd w:id="22"/>
    <w:bookmarkStart w:id="26" w:name="Xedc7c1e396918461f8387b4ea3668ae964c8c57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Exploration et qualité des données (Tâche 1)</w:t>
      </w:r>
    </w:p>
    <w:p>
      <w:pPr>
        <w:pStyle w:val="FirstParagraph"/>
      </w:pPr>
      <w:r>
        <w:t xml:space="preserve">Le fichier</w:t>
      </w:r>
      <w:r>
        <w:t xml:space="preserve"> </w:t>
      </w:r>
      <w:r>
        <w:rPr>
          <w:rStyle w:val="VerbatimChar"/>
        </w:rPr>
        <w:t xml:space="preserve">sect1_harvestw4.dta</w:t>
      </w:r>
      <w:r>
        <w:t xml:space="preserve"> </w:t>
      </w:r>
      <w:r>
        <w:t xml:space="preserve">contient</w:t>
      </w:r>
      <w:r>
        <w:t xml:space="preserve"> </w:t>
      </w:r>
      <w:r>
        <w:rPr>
          <w:b/>
          <w:bCs/>
        </w:rPr>
        <w:t xml:space="preserve">30 337 individus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61 variables</w:t>
      </w:r>
      <w:r>
        <w:t xml:space="preserve">. Chaque ligne correspond à un individu répertorié lors de la visite Post-Harvest de la vague 4 (2018).</w:t>
      </w:r>
    </w:p>
    <w:p>
      <w:pPr>
        <w:pStyle w:val="BodyText"/>
      </w:pPr>
      <w:r>
        <w:t xml:space="preserve">La vérification de la clé composite</w:t>
      </w:r>
      <w:r>
        <w:t xml:space="preserve"> </w:t>
      </w:r>
      <w:r>
        <w:rPr>
          <w:rStyle w:val="VerbatimChar"/>
        </w:rPr>
        <w:t xml:space="preserve">(hhid, indiv)</w:t>
      </w:r>
      <w:r>
        <w:t xml:space="preserve"> </w:t>
      </w:r>
      <w:r>
        <w:t xml:space="preserve">confirme l’absence totale de doublons (</w:t>
      </w:r>
      <w:r>
        <w:rPr>
          <w:b/>
          <w:bCs/>
        </w:rPr>
        <w:t xml:space="preserve">0</w:t>
      </w:r>
      <w:r>
        <w:t xml:space="preserve"> </w:t>
      </w:r>
      <w:r>
        <w:t xml:space="preserve">détectés). La pondération</w:t>
      </w:r>
      <w:r>
        <w:t xml:space="preserve"> </w:t>
      </w:r>
      <w:r>
        <w:rPr>
          <w:rStyle w:val="VerbatimChar"/>
        </w:rPr>
        <w:t xml:space="preserve">wt_wave4</w:t>
      </w:r>
      <w:r>
        <w:t xml:space="preserve"> </w:t>
      </w:r>
      <w:r>
        <w:t xml:space="preserve">issue de</w:t>
      </w:r>
      <w:r>
        <w:t xml:space="preserve"> </w:t>
      </w:r>
      <w:r>
        <w:rPr>
          <w:rStyle w:val="VerbatimChar"/>
        </w:rPr>
        <w:t xml:space="preserve">secta_harvestw4.dta</w:t>
      </w:r>
      <w:r>
        <w:t xml:space="preserve"> </w:t>
      </w:r>
      <w:r>
        <w:t xml:space="preserve">a été jointe avec succès pour 30 312 individus.</w:t>
      </w:r>
    </w:p>
    <w:p>
      <w:pPr>
        <w:pStyle w:val="CaptionedFigure"/>
      </w:pPr>
      <w:r>
        <w:drawing>
          <wp:inline>
            <wp:extent cx="6324600" cy="4065814"/>
            <wp:effectExtent b="0" l="0" r="0" t="0"/>
            <wp:docPr descr="Figure 1. Cartographie des valeurs manquantes sur les variables clés." title="" id="24" name="Picture"/>
            <a:graphic>
              <a:graphicData uri="http://schemas.openxmlformats.org/drawingml/2006/picture">
                <pic:pic>
                  <pic:nvPicPr>
                    <pic:cNvPr descr="TP1_Rapport_files/figure-docx/vis_miss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4065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Cartographie des valeurs manquantes sur les variables clés.</w:t>
      </w:r>
    </w:p>
    <w:p>
      <w:pPr>
        <w:pStyle w:val="BodyText"/>
      </w:pPr>
      <w:r>
        <w:t xml:space="preserve">Les identifiants géographiques sont complets à 100%. Les variables</w:t>
      </w:r>
      <w:r>
        <w:t xml:space="preserve"> </w:t>
      </w:r>
      <w:r>
        <w:rPr>
          <w:rStyle w:val="VerbatimChar"/>
        </w:rPr>
        <w:t xml:space="preserve">s1q2</w:t>
      </w:r>
      <w:r>
        <w:t xml:space="preserve">,</w:t>
      </w:r>
      <w:r>
        <w:t xml:space="preserve"> </w:t>
      </w:r>
      <w:r>
        <w:rPr>
          <w:rStyle w:val="VerbatimChar"/>
        </w:rPr>
        <w:t xml:space="preserve">s1q3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s1q4</w:t>
      </w:r>
      <w:r>
        <w:t xml:space="preserve"> </w:t>
      </w:r>
      <w:r>
        <w:t xml:space="preserve">affichent 12,5% de valeurs manquantes correspondant aux individus sortis du ménage (</w:t>
      </w:r>
      <w:r>
        <w:rPr>
          <w:rStyle w:val="VerbatimChar"/>
        </w:rPr>
        <w:t xml:space="preserve">s1q4a = 2</w:t>
      </w:r>
      <w:r>
        <w:t xml:space="preserve">). Le statut matrimonial (</w:t>
      </w:r>
      <w:r>
        <w:rPr>
          <w:rStyle w:val="VerbatimChar"/>
        </w:rPr>
        <w:t xml:space="preserve">s1q7</w:t>
      </w:r>
      <w:r>
        <w:t xml:space="preserve">) atteint 42,8% de NA car il n’est collecté que pour les 12 ans et plus présents.</w:t>
      </w:r>
    </w:p>
    <w:bookmarkEnd w:id="26"/>
    <w:bookmarkStart w:id="33" w:name="analyse-univariée-de-lâge-tâche-2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Analyse univariée de l’âge (Tâche 2)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Tableau 1. Statistiques descriptives de l'âge (W4, pondéré).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Moy. pond.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Médiane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Éc.-type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CV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Asymétrie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Max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26,533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23.18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19.73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82.27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130</w:t>
            </w:r>
          </w:p>
        </w:tc>
      </w:tr>
    </w:tbl>
    <w:p>
      <w:pPr>
        <w:pStyle w:val="FirstParagraph"/>
      </w:pPr>
      <w:r>
        <w:t xml:space="preserve">L’analyse porte sur 26 533 individus. L’âge moyen pondéré est de</w:t>
      </w:r>
      <w:r>
        <w:t xml:space="preserve"> </w:t>
      </w:r>
      <w:r>
        <w:rPr>
          <w:b/>
          <w:bCs/>
        </w:rPr>
        <w:t xml:space="preserve">23.18 ans</w:t>
      </w:r>
      <w:r>
        <w:t xml:space="preserve"> </w:t>
      </w:r>
      <w:r>
        <w:t xml:space="preserve">avec une médiane à</w:t>
      </w:r>
      <w:r>
        <w:t xml:space="preserve"> </w:t>
      </w:r>
      <w:r>
        <w:rPr>
          <w:b/>
          <w:bCs/>
        </w:rPr>
        <w:t xml:space="preserve">18 ans</w:t>
      </w:r>
      <w:r>
        <w:t xml:space="preserve">. Le coefficient de variation élevé (82.27%) et l’asymétrie positive (0.999) confirment une population jeune à distribution étalée vers la droite.</w:t>
      </w:r>
    </w:p>
    <w:p>
      <w:pPr>
        <w:pStyle w:val="CaptionedFigure"/>
      </w:pPr>
      <w:r>
        <w:drawing>
          <wp:inline>
            <wp:extent cx="6324600" cy="4065814"/>
            <wp:effectExtent b="0" l="0" r="0" t="0"/>
            <wp:docPr descr="Figure 2. Distribution pondérée de l’âge (classes de 5 ans). La ligne rouge marque la médiane." title="" id="28" name="Picture"/>
            <a:graphic>
              <a:graphicData uri="http://schemas.openxmlformats.org/drawingml/2006/picture">
                <pic:pic>
                  <pic:nvPicPr>
                    <pic:cNvPr descr="TP1_Rapport_files/figure-docx/hist_age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4065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 Distribution pondérée de l’âge (classes de 5 ans). La ligne rouge marque la médiane.</w:t>
      </w:r>
    </w:p>
    <w:p>
      <w:pPr>
        <w:pStyle w:val="BodyText"/>
      </w:pPr>
      <w:r>
        <w:t xml:space="preserve">La classe modale est 0–4 ans. La décroissance est régulière au-delà de 15 ans, typique d’un pays à forte fécondité.</w:t>
      </w:r>
    </w:p>
    <w:p>
      <w:pPr>
        <w:pStyle w:val="CaptionedFigure"/>
      </w:pPr>
      <w:r>
        <w:drawing>
          <wp:inline>
            <wp:extent cx="6324600" cy="2258785"/>
            <wp:effectExtent b="0" l="0" r="0" t="0"/>
            <wp:docPr descr="Figure 3. Boîte à moustaches de l’âge (Q1=8, médiane=18, Q3=36)." title="" id="31" name="Picture"/>
            <a:graphic>
              <a:graphicData uri="http://schemas.openxmlformats.org/drawingml/2006/picture">
                <pic:pic>
                  <pic:nvPicPr>
                    <pic:cNvPr descr="TP1_Rapport_files/figure-docx/box_age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2258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 Boîte à moustaches de l’âge (Q1=8, médiane=18, Q3=36).</w:t>
      </w:r>
    </w:p>
    <w:p>
      <w:pPr>
        <w:pStyle w:val="BodyText"/>
      </w:pPr>
      <w:r>
        <w:rPr>
          <w:b/>
          <w:bCs/>
        </w:rPr>
        <w:t xml:space="preserve">Test de Shapiro-Wilk</w:t>
      </w:r>
      <w:r>
        <w:t xml:space="preserve"> </w:t>
      </w:r>
      <w:r>
        <w:t xml:space="preserve">(n = 5 000) : W = 0.90551, p &lt; 2,2 x 10</w:t>
      </w:r>
      <w:r>
        <w:rPr>
          <w:vertAlign w:val="superscript"/>
        </w:rPr>
        <w:t xml:space="preserve">-16</w:t>
      </w:r>
      <w:r>
        <w:t xml:space="preserve">. Le rejet net de la normalité justifie les tests non paramétriques.</w:t>
      </w:r>
    </w:p>
    <w:bookmarkEnd w:id="33"/>
    <w:bookmarkStart w:id="37" w:name="X694bd62e30238e2f4981e6e8727e4a7d0003959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Pyramide des âges par sexe — Vague 4 (Tâche 3)</w:t>
      </w:r>
    </w:p>
    <w:p>
      <w:pPr>
        <w:pStyle w:val="CaptionedFigure"/>
      </w:pPr>
      <w:r>
        <w:drawing>
          <wp:inline>
            <wp:extent cx="6324600" cy="5421085"/>
            <wp:effectExtent b="0" l="0" r="0" t="0"/>
            <wp:docPr descr="Figure 4. Pyramide des âges pondérée (W4, 2018). Classes quinquennales." title="" id="35" name="Picture"/>
            <a:graphic>
              <a:graphicData uri="http://schemas.openxmlformats.org/drawingml/2006/picture">
                <pic:pic>
                  <pic:nvPicPr>
                    <pic:cNvPr descr="TP1_Rapport_files/figure-docx/pyramide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5421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 Pyramide des âges pondérée (W4, 2018). Classes quinquennales.</w:t>
      </w:r>
    </w:p>
    <w:p>
      <w:pPr>
        <w:pStyle w:val="BodyText"/>
      </w:pPr>
      <w:r>
        <w:t xml:space="preserve">La pyramide présente la forme triangulaire classique d’une population en début de transition démographique. Plus de 42% de la population a moins de 15 ans. La structure est globalement symétrique entre sexes, avec un léger excédent féminin dans les tranches 25–44 ans. Le sommet étroit au-delà de 65 ans confirme une espérance de vie encore limitée.</w:t>
      </w:r>
    </w:p>
    <w:bookmarkEnd w:id="37"/>
    <w:bookmarkStart w:id="41" w:name="X01b2cdd3d2367026eb20a98608112028545d406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Lien de parenté avec le chef de ménage (Tâche 4)</w:t>
      </w:r>
    </w:p>
    <w:p>
      <w:pPr>
        <w:pStyle w:val="CaptionedFigure"/>
      </w:pPr>
      <w:r>
        <w:drawing>
          <wp:inline>
            <wp:extent cx="6324600" cy="4065814"/>
            <wp:effectExtent b="0" l="0" r="0" t="0"/>
            <wp:docPr descr="Figure 5. Répartition pondérée des membres selon le lien de parenté." title="" id="39" name="Picture"/>
            <a:graphic>
              <a:graphicData uri="http://schemas.openxmlformats.org/drawingml/2006/picture">
                <pic:pic>
                  <pic:nvPicPr>
                    <pic:cNvPr descr="TP1_Rapport_files/figure-docx/barplot_par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4065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 Répartition pondérée des membres selon le lien de parenté.</w:t>
      </w:r>
    </w:p>
    <w:p>
      <w:pPr>
        <w:pStyle w:val="BodyText"/>
      </w:pPr>
      <w:r>
        <w:t xml:space="preserve">Les enfants biologiques dominent (environ 55%), suivis des chefs de ménage (~19%) et des conjoints (~16%). Les 10% restants (petits-enfants, frères/soeurs, neveux, parents) témoignent de la prévalence des ménages élargis au Nigeria.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Tableau 2. Proportions avec IC à 95% (test binomial exact).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Catégorie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Proportion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IC inf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IC sup (%)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Enfant biologique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55.71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Chef de menage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19.23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Conjoint(e)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16.54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Autre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10.41</w:t>
            </w:r>
          </w:p>
        </w:tc>
      </w:tr>
    </w:tbl>
    <w:bookmarkEnd w:id="41"/>
    <w:bookmarkStart w:id="45" w:name="X3c64323794722dacf731ddd77bee0c46cc4fb62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Comparaison rural / urbain de la taille des ménages (Tâche 5)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Tableau 3. Taille des ménages par zone (W4, pondéré).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Zone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Moy. pond.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Médiane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Éc.-type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Urbain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1,592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3.26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Rural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3,384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3.75</w:t>
            </w:r>
          </w:p>
        </w:tc>
      </w:tr>
    </w:tbl>
    <w:p>
      <w:pPr>
        <w:pStyle w:val="CaptionedFigure"/>
      </w:pPr>
      <w:r>
        <w:drawing>
          <wp:inline>
            <wp:extent cx="6324600" cy="3162300"/>
            <wp:effectExtent b="0" l="0" r="0" t="0"/>
            <wp:docPr descr="Figure 6. Taille des ménages par zone de résidence." title="" id="43" name="Picture"/>
            <a:graphic>
              <a:graphicData uri="http://schemas.openxmlformats.org/drawingml/2006/picture">
                <pic:pic>
                  <pic:nvPicPr>
                    <pic:cNvPr descr="TP1_Rapport_files/figure-docx/box_zone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162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6. Taille des ménages par zone de résidence.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Tableau 4. Test de Wilcoxon-Mann-Whitney : taille des ménages.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Diff. loc.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 (rang)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Taille d'effet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2 298 740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4.71e-17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Faible</w:t>
            </w:r>
          </w:p>
        </w:tc>
      </w:tr>
    </w:tbl>
    <w:p>
      <w:pPr>
        <w:pStyle w:val="BodyText"/>
      </w:pPr>
      <w:r>
        <w:t xml:space="preserve">Le test rejette H</w:t>
      </w:r>
      <w:r>
        <w:rPr>
          <w:vertAlign w:val="subscript"/>
        </w:rPr>
        <w:t xml:space="preserve">0</w:t>
      </w:r>
      <w:r>
        <w:t xml:space="preserve"> </w:t>
      </w:r>
      <w:r>
        <w:t xml:space="preserve">(p &lt; 2,2 x 10</w:t>
      </w:r>
      <w:r>
        <w:rPr>
          <w:vertAlign w:val="superscript"/>
        </w:rPr>
        <w:t xml:space="preserve">-16</w:t>
      </w:r>
      <w:r>
        <w:t xml:space="preserve">), mais la taille d’effet r = 0.119 est</w:t>
      </w:r>
      <w:r>
        <w:t xml:space="preserve"> </w:t>
      </w:r>
      <w:r>
        <w:rPr>
          <w:b/>
          <w:bCs/>
        </w:rPr>
        <w:t xml:space="preserve">faible</w:t>
      </w:r>
      <w:r>
        <w:t xml:space="preserve">. Les ménages ruraux plus grands résultent de taux de fécondité supérieurs et de la cohabitation intergénérationnelle.</w:t>
      </w:r>
    </w:p>
    <w:bookmarkEnd w:id="45"/>
    <w:bookmarkStart w:id="46" w:name="Xe0892e249763f30471ccded46396d119aadd961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Tableau récapitulatif pondéré par zone (Tâche 6)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Tableau 5. Récapitulatif pondéré par zone (W4, 2018).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Ensemble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Urbain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Rural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(annees)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23.2 (19.3) | Med: 18 [8-36]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24.4 (19.1) | Med: 19 [9-38]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22.7 (19.4) | Med: 17 [8-35]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0.000000000000581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Sexe = Femme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75239452 (50.5%)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20368213 (50.3%)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54871239 (50.6%)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0.462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Taille du menage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8.4 (4.4) | Med: 7 [5-10]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7.4 (4.2) | Med: 6 [5-9]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8.8 (4.4) | Med: 8 [5-11]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0.000000000000000000000000000000000000000000000000000000000000000000000000000000000000000000000000000000000000000000000000000000000000000000000000577</w:t>
            </w:r>
          </w:p>
        </w:tc>
      </w:tr>
    </w:tbl>
    <w:p>
      <w:pPr>
        <w:pStyle w:val="FirstParagraph"/>
      </w:pPr>
      <w:r>
        <w:t xml:space="preserve">Le tableau pondéré confirme les constats : âge moyen comparable entre zones, répartition par sexe équilibrée, et taille des ménages ruraux significativement supérieure.</w:t>
      </w:r>
    </w:p>
    <w:bookmarkEnd w:id="46"/>
    <w:bookmarkStart w:id="47" w:name="évolution-inter-vagues-w1w4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Évolution inter-vagues (W1–W4)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Tableau 6. Indicateurs démographiques par vague.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Vague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Âge moy.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Âge méd.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&lt;15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15-64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65+ (%)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28,273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29,161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26,176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5.2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26,557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4.9</w:t>
            </w:r>
          </w:p>
        </w:tc>
      </w:tr>
    </w:tbl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Tableau 7. Chefs de ménage féminins par vague.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Vague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Nb chefs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Chefs féminins (%)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4,914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20.4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4,980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20.1</w:t>
            </w:r>
          </w:p>
        </w:tc>
      </w:tr>
    </w:tbl>
    <w:p>
      <w:pPr>
        <w:pStyle w:val="FirstParagraph"/>
      </w:pPr>
      <w:r>
        <w:t xml:space="preserve">La structure par âge reste stable (41–45% de moins de 15 ans). La proportion de chefs féminins passe de 15,0% (W1) à 20,1% (W4), traduisant des mutations socio-économiques.</w:t>
      </w:r>
    </w:p>
    <w:bookmarkEnd w:id="47"/>
    <w:bookmarkStart w:id="51" w:name="figure-de-synthèse-et-conclusion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Figure de synthèse et conclusion</w:t>
      </w:r>
    </w:p>
    <w:p>
      <w:pPr>
        <w:pStyle w:val="CaptionedFigure"/>
      </w:pPr>
      <w:r>
        <w:drawing>
          <wp:inline>
            <wp:extent cx="6324600" cy="5749636"/>
            <wp:effectExtent b="0" l="0" r="0" t="0"/>
            <wp:docPr descr="Figure 7. Planche de synthèse du TP1." title="" id="49" name="Picture"/>
            <a:graphic>
              <a:graphicData uri="http://schemas.openxmlformats.org/drawingml/2006/picture">
                <pic:pic>
                  <pic:nvPicPr>
                    <pic:cNvPr descr="TP1_Rapport_files/figure-docx/synthese-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5749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 Planche de synthèse du TP1.</w:t>
      </w:r>
    </w:p>
    <w:p>
      <w:pPr>
        <w:pStyle w:val="BodyText"/>
      </w:pPr>
      <w:r>
        <w:rPr>
          <w:b/>
          <w:bCs/>
        </w:rPr>
        <w:t xml:space="preserve">Conclusion.</w:t>
      </w:r>
      <w:r>
        <w:t xml:space="preserve"> </w:t>
      </w:r>
      <w:r>
        <w:t xml:space="preserve">L’analyse pondérée du GHS Panel (W4, 2018) met en évidence :</w:t>
      </w:r>
      <w:r>
        <w:t xml:space="preserve"> </w:t>
      </w:r>
      <w:r>
        <w:rPr>
          <w:b/>
          <w:bCs/>
        </w:rPr>
        <w:t xml:space="preserve">(1)</w:t>
      </w:r>
      <w:r>
        <w:t xml:space="preserve"> </w:t>
      </w:r>
      <w:r>
        <w:t xml:space="preserve">une population très jeune (42% de moins de 15 ans, âge médian 18 ans) ;</w:t>
      </w:r>
      <w:r>
        <w:t xml:space="preserve"> </w:t>
      </w:r>
      <w:r>
        <w:rPr>
          <w:b/>
          <w:bCs/>
        </w:rPr>
        <w:t xml:space="preserve">(2)</w:t>
      </w:r>
      <w:r>
        <w:t xml:space="preserve"> </w:t>
      </w:r>
      <w:r>
        <w:t xml:space="preserve">un rejet net de la normalité de l’âge (Shapiro-Wilk, W = 0,91) ;</w:t>
      </w:r>
      <w:r>
        <w:t xml:space="preserve"> </w:t>
      </w:r>
      <w:r>
        <w:rPr>
          <w:b/>
          <w:bCs/>
        </w:rPr>
        <w:t xml:space="preserve">(3)</w:t>
      </w:r>
      <w:r>
        <w:t xml:space="preserve"> </w:t>
      </w:r>
      <w:r>
        <w:t xml:space="preserve">la prédominance des enfants biologiques (55%), avec 10% de membres hors noyau familial ;</w:t>
      </w:r>
      <w:r>
        <w:t xml:space="preserve"> </w:t>
      </w:r>
      <w:r>
        <w:rPr>
          <w:b/>
          <w:bCs/>
        </w:rPr>
        <w:t xml:space="preserve">(4)</w:t>
      </w:r>
      <w:r>
        <w:t xml:space="preserve"> </w:t>
      </w:r>
      <w:r>
        <w:t xml:space="preserve">des ménages ruraux significativement plus grands (médiane 6 vs 5, r = 0,12, effet faible) ;</w:t>
      </w:r>
      <w:r>
        <w:t xml:space="preserve"> </w:t>
      </w:r>
      <w:r>
        <w:rPr>
          <w:b/>
          <w:bCs/>
        </w:rPr>
        <w:t xml:space="preserve">(5)</w:t>
      </w:r>
      <w:r>
        <w:t xml:space="preserve"> </w:t>
      </w:r>
      <w:r>
        <w:t xml:space="preserve">une hausse des chefs féminins de 15% à 20% entre 2010 et 2018. L’intégration de la pondération</w:t>
      </w:r>
      <w:r>
        <w:t xml:space="preserve"> </w:t>
      </w:r>
      <w:r>
        <w:rPr>
          <w:rStyle w:val="VerbatimChar"/>
        </w:rPr>
        <w:t xml:space="preserve">wt_wave4</w:t>
      </w:r>
      <w:r>
        <w:t xml:space="preserve"> </w:t>
      </w:r>
      <w:r>
        <w:t xml:space="preserve">garantit la représentativité nationale de ces résultats.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ENSAE Pierre Ndiaye — ISE1-CL — 2025-2026 — Enseignant : Aboubacar HEMA</w:t>
      </w:r>
    </w:p>
    <w:bookmarkEnd w:id="51"/>
    <w:sectPr w:rsidR="00FC693F" w:rsidRPr="0006063C" w:rsidSect="00034616">
      <w:pgSz w:h="15840" w:w="12240"/>
      <w:pgMar w:bottom="1134" w:footer="720" w:gutter="0" w:header="720" w:left="1134" w:right="1134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360" w:lineRule="auto"/>
      <w:jc w:val="both"/>
    </w:pPr>
    <w:rPr>
      <w:rFonts w:ascii="Calibri" w:cs="Calibri" w:eastAsia="Calibri" w:hAnsi="Calibri"/>
      <w:color w:val="333333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360" w:line="240" w:lineRule="auto"/>
      <w:jc w:val="left"/>
      <w:outlineLvl w:val="0"/>
    </w:pPr>
    <w:rPr>
      <w:rFonts w:ascii="Calibri" w:cs="Calibri" w:eastAsia="Calibri" w:hAnsi="Calibri"/>
      <w:b/>
      <w:bCs/>
      <w:i w:val="0"/>
      <w:color w:val="2166AC"/>
      <w:sz w:val="36"/>
      <w:szCs w:val="28"/>
      <w:u w:val="none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80" w:line="240" w:lineRule="auto"/>
      <w:jc w:val="left"/>
      <w:outlineLvl w:val="1"/>
    </w:pPr>
    <w:rPr>
      <w:rFonts w:ascii="Calibri" w:cs="Calibri" w:eastAsia="Calibri" w:hAnsi="Calibri"/>
      <w:b/>
      <w:bCs/>
      <w:i w:val="0"/>
      <w:color w:val="3C78B4"/>
      <w:sz w:val="28"/>
      <w:szCs w:val="26"/>
      <w:u w:val="none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00" w:line="240" w:lineRule="auto"/>
      <w:jc w:val="left"/>
      <w:outlineLvl w:val="2"/>
    </w:pPr>
    <w:rPr>
      <w:rFonts w:ascii="Calibri" w:cs="Calibri" w:eastAsia="Calibri" w:hAnsi="Calibri"/>
      <w:b/>
      <w:bCs/>
      <w:i w:val="0"/>
      <w:color w:val="3C78B4"/>
      <w:sz w:val="24"/>
      <w:u w:val="none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spacing w:after="80" w:before="80" w:line="240" w:lineRule="auto"/>
      <w:contextualSpacing/>
      <w:jc w:val="center"/>
    </w:pPr>
    <w:rPr>
      <w:rFonts w:ascii="Calibri" w:cs="Calibri" w:eastAsia="Calibri" w:hAnsi="Calibri"/>
      <w:b/>
      <w:i w:val="0"/>
      <w:color w:val="2166AC"/>
      <w:spacing w:val="5"/>
      <w:kern w:val="28"/>
      <w:sz w:val="32"/>
      <w:szCs w:val="52"/>
      <w:u w:val="none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Calibri" w:cs="Calibri" w:eastAsia="Calibri" w:hAnsi="Calibri"/>
      <w:i/>
      <w:iCs/>
      <w:color w:val="666666"/>
      <w:spacing w:val="15"/>
      <w:sz w:val="24"/>
      <w:szCs w:val="24"/>
      <w:u w:val="none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 w:line="360" w:lineRule="auto"/>
      <w:jc w:val="both"/>
    </w:pPr>
    <w:rPr>
      <w:rFonts w:ascii="Calibri" w:cs="Calibri" w:eastAsia="Calibri" w:hAnsi="Calibri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center"/>
    </w:pPr>
    <w:rPr>
      <w:rFonts w:ascii="Calibri" w:cs="Calibri" w:eastAsia="Calibri" w:hAnsi="Calibri"/>
      <w:b/>
      <w:bCs/>
      <w:i/>
      <w:color w:val="555555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spacing w:after="160" w:before="240"/>
      <w:outlineLvl w:val="9"/>
    </w:pPr>
    <w:rPr>
      <w:rFonts w:ascii="Calibri" w:cs="Calibri" w:eastAsia="Calibri" w:hAnsi="Calibri"/>
      <w:b/>
      <w:color w:val="2166AC"/>
      <w:sz w:val="32"/>
      <w:u w:val="none"/>
    </w:r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TOC1" w:type="paragraph">
    <w:name w:val="TOC 1"/>
    <w:pPr>
      <w:spacing w:after="40" w:before="80"/>
      <w:ind w:left="0"/>
    </w:pPr>
    <w:rPr>
      <w:rFonts w:ascii="Calibri" w:cs="Calibri" w:eastAsia="Calibri" w:hAnsi="Calibri"/>
      <w:b/>
      <w:color w:val="333333"/>
      <w:sz w:val="22"/>
    </w:rPr>
  </w:style>
  <w:style w:customStyle="1" w:styleId="TOC2" w:type="paragraph">
    <w:name w:val="TOC 2"/>
    <w:pPr>
      <w:spacing w:after="40" w:before="40"/>
      <w:ind w:left="283"/>
    </w:pPr>
    <w:rPr>
      <w:rFonts w:ascii="Calibri" w:cs="Calibri" w:eastAsia="Calibri" w:hAnsi="Calibri"/>
      <w:b w:val="0"/>
      <w:color w:val="333333"/>
      <w:sz w:val="20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30" Target="media/rId30.png" /><Relationship Type="http://schemas.openxmlformats.org/officeDocument/2006/relationships/image" Id="rId42" Target="media/rId42.png" /><Relationship Type="http://schemas.openxmlformats.org/officeDocument/2006/relationships/image" Id="rId27" Target="media/rId27.png" /><Relationship Type="http://schemas.openxmlformats.org/officeDocument/2006/relationships/image" Id="rId34" Target="media/rId34.png" /><Relationship Type="http://schemas.openxmlformats.org/officeDocument/2006/relationships/image" Id="rId48" Target="media/rId48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2026-03-23T19:50:56Z</dcterms:created>
  <dcterms:modified xsi:type="dcterms:W3CDTF">2026-03-23T19:50:56Z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  <property fmtid="{D5CDD505-2E9C-101B-9397-08002B2CF9AE}" pid="3" name="output">
    <vt:lpwstr/>
  </property>
</Properties>
</file>