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TP3 — Accès aux services de santé et chocs sanitaires des ménages nigérians</w:t>
      </w:r>
    </w:p>
    <w:p>
      <w:pPr>
        <w:pStyle w:val="Subtitle"/>
      </w:pPr>
      <w:r>
        <w:t xml:space="preserve">Nigeria General Household Survey (GHS) Panel | Wave 4 (2018)</w:t>
      </w:r>
    </w:p>
    <w:p>
      <w:pPr>
        <w:pStyle w:val="Author"/>
      </w:pPr>
      <w:r>
        <w:t xml:space="preserve">Groupe 6 : LO Serigne Ndame &amp; KEBJAM Jackson — ISE 1, 2025-2026</w:t>
      </w:r>
    </w:p>
    <w:p>
      <w:pPr>
        <w:pStyle w:val="Date"/>
      </w:pPr>
      <w:r>
        <w:t xml:space="preserve">24 mars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Ce rapport analyse l’accès aux services de santé des ménages nigérians à partir du</w:t>
      </w:r>
      <w:r>
        <w:t xml:space="preserve"> </w:t>
      </w:r>
      <w:r>
        <w:rPr>
          <w:b/>
          <w:bCs/>
        </w:rPr>
        <w:t xml:space="preserve">General Household Survey (GHS) Panel, vague 4</w:t>
      </w:r>
      <w:r>
        <w:t xml:space="preserve"> </w:t>
      </w:r>
      <w:r>
        <w:t xml:space="preserve">(2018). L’échantillon comprend</w:t>
      </w:r>
      <w:r>
        <w:t xml:space="preserve"> </w:t>
      </w:r>
      <w:r>
        <w:rPr>
          <w:b/>
          <w:bCs/>
        </w:rPr>
        <w:t xml:space="preserve">26 557 individus</w:t>
      </w:r>
      <w:r>
        <w:t xml:space="preserve"> </w:t>
      </w:r>
      <w:r>
        <w:t xml:space="preserve">issus de</w:t>
      </w:r>
      <w:r>
        <w:t xml:space="preserve"> </w:t>
      </w:r>
      <w:r>
        <w:rPr>
          <w:b/>
          <w:bCs/>
        </w:rPr>
        <w:t xml:space="preserve">4 980 ménages</w:t>
      </w:r>
      <w:r>
        <w:t xml:space="preserve">. Les estimations de taux et proportions sont</w:t>
      </w:r>
      <w:r>
        <w:t xml:space="preserve"> </w:t>
      </w:r>
      <w:r>
        <w:rPr>
          <w:b/>
          <w:bCs/>
        </w:rPr>
        <w:t xml:space="preserve">pondérées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. Quatre sources sont mobilisées :</w:t>
      </w:r>
      <w:r>
        <w:t xml:space="preserve"> </w:t>
      </w:r>
      <w:r>
        <w:rPr>
          <w:rStyle w:val="VerbatimChar"/>
        </w:rPr>
        <w:t xml:space="preserve">sect3a_harvestw4.dta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sect3b_harvestw4.dta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sect1_harvestw4.dta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totcons_final.dta</w:t>
      </w:r>
      <w:r>
        <w:t xml:space="preserve">.</w:t>
      </w:r>
    </w:p>
    <w:p>
      <w:r>
        <w:br w:type="page"/>
      </w:r>
    </w:p>
    <w:bookmarkEnd w:id="20"/>
    <w:bookmarkStart w:id="24" w:name="X587a3703be1f12efa7ff319b15de32a1e820469"/>
    <w:p>
      <w:pPr>
        <w:pStyle w:val="Heading1"/>
      </w:pPr>
      <w:r>
        <w:t xml:space="preserve">Tâche 13 — Taux de morbidité par sexe, groupe d’âge et milieu de résidence</w:t>
      </w:r>
    </w:p>
    <w:p>
      <w:pPr>
        <w:pStyle w:val="FirstParagraph"/>
      </w:pPr>
      <w:r>
        <w:t xml:space="preserve">Le taux de morbidité global pondéré s’établit à</w:t>
      </w:r>
      <w:r>
        <w:t xml:space="preserve"> </w:t>
      </w:r>
      <w:r>
        <w:rPr>
          <w:b/>
          <w:bCs/>
        </w:rPr>
        <w:t xml:space="preserve">87%</w:t>
      </w:r>
      <w:r>
        <w:t xml:space="preserve">. Les femmes (87.1%) présentent un taux légèrement supérieur aux hommes (86.8%). Le milieu rural (86.1%) se distingue du milieu urbain (89.1%). La charge morbide est maximale aux âges extrêmes de la vie.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1 — Taux de morbidite ponderes avec IC 95% par sexe (A), groupe d’age (B) et milieu de residence (C) — W4, 2018" title="" id="22" name="Picture"/>
            <a:graphic>
              <a:graphicData uri="http://schemas.openxmlformats.org/drawingml/2006/picture">
                <pic:pic>
                  <pic:nvPicPr>
                    <pic:cNvPr descr="Rapport__final_files/figure-docx/fig1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Taux de morbidite ponderes avec IC 95% par sexe (A), groupe d’age (B) et milieu de residence (C) — W4, 2018</w:t>
      </w:r>
    </w:p>
    <w:p>
      <w:r>
        <w:br w:type="page"/>
      </w:r>
    </w:p>
    <w:bookmarkEnd w:id="24"/>
    <w:bookmarkStart w:id="28" w:name="X6c03036e66e5822fdbcfee2924f19f303564e3a"/>
    <w:p>
      <w:pPr>
        <w:pStyle w:val="Heading1"/>
      </w:pPr>
      <w:r>
        <w:t xml:space="preserve">Tâche 14 — Top 10 des types de maladies déclarées</w:t>
      </w:r>
    </w:p>
    <w:p>
      <w:pPr>
        <w:pStyle w:val="FirstParagraph"/>
      </w:pPr>
      <w:r>
        <w:t xml:space="preserve">L’analyse des affections déclarées révèle un profil dominé par les</w:t>
      </w:r>
      <w:r>
        <w:t xml:space="preserve"> </w:t>
      </w:r>
      <w:r>
        <w:rPr>
          <w:b/>
          <w:bCs/>
        </w:rPr>
        <w:t xml:space="preserve">maladies infectieuses</w:t>
      </w:r>
      <w:r>
        <w:t xml:space="preserve"> </w:t>
      </w:r>
      <w:r>
        <w:t xml:space="preserve">(paludisme, fièvres, diarrhées), caractéristique d’une transition épidémiologique incomplète. Les maladies chroniques demeurent secondaires.</w:t>
      </w:r>
    </w:p>
    <w:p>
      <w:pPr>
        <w:pStyle w:val="CaptionedFigure"/>
      </w:pPr>
      <w:r>
        <w:drawing>
          <wp:inline>
            <wp:extent cx="5334000" cy="2444750"/>
            <wp:effectExtent b="0" l="0" r="0" t="0"/>
            <wp:docPr descr="Figure 2 — Top 10 des affections declarees (libelles complets, effectifs ponderes) — W4, 2018" title="" id="26" name="Picture"/>
            <a:graphic>
              <a:graphicData uri="http://schemas.openxmlformats.org/drawingml/2006/picture">
                <pic:pic>
                  <pic:nvPicPr>
                    <pic:cNvPr descr="Rapport__final_files/figure-docx/fig1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Top 10 des affections declarees (libelles complets, effectifs ponderes) — W4, 2018</w:t>
      </w:r>
    </w:p>
    <w:p>
      <w:r>
        <w:br w:type="page"/>
      </w:r>
    </w:p>
    <w:bookmarkEnd w:id="28"/>
    <w:bookmarkStart w:id="32" w:name="X56764a30b96de8f92bf8611015fb70684a1d4ae"/>
    <w:p>
      <w:pPr>
        <w:pStyle w:val="Heading1"/>
      </w:pPr>
      <w:r>
        <w:t xml:space="preserve">Tâche 15 — Recours aux soins par type de prestataire</w:t>
      </w:r>
    </w:p>
    <w:p>
      <w:pPr>
        <w:pStyle w:val="BlockText"/>
      </w:pPr>
      <w:r>
        <w:rPr>
          <w:b/>
          <w:bCs/>
        </w:rPr>
        <w:t xml:space="preserve">Note méthodologique :</w:t>
      </w:r>
      <w:r>
        <w:t xml:space="preserve"> </w:t>
      </w:r>
      <w:r>
        <w:t xml:space="preserve">La variable consultation (</w:t>
      </w:r>
      <w:r>
        <w:rPr>
          <w:rStyle w:val="VerbatimChar"/>
        </w:rPr>
        <w:t xml:space="preserve">s3q50</w:t>
      </w:r>
      <w:r>
        <w:t xml:space="preserve">) est codée 1=YES (a cherché soins) et 2=NO (n’a pas cherché). Le taux brut de non-consultation est de</w:t>
      </w:r>
      <w:r>
        <w:t xml:space="preserve"> </w:t>
      </w:r>
      <w:r>
        <w:rPr>
          <w:b/>
          <w:bCs/>
        </w:rPr>
        <w:t xml:space="preserve">97.2%</w:t>
      </w:r>
      <w:r>
        <w:t xml:space="preserve"> </w:t>
      </w:r>
      <w:r>
        <w:t xml:space="preserve">; le taux pondéré affiché est</w:t>
      </w:r>
      <w:r>
        <w:t xml:space="preserve"> </w:t>
      </w:r>
      <w:r>
        <w:rPr>
          <w:b/>
          <w:bCs/>
        </w:rPr>
        <w:t xml:space="preserve">97.8%</w:t>
      </w:r>
      <w:r>
        <w:t xml:space="preserve">.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Figure 3 — Recours aux soins par type de prestataire, proportions ponderees, ordonne (W4, 2018)" title="" id="30" name="Picture"/>
            <a:graphic>
              <a:graphicData uri="http://schemas.openxmlformats.org/drawingml/2006/picture">
                <pic:pic>
                  <pic:nvPicPr>
                    <pic:cNvPr descr="Rapport__final_files/figure-docx/fig1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Recours aux soins par type de prestataire, proportions ponderees, ordonne (W4, 2018)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1 — Frequences de consultation par prestataire (ponderees, W4)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6"/>
        <w:gridCol w:w="1645"/>
        <w:gridCol w:w="2085"/>
        <w:gridCol w:w="2598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Prestataire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Effectif brut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Effectif pondere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Proportion pond. (%)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Aucun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26,366,244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97.81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Hopital 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302,638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115,564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Clinique privee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Tradipraticien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Pharmacie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</w:tbl>
    <w:p>
      <w:r>
        <w:br w:type="page"/>
      </w:r>
    </w:p>
    <w:bookmarkEnd w:id="32"/>
    <w:bookmarkStart w:id="36" w:name="Xcc174f081711baa4ab03919636450d1006fb997"/>
    <w:p>
      <w:pPr>
        <w:pStyle w:val="Heading1"/>
      </w:pPr>
      <w:r>
        <w:t xml:space="preserve">Tâche 16 — Distribution des dépenses de santé</w:t>
      </w:r>
    </w:p>
    <w:p>
      <w:pPr>
        <w:pStyle w:val="FirstParagraph"/>
      </w:pPr>
      <w:r>
        <w:t xml:space="preserve">L’analyse porte sur</w:t>
      </w:r>
      <w:r>
        <w:t xml:space="preserve"> </w:t>
      </w:r>
      <w:r>
        <w:rPr>
          <w:b/>
          <w:bCs/>
        </w:rPr>
        <w:t xml:space="preserve">138 ménages</w:t>
      </w:r>
      <w:r>
        <w:t xml:space="preserve"> </w:t>
      </w:r>
      <w:r>
        <w:t xml:space="preserve">avec dépenses positives. La distribution est fortement asymétrique à droite (asymétrie = 1.63). Dépense</w:t>
      </w:r>
      <w:r>
        <w:t xml:space="preserve"> </w:t>
      </w:r>
      <w:r>
        <w:rPr>
          <w:b/>
          <w:bCs/>
        </w:rPr>
        <w:t xml:space="preserve">médiane = 3 Naira</w:t>
      </w:r>
      <w:r>
        <w:t xml:space="preserve"> </w:t>
      </w:r>
      <w:r>
        <w:t xml:space="preserve">; moyenne = 7 Naira ; CV = 116.3%. Seuil aberrant (IQR×3) = 37 Naira →</w:t>
      </w:r>
      <w:r>
        <w:t xml:space="preserve"> </w:t>
      </w:r>
      <w:r>
        <w:rPr>
          <w:b/>
          <w:bCs/>
        </w:rPr>
        <w:t xml:space="preserve">2 valeurs aberrantes</w:t>
      </w:r>
      <w:r>
        <w:t xml:space="preserve">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2 — Statistiques descriptives des depenses de sante (W4)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4"/>
        <w:gridCol w:w="778"/>
        <w:gridCol w:w="1364"/>
        <w:gridCol w:w="1291"/>
        <w:gridCol w:w="704"/>
        <w:gridCol w:w="704"/>
        <w:gridCol w:w="1254"/>
        <w:gridCol w:w="1120"/>
        <w:gridCol w:w="1475"/>
        <w:gridCol w:w="789"/>
        <w:gridCol w:w="83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Asymetrie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Depenses sante (Naira)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3 — Deciles des depenses de sante (W4, menages depenses &gt; 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9"/>
        <w:gridCol w:w="1694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Decile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Seuil (Naira)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</w:tbl>
    <w:p>
      <w:pPr>
        <w:pStyle w:val="CaptionedFigure"/>
      </w:pPr>
      <w:r>
        <w:drawing>
          <wp:inline>
            <wp:extent cx="5334000" cy="2256692"/>
            <wp:effectExtent b="0" l="0" r="0" t="0"/>
            <wp:docPr descr="Figure 4 — Histogramme (echelle log) et boxplot des depenses par prestataire (W4, 2018)" title="" id="34" name="Picture"/>
            <a:graphic>
              <a:graphicData uri="http://schemas.openxmlformats.org/drawingml/2006/picture">
                <pic:pic>
                  <pic:nvPicPr>
                    <pic:cNvPr descr="Rapport__final_files/figure-docx/fig1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6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Histogramme (echelle log) et boxplot des depenses par prestataire (W4, 2018)</w:t>
      </w:r>
    </w:p>
    <w:p>
      <w:r>
        <w:br w:type="page"/>
      </w:r>
    </w:p>
    <w:bookmarkEnd w:id="36"/>
    <w:bookmarkStart w:id="40" w:name="X1b28daafeba149ceda91c2867569693d46d2524"/>
    <w:p>
      <w:pPr>
        <w:pStyle w:val="Heading1"/>
      </w:pPr>
      <w:r>
        <w:t xml:space="preserve">Tâche 17 — Test d’indépendance : recours aux soins × quintile de consommation</w:t>
      </w:r>
    </w:p>
    <w:p>
      <w:pPr>
        <w:pStyle w:val="FirstParagraph"/>
      </w:pPr>
      <w:r>
        <w:t xml:space="preserve">Le test Fisher est significatif (p = 0.0001). Le recours aux soins croît régulièrement avec le niveau de vie.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4 — Recours aux soins x quintile de consommation (effectifs bruts, W4)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9"/>
        <w:gridCol w:w="1804"/>
        <w:gridCol w:w="1352"/>
      </w:tblGrid>
      <w:tr>
        <w:trPr>
          <w:trHeight w:val="58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Quintile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 consulté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Consulté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(plus pauvres)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(plus riches)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DE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Figure 5 — Recours aux soins par quintile — barplot 100% empile, proportions ponderees (W4, 2018)" title="" id="38" name="Picture"/>
            <a:graphic>
              <a:graphicData uri="http://schemas.openxmlformats.org/drawingml/2006/picture">
                <pic:pic>
                  <pic:nvPicPr>
                    <pic:cNvPr descr="Rapport__final_files/figure-docx/fig1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Recours aux soins par quintile — barplot 100% empile, proportions ponderees (W4, 2018)</w:t>
      </w:r>
    </w:p>
    <w:p>
      <w:r>
        <w:br w:type="page"/>
      </w:r>
    </w:p>
    <w:bookmarkEnd w:id="40"/>
    <w:bookmarkStart w:id="44" w:name="X3d8f8364afe4ac3b2ad7593a26da5495597f3a9"/>
    <w:p>
      <w:pPr>
        <w:pStyle w:val="Heading1"/>
      </w:pPr>
      <w:r>
        <w:t xml:space="preserve">Tâche 18 — Dépenses médianes : Urbain vs Rural</w:t>
      </w:r>
    </w:p>
    <w:p>
      <w:pPr>
        <w:pStyle w:val="FirstParagraph"/>
      </w:pPr>
      <w:r>
        <w:t xml:space="preserve">Le test de Wilcoxon (W = 1743,</w:t>
      </w:r>
      <w:r>
        <w:t xml:space="preserve"> </w:t>
      </w:r>
      <w:r>
        <w:rPr>
          <w:b/>
          <w:bCs/>
        </w:rPr>
        <w:t xml:space="preserve">p = 0.648</w:t>
      </w:r>
      <w:r>
        <w:t xml:space="preserve">, r = 0.039 — effet negligeable) indique une différence non significative entre les médianes. Médiane</w:t>
      </w:r>
      <w:r>
        <w:t xml:space="preserve"> </w:t>
      </w:r>
      <w:r>
        <w:rPr>
          <w:b/>
          <w:bCs/>
        </w:rPr>
        <w:t xml:space="preserve">Urbain = 3 Naira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Rural = 4 Naira</w:t>
      </w:r>
      <w:r>
        <w:t xml:space="preserve">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5 — Depenses de sante medianes par milieu de residence (W4)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9"/>
        <w:gridCol w:w="778"/>
        <w:gridCol w:w="1694"/>
        <w:gridCol w:w="1291"/>
        <w:gridCol w:w="1364"/>
        <w:gridCol w:w="704"/>
        <w:gridCol w:w="7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Milieu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Eff. pondere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F8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F8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F8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351 548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F8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F8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F8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F8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239 260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</w:tbl>
    <w:p>
      <w:pPr>
        <w:pStyle w:val="CaptionedFigure"/>
      </w:pPr>
      <w:r>
        <w:drawing>
          <wp:inline>
            <wp:extent cx="5334000" cy="3467100"/>
            <wp:effectExtent b="0" l="0" r="0" t="0"/>
            <wp:docPr descr="Figure 6 — Depenses Urbain vs Rural : violin plot + boxplot superpose (W4, 2018)" title="" id="42" name="Picture"/>
            <a:graphic>
              <a:graphicData uri="http://schemas.openxmlformats.org/drawingml/2006/picture">
                <pic:pic>
                  <pic:nvPicPr>
                    <pic:cNvPr descr="Rapport__final_files/figure-docx/fig18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Depenses Urbain vs Rural : violin plot + boxplot superpose (W4, 2018)</w:t>
      </w:r>
    </w:p>
    <w:p>
      <w:r>
        <w:br w:type="page"/>
      </w:r>
    </w:p>
    <w:bookmarkEnd w:id="44"/>
    <w:bookmarkStart w:id="45" w:name="X57080b4289f0ae394b1c0c627f6aae5d6d18677"/>
    <w:p>
      <w:pPr>
        <w:pStyle w:val="Heading1"/>
      </w:pPr>
      <w:r>
        <w:t xml:space="preserve">Tableau récapitulatif — Indicateurs par milieu de résidence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26,533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Urbain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7,544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Rural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18,989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Maladie/blessure declaree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23,280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6,720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16,560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13,177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3,719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9,458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13,356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3,825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9,531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Groupe d'age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8,067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5,959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15-29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6,470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1,932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4,538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30-44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45-59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1,870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60 ans et 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1,920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527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1,393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Depenses de sante (Naira)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[2 ; 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[1 ; 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[2 ; 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25,848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Quintile de consommation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 (pauvres)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8,022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7,178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4,869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5,169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3,452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4,147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Q5 (riches)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1,266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[Q1 ; Q3]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Wilcoxon rank sum test</w:t>
            </w:r>
          </w:p>
        </w:tc>
      </w:tr>
    </w:tbl>
    <w:p>
      <w:r>
        <w:br w:type="page"/>
      </w:r>
    </w:p>
    <w:bookmarkEnd w:id="45"/>
    <w:bookmarkStart w:id="4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Six résultats clés ressortent de l’analyse pondérée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Morbidité élevée (87%)</w:t>
      </w:r>
      <w:r>
        <w:t xml:space="preserve"> </w:t>
      </w:r>
      <w:r>
        <w:t xml:space="preserve">touchant particulièrement les 0–4 ans et 60 ans et plus ; écart Urbain/Rural (89.1% vs 86.1%).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 infectieux dominant</w:t>
      </w:r>
      <w:r>
        <w:t xml:space="preserve"> </w:t>
      </w:r>
      <w:r>
        <w:t xml:space="preserve">: paludisme, fièvres, diarrhées — transition épidémiologique incomplète.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Renoncement massif (97.8% sans consultation pondéré)</w:t>
      </w:r>
      <w:r>
        <w:t xml:space="preserve"> </w:t>
      </w:r>
      <w:r>
        <w:t xml:space="preserve">: barrières financières, géographiques et culturelles.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Inégalités riches/pauvres</w:t>
      </w:r>
      <w:r>
        <w:t xml:space="preserve"> </w:t>
      </w:r>
      <w:r>
        <w:t xml:space="preserve">: test Fisher (p = 0.0001).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Disparités Urbain/Rural</w:t>
      </w:r>
      <w:r>
        <w:t xml:space="preserve"> </w:t>
      </w:r>
      <w:r>
        <w:t xml:space="preserve">: médiane 3 vs 4 Naira — Wilcoxon p = 0.648.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Dépenses asymétriques</w:t>
      </w:r>
      <w:r>
        <w:t xml:space="preserve"> </w:t>
      </w:r>
      <w:r>
        <w:t xml:space="preserve">: médiane 3 Naira, 2 valeurs aberrantes (&gt; 37 Naira).</w:t>
      </w:r>
    </w:p>
    <w:p>
      <w:r>
        <w:pict>
          <v:rect style="width:0;height:1.5pt" o:hralign="center" o:hrstd="t" o:hr="t"/>
        </w:pic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TP3 — Accès aux services de santé et chocs sanitaires des ménages nigérians</dc:title>
  <dc:creator>Groupe 6 : LO Serigne Ndame &amp; KEBJAM Jackson — ISE 1, 2025-2026</dc:creator>
  <cp:keywords/>
  <dcterms:created xsi:type="dcterms:W3CDTF">2026-03-24T08:59:21Z</dcterms:created>
  <dcterms:modified xsi:type="dcterms:W3CDTF">2026-03-24T08:59:21Z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24 mars 2026</vt:lpwstr>
  </property>
  <property fmtid="{D5CDD505-2E9C-101B-9397-08002B2CF9AE}" pid="4" name="output">
    <vt:lpwstr/>
  </property>
  <property fmtid="{D5CDD505-2E9C-101B-9397-08002B2CF9AE}" pid="5" name="subtitle">
    <vt:lpwstr>Nigeria General Household Survey (GHS) Panel | Wave 4 (2018)</vt:lpwstr>
  </property>
</Properties>
</file>