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5.png" ContentType="image/png"/>
  <Override PartName="/word/media/rId32.png" ContentType="image/png"/>
  <Override PartName="/word/media/rId43.png" ContentType="image/png"/>
  <Override PartName="/word/media/rId39.png" ContentType="image/png"/>
  <Override PartName="/word/media/rId2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Analyse des cultures, intrants et rendements agricoles</w:t>
      </w:r>
    </w:p>
    <w:p>
      <w:pPr>
        <w:pStyle w:val="Date"/>
      </w:pPr>
      <w:r>
        <w:t xml:space="preserve">13 avril 2026</w:t>
      </w:r>
    </w:p>
    <w:p>
      <w:r>
        <w:br w:type="page"/>
      </w:r>
    </w:p>
    <w:bookmarkStart w:id="20" w:name="introduction"/>
    <w:p>
      <w:pPr>
        <w:pStyle w:val="Titre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Le présent rapport propose une analyse de la</w:t>
      </w:r>
      <w:r>
        <w:t xml:space="preserve"> </w:t>
      </w:r>
      <w:r>
        <w:rPr>
          <w:b/>
          <w:bCs/>
        </w:rPr>
        <w:t xml:space="preserve">production agricole nigériane</w:t>
      </w:r>
      <w:r>
        <w:t xml:space="preserve"> </w:t>
      </w:r>
      <w:r>
        <w:t xml:space="preserve">à partir des données de la quatrième vague du General Household Survey Panel (GHS-Panel, 2018/2019). Seule la vague 4 (</w:t>
      </w:r>
      <w:r>
        <w:rPr>
          <w:b/>
          <w:bCs/>
        </w:rPr>
        <w:t xml:space="preserve">Wave 4</w:t>
      </w:r>
      <w:r>
        <w:t xml:space="preserve">) est exploitée dans l’ensemble de l’étude.</w:t>
      </w:r>
    </w:p>
    <w:p>
      <w:pPr>
        <w:pStyle w:val="Corpsdetexte"/>
      </w:pPr>
      <w:r>
        <w:t xml:space="preserve">L’analyse s’articule autour de cinq points : (i) l’identification des cultures dominantes, (ii) la mesure de la diversification culturale, (iii) le diagnostic de l’adoption des intrants, (iv) la comparaison du</w:t>
      </w:r>
      <w:r>
        <w:t xml:space="preserve"> </w:t>
      </w:r>
      <w:r>
        <w:rPr>
          <w:b/>
          <w:bCs/>
        </w:rPr>
        <w:t xml:space="preserve">rendement</w:t>
      </w:r>
      <w:r>
        <w:t xml:space="preserve"> </w:t>
      </w:r>
      <w:r>
        <w:t xml:space="preserve">céréalier par État en</w:t>
      </w:r>
      <w:r>
        <w:t xml:space="preserve"> </w:t>
      </w:r>
      <w:r>
        <w:rPr>
          <w:b/>
          <w:bCs/>
        </w:rPr>
        <w:t xml:space="preserve">kg/ha</w:t>
      </w:r>
      <w:r>
        <w:t xml:space="preserve">, et (v) l’évaluation de l’effet de l’engrais inorganique sur le rendement. Les calculs prennent systématiquement en compte les</w:t>
      </w:r>
      <w:r>
        <w:t xml:space="preserve"> </w:t>
      </w:r>
      <w:r>
        <w:rPr>
          <w:b/>
          <w:bCs/>
        </w:rPr>
        <w:t xml:space="preserve">pondérations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wt_wave4</w:t>
      </w:r>
      <w:r>
        <w:t xml:space="preserve">.</w:t>
      </w:r>
    </w:p>
    <w:bookmarkEnd w:id="20"/>
    <w:bookmarkStart w:id="23" w:name="cadre-méthodologique"/>
    <w:p>
      <w:pPr>
        <w:pStyle w:val="Titre1"/>
      </w:pPr>
      <w:r>
        <w:rPr>
          <w:rStyle w:val="SectionNumber"/>
        </w:rPr>
        <w:t xml:space="preserve">2</w:t>
      </w:r>
      <w:r>
        <w:tab/>
      </w:r>
      <w:r>
        <w:t xml:space="preserve">Cadre méthodologique</w:t>
      </w:r>
    </w:p>
    <w:bookmarkStart w:id="21" w:name="jeux-de-données-exploités"/>
    <w:p>
      <w:pPr>
        <w:pStyle w:val="Titre2"/>
      </w:pPr>
      <w:r>
        <w:rPr>
          <w:rStyle w:val="SectionNumber"/>
        </w:rPr>
        <w:t xml:space="preserve">2.1</w:t>
      </w:r>
      <w:r>
        <w:tab/>
      </w:r>
      <w:r>
        <w:t xml:space="preserve">Jeux de données exploités</w:t>
      </w:r>
    </w:p>
    <w:bookmarkEnd w:id="21"/>
    <w:bookmarkStart w:id="22" w:name="calcul-du-rendement-en-kgha-q28-et-q29"/>
    <w:p>
      <w:pPr>
        <w:pStyle w:val="Titre2"/>
      </w:pPr>
      <w:r>
        <w:rPr>
          <w:rStyle w:val="SectionNumber"/>
        </w:rPr>
        <w:t xml:space="preserve">2.2</w:t>
      </w:r>
      <w:r>
        <w:tab/>
      </w:r>
      <w:r>
        <w:t xml:space="preserve">Calcul du rendement en kg/ha (Q28 et Q29)</w:t>
      </w:r>
    </w:p>
    <w:p>
      <w:pPr>
        <w:pStyle w:val="FirstParagraph"/>
      </w:pPr>
      <w:r>
        <w:t xml:space="preserve">Le rendement est exprimé en</w:t>
      </w:r>
      <w:r>
        <w:t xml:space="preserve"> </w:t>
      </w:r>
      <w:r>
        <w:rPr>
          <w:b/>
          <w:bCs/>
        </w:rPr>
        <w:t xml:space="preserve">kg/ha</w:t>
      </w:r>
      <w:r>
        <w:t xml:space="preserve"> </w:t>
      </w:r>
      <w:r>
        <w:t xml:space="preserve">grâce aux superficies issues du fichier</w:t>
      </w:r>
      <w:r>
        <w:t xml:space="preserve"> </w:t>
      </w:r>
      <w:r>
        <w:rPr>
          <w:rStyle w:val="VerbatimChar"/>
        </w:rPr>
        <w:t xml:space="preserve">secta1_harvestw4.dta</w:t>
      </w:r>
      <w:r>
        <w:t xml:space="preserve">. La superficie retenue pour chaque parcelle suit une stratégie hiérarchique : la</w:t>
      </w:r>
      <w:r>
        <w:t xml:space="preserve"> </w:t>
      </w:r>
      <w:r>
        <w:rPr>
          <w:b/>
          <w:bCs/>
        </w:rPr>
        <w:t xml:space="preserve">mesure GPS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prefilled_gps_area</w:t>
      </w:r>
      <w:r>
        <w:t xml:space="preserve">, en m²) est utilisée en priorité ; en l’absence de mesure GPS, l’</w:t>
      </w:r>
      <w:r>
        <w:rPr>
          <w:b/>
          <w:bCs/>
        </w:rPr>
        <w:t xml:space="preserve">auto-déclaration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sa1q11</w:t>
      </w:r>
      <w:r>
        <w:t xml:space="preserve">, en m²) est retenue. Les superficies sont converties en hectares (</w:t>
      </w:r>
      <m:oMath>
        <m:r>
          <m:rPr>
            <m:sty m:val="p"/>
          </m:rPr>
          <m:t>÷</m:t>
        </m:r>
      </m:oMath>
      <w:r>
        <w:t xml:space="preserve"> </w:t>
      </w:r>
      <w:r>
        <w:t xml:space="preserve">10 000).</w:t>
      </w:r>
    </w:p>
    <w:p>
      <w:pPr>
        <w:pStyle w:val="Corpsdetexte"/>
      </w:pPr>
      <w:r>
        <w:t xml:space="preserve">Sur les 3 528 parcelles de maïs/millet identifiées,</w:t>
      </w:r>
      <w:r>
        <w:t xml:space="preserve"> </w:t>
      </w:r>
      <w:r>
        <w:rPr>
          <w:b/>
          <w:bCs/>
        </w:rPr>
        <w:t xml:space="preserve">3 190</w:t>
      </w:r>
      <w:r>
        <w:t xml:space="preserve"> </w:t>
      </w:r>
      <w:r>
        <w:t xml:space="preserve">disposent d’une superficie (dont 6 827 par GPS). La superficie médiane des parcelles est de</w:t>
      </w:r>
      <w:r>
        <w:t xml:space="preserve"> </w:t>
      </w:r>
      <w:r>
        <w:rPr>
          <w:b/>
          <w:bCs/>
        </w:rPr>
        <w:t xml:space="preserve">0.254 ha</w:t>
      </w:r>
      <w:r>
        <w:t xml:space="preserve">.</w:t>
      </w:r>
    </w:p>
    <w:bookmarkEnd w:id="22"/>
    <w:bookmarkEnd w:id="23"/>
    <w:bookmarkStart w:id="27" w:name="cultures-dominantes-en-2018-q25"/>
    <w:p>
      <w:pPr>
        <w:pStyle w:val="Titre1"/>
      </w:pPr>
      <w:r>
        <w:rPr>
          <w:rStyle w:val="SectionNumber"/>
        </w:rPr>
        <w:t xml:space="preserve">3</w:t>
      </w:r>
      <w:r>
        <w:tab/>
      </w:r>
      <w:r>
        <w:t xml:space="preserve">Cultures dominantes en 2018 (Q25)</w:t>
      </w:r>
    </w:p>
    <w:p>
      <w:pPr>
        <w:pStyle w:val="CaptionedFigure"/>
      </w:pPr>
      <w:r>
        <w:drawing>
          <wp:inline>
            <wp:extent cx="5468112" cy="4296373"/>
            <wp:effectExtent b="0" l="0" r="0" t="0"/>
            <wp:docPr descr="Les 15 cultures les plus pratiquées — GHS Wave 4, 2018." title="" id="25" name="Picture"/>
            <a:graphic>
              <a:graphicData uri="http://schemas.openxmlformats.org/drawingml/2006/picture">
                <pic:pic>
                  <pic:nvPicPr>
                    <pic:cNvPr descr="Rapport_TP5_agriculture_files/figure-docx/fig_top1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2" cy="429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 15 cultures les plus pratiquées — GHS Wave 4, 2018.</w:t>
      </w:r>
    </w:p>
    <w:p>
      <w:pPr>
        <w:pStyle w:val="Corpsdetexte"/>
      </w:pPr>
      <w:r>
        <w:t xml:space="preserve">Le</w:t>
      </w:r>
      <w:r>
        <w:t xml:space="preserve"> </w:t>
      </w:r>
      <w:r>
        <w:rPr>
          <w:b/>
          <w:bCs/>
        </w:rPr>
        <w:t xml:space="preserve">Maize</w:t>
      </w:r>
      <w:r>
        <w:t xml:space="preserve"> </w:t>
      </w:r>
      <w:r>
        <w:t xml:space="preserve">arrive en première position, cultivé par</w:t>
      </w:r>
      <w:r>
        <w:t xml:space="preserve"> </w:t>
      </w:r>
      <w:r>
        <w:rPr>
          <w:b/>
          <w:bCs/>
        </w:rPr>
        <w:t xml:space="preserve">50.6%</w:t>
      </w:r>
      <w:r>
        <w:t xml:space="preserve"> </w:t>
      </w:r>
      <w:r>
        <w:t xml:space="preserve">des exploitations agricoles. La prédominance des</w:t>
      </w:r>
      <w:r>
        <w:t xml:space="preserve"> </w:t>
      </w:r>
      <w:r>
        <w:rPr>
          <w:b/>
          <w:bCs/>
        </w:rPr>
        <w:t xml:space="preserve">céréales</w:t>
      </w:r>
      <w:r>
        <w:t xml:space="preserve"> </w:t>
      </w:r>
      <w:r>
        <w:t xml:space="preserve">(4 espèces dans le top 15) traduit leur importance dans le régime alimentaire et l’économie rurale nigériane. Les tubercules (manioc, igname) occupent la deuxième place, particulièrement dans les zones Sud.</w:t>
      </w:r>
    </w:p>
    <w:bookmarkEnd w:id="27"/>
    <w:bookmarkStart w:id="31" w:name="diversification-des-exploitations-q26"/>
    <w:p>
      <w:pPr>
        <w:pStyle w:val="Titre1"/>
      </w:pPr>
      <w:r>
        <w:rPr>
          <w:rStyle w:val="SectionNumber"/>
        </w:rPr>
        <w:t xml:space="preserve">4</w:t>
      </w:r>
      <w:r>
        <w:tab/>
      </w:r>
      <w:r>
        <w:t xml:space="preserve">Diversification des exploitations (Q26)</w:t>
      </w:r>
    </w:p>
    <w:p>
      <w:pPr>
        <w:pStyle w:val="CaptionedFigure"/>
      </w:pPr>
      <w:r>
        <w:drawing>
          <wp:inline>
            <wp:extent cx="5824728" cy="2621127"/>
            <wp:effectExtent b="0" l="0" r="0" t="0"/>
            <wp:docPr descr="Diversification culturale : comparaison urbain-rural — GHS Wave 4, 2018." title="" id="29" name="Picture"/>
            <a:graphic>
              <a:graphicData uri="http://schemas.openxmlformats.org/drawingml/2006/picture">
                <pic:pic>
                  <pic:nvPicPr>
                    <pic:cNvPr descr="Rapport_TP5_agriculture_files/figure-docx/fig_diversif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728" cy="262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Diversification culturale : comparaison urbain-rural — GHS Wave 4, 2018.</w:t>
      </w:r>
    </w:p>
    <w:p>
      <w:pPr>
        <w:pStyle w:val="Corpsdetexte"/>
      </w:pPr>
      <w:r>
        <w:t xml:space="preserve">En moyenne, les ménages ruraux cultivent</w:t>
      </w:r>
      <w:r>
        <w:t xml:space="preserve"> </w:t>
      </w:r>
      <w:r>
        <w:rPr>
          <w:b/>
          <w:bCs/>
        </w:rPr>
        <w:t xml:space="preserve">2.88 espèces</w:t>
      </w:r>
      <w:r>
        <w:t xml:space="preserve"> </w:t>
      </w:r>
      <w:r>
        <w:t xml:space="preserve">différentes contre</w:t>
      </w:r>
      <w:r>
        <w:t xml:space="preserve"> </w:t>
      </w:r>
      <w:r>
        <w:rPr>
          <w:b/>
          <w:bCs/>
        </w:rPr>
        <w:t xml:space="preserve">2.67</w:t>
      </w:r>
      <w:r>
        <w:t xml:space="preserve"> </w:t>
      </w:r>
      <w:r>
        <w:t xml:space="preserve">pour les ménages urbains. Le test de Wilcoxon-Mann-Whitney met en évidence une différence significative (p = 2e-12, r = 0.12).</w:t>
      </w:r>
    </w:p>
    <w:bookmarkEnd w:id="31"/>
    <w:bookmarkStart w:id="38" w:name="diagnostic-de-ladoption-des-intrants-q27"/>
    <w:p>
      <w:pPr>
        <w:pStyle w:val="Titre1"/>
      </w:pPr>
      <w:r>
        <w:rPr>
          <w:rStyle w:val="SectionNumber"/>
        </w:rPr>
        <w:t xml:space="preserve">5</w:t>
      </w:r>
      <w:r>
        <w:tab/>
      </w:r>
      <w:r>
        <w:t xml:space="preserve">Diagnostic de l’adoption des intrants (Q27)</w:t>
      </w:r>
    </w:p>
    <w:p>
      <w:pPr>
        <w:pStyle w:val="CaptionedFigure"/>
      </w:pPr>
      <w:r>
        <w:drawing>
          <wp:inline>
            <wp:extent cx="5646420" cy="3629841"/>
            <wp:effectExtent b="0" l="0" r="0" t="0"/>
            <wp:docPr descr="Taux d’utilisation des intrants agricoles — GHS Wave 4, 2018." title="" id="33" name="Picture"/>
            <a:graphic>
              <a:graphicData uri="http://schemas.openxmlformats.org/drawingml/2006/picture">
                <pic:pic>
                  <pic:nvPicPr>
                    <pic:cNvPr descr="Rapport_TP5_agriculture_files/figure-docx/fig_intrants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62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d’utilisation des intrants agricoles — GHS Wave 4, 2018.</w:t>
      </w:r>
    </w:p>
    <w:p>
      <w:pPr>
        <w:pStyle w:val="CaptionedFigure"/>
      </w:pPr>
      <w:r>
        <w:drawing>
          <wp:inline>
            <wp:extent cx="5646420" cy="3629841"/>
            <wp:effectExtent b="0" l="0" r="0" t="0"/>
            <wp:docPr descr="Adoption de l’engrais inorganique selon la zone et le milieu — GHS Wave 4, 2018." title="" id="36" name="Picture"/>
            <a:graphic>
              <a:graphicData uri="http://schemas.openxmlformats.org/drawingml/2006/picture">
                <pic:pic>
                  <pic:nvPicPr>
                    <pic:cNvPr descr="Rapport_TP5_agriculture_files/figure-docx/fig_engrais_zone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62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Adoption de l’engrais inorganique selon la zone et le milieu — GHS Wave 4, 2018.</w:t>
      </w:r>
    </w:p>
    <w:p>
      <w:pPr>
        <w:pStyle w:val="Corpsdetexte"/>
      </w:pPr>
      <w:r>
        <w:t xml:space="preserve">L’engrais inorganique est utilisé par</w:t>
      </w:r>
      <w:r>
        <w:t xml:space="preserve"> </w:t>
      </w:r>
      <w:r>
        <w:rPr>
          <w:b/>
          <w:bCs/>
        </w:rPr>
        <w:t xml:space="preserve">43%</w:t>
      </w:r>
      <w:r>
        <w:t xml:space="preserve"> </w:t>
      </w:r>
      <w:r>
        <w:t xml:space="preserve">des ménages. L’herbicide, avec</w:t>
      </w:r>
      <w:r>
        <w:t xml:space="preserve"> </w:t>
      </w:r>
      <w:r>
        <w:rPr>
          <w:b/>
          <w:bCs/>
        </w:rPr>
        <w:t xml:space="preserve">40.1%</w:t>
      </w:r>
      <w:r>
        <w:t xml:space="preserve">, est l’intrant le plus courant. Le test du chi-deux confirme un</w:t>
      </w:r>
      <w:r>
        <w:t xml:space="preserve"> </w:t>
      </w:r>
      <w:r>
        <w:rPr>
          <w:b/>
          <w:bCs/>
        </w:rPr>
        <w:t xml:space="preserve">lien significatif</w:t>
      </w:r>
      <w:r>
        <w:t xml:space="preserve"> </w:t>
      </w:r>
      <w:r>
        <w:t xml:space="preserve">entre le type de milieu et l’adoption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31.33, p &lt; 0,001).</w:t>
      </w:r>
    </w:p>
    <w:bookmarkEnd w:id="38"/>
    <w:bookmarkStart w:id="42" w:name="X770fe556305f28033f3f73f55c413633b5612f9"/>
    <w:p>
      <w:pPr>
        <w:pStyle w:val="Titre1"/>
      </w:pPr>
      <w:r>
        <w:rPr>
          <w:rStyle w:val="SectionNumber"/>
        </w:rPr>
        <w:t xml:space="preserve">6</w:t>
      </w:r>
      <w:r>
        <w:tab/>
      </w:r>
      <w:r>
        <w:t xml:space="preserve">Rendement du maïs et du millet par État (Q28)</w:t>
      </w:r>
    </w:p>
    <w:p>
      <w:pPr>
        <w:pStyle w:val="CaptionedFigure"/>
      </w:pPr>
      <w:r>
        <w:drawing>
          <wp:inline>
            <wp:extent cx="5349240" cy="7132320"/>
            <wp:effectExtent b="0" l="0" r="0" t="0"/>
            <wp:docPr descr="Rendement du maïs et du millet par État (kg/ha) — GHS Wave 4, 2018." title="" id="40" name="Picture"/>
            <a:graphic>
              <a:graphicData uri="http://schemas.openxmlformats.org/drawingml/2006/picture">
                <pic:pic>
                  <pic:nvPicPr>
                    <pic:cNvPr descr="Rapport_TP5_agriculture_files/figure-docx/fig_rdt_eta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713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Rendement du maïs et du millet par État (kg/ha) — GHS Wave 4, 2018.</w:t>
      </w:r>
    </w:p>
    <w:p>
      <w:pPr>
        <w:pStyle w:val="Corpsdetexte"/>
      </w:pPr>
      <w:r>
        <w:t xml:space="preserve">L’hétérogénéité inter-États est</w:t>
      </w:r>
      <w:r>
        <w:t xml:space="preserve"> </w:t>
      </w:r>
      <w:r>
        <w:rPr>
          <w:b/>
          <w:bCs/>
        </w:rPr>
        <w:t xml:space="preserve">très significative</w:t>
      </w:r>
      <w:r>
        <w:t xml:space="preserve"> </w:t>
      </w:r>
      <w:r>
        <w:t xml:space="preserve">(Kruskal-Wallis : H = 447.5, p &lt; 0,001). Les États des zones Centre et Sud-Ouest affichent des rendements supérieurs, portés par des conditions climatiques favorables et un accès facilité aux intrants.</w:t>
      </w:r>
    </w:p>
    <w:bookmarkEnd w:id="42"/>
    <w:bookmarkStart w:id="46" w:name="X7f9e8aea9a69324f205bd752bdc23419a139025"/>
    <w:p>
      <w:pPr>
        <w:pStyle w:val="Titre1"/>
      </w:pPr>
      <w:r>
        <w:rPr>
          <w:rStyle w:val="SectionNumber"/>
        </w:rPr>
        <w:t xml:space="preserve">7</w:t>
      </w:r>
      <w:r>
        <w:tab/>
      </w:r>
      <w:r>
        <w:t xml:space="preserve">Effet de l’engrais inorganique sur le rendement (Q29)</w:t>
      </w:r>
    </w:p>
    <w:p>
      <w:pPr>
        <w:pStyle w:val="CaptionedFigure"/>
      </w:pPr>
      <w:r>
        <w:drawing>
          <wp:inline>
            <wp:extent cx="5646420" cy="3629841"/>
            <wp:effectExtent b="0" l="0" r="0" t="0"/>
            <wp:docPr descr="Rendement (kg/ha) selon l’utilisation d’engrais inorganique — GHS Wave 4, 2018." title="" id="44" name="Picture"/>
            <a:graphic>
              <a:graphicData uri="http://schemas.openxmlformats.org/drawingml/2006/picture">
                <pic:pic>
                  <pic:nvPicPr>
                    <pic:cNvPr descr="Rapport_TP5_agriculture_files/figure-docx/fig_rdt_engrais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62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Rendement (kg/ha) selon l’utilisation d’engrais inorganique — GHS Wave 4, 2018.</w:t>
      </w:r>
    </w:p>
    <w:p>
      <w:pPr>
        <w:pStyle w:val="Corpsdetexte"/>
      </w:pPr>
      <w:r>
        <w:t xml:space="preserve">Le rendement médian des parcelles de maïs fertilisées s’établit à</w:t>
      </w:r>
      <w:r>
        <w:t xml:space="preserve"> </w:t>
      </w:r>
      <w:r>
        <w:rPr>
          <w:b/>
          <w:bCs/>
        </w:rPr>
        <w:t xml:space="preserve">1154.6 kg/ha</w:t>
      </w:r>
      <w:r>
        <w:t xml:space="preserve"> </w:t>
      </w:r>
      <w:r>
        <w:t xml:space="preserve">contre</w:t>
      </w:r>
      <w:r>
        <w:t xml:space="preserve"> </w:t>
      </w:r>
      <w:r>
        <w:rPr>
          <w:b/>
          <w:bCs/>
        </w:rPr>
        <w:t xml:space="preserve">591.5 kg/ha</w:t>
      </w:r>
      <w:r>
        <w:t xml:space="preserve"> </w:t>
      </w:r>
      <w:r>
        <w:t xml:space="preserve">sans fertilisation, soit un rapport de 2. Cet écart est</w:t>
      </w:r>
      <w:r>
        <w:t xml:space="preserve"> </w:t>
      </w:r>
      <w:r>
        <w:rPr>
          <w:b/>
          <w:bCs/>
        </w:rPr>
        <w:t xml:space="preserve">statistiquement significatif</w:t>
      </w:r>
      <w:r>
        <w:t xml:space="preserve"> </w:t>
      </w:r>
      <w:r>
        <w:t xml:space="preserve">(p = 1.1e-40, r = 0.285). Le millet présente une dynamique analogue (p = 2.7e-01, r = 0.037). Ces observations confirment le rôle déterminant de la fertilisation chimique dans l’amélioration de la productivité agricole.</w:t>
      </w:r>
    </w:p>
    <w:bookmarkEnd w:id="46"/>
    <w:bookmarkStart w:id="47" w:name="conclusion"/>
    <w:p>
      <w:pPr>
        <w:pStyle w:val="Titre1"/>
      </w:pPr>
      <w:r>
        <w:rPr>
          <w:rStyle w:val="SectionNumber"/>
        </w:rPr>
        <w:t xml:space="preserve">8</w:t>
      </w:r>
      <w:r>
        <w:tab/>
      </w:r>
      <w:r>
        <w:t xml:space="preserve">Conclusion</w:t>
      </w:r>
    </w:p>
    <w:p>
      <w:pPr>
        <w:pStyle w:val="FirstParagraph"/>
      </w:pPr>
      <w:r>
        <w:t xml:space="preserve">Cette analyse fait ressortir quatre résultats marquants.</w:t>
      </w:r>
    </w:p>
    <w:p>
      <w:pPr>
        <w:pStyle w:val="Corpsdetexte"/>
      </w:pPr>
      <w:r>
        <w:rPr>
          <w:b/>
          <w:bCs/>
        </w:rPr>
        <w:t xml:space="preserve">1. Prédominance des céréales et des tubercules.</w:t>
      </w:r>
      <w:r>
        <w:t xml:space="preserve"> </w:t>
      </w:r>
      <w:r>
        <w:t xml:space="preserve">Le maïs (50.6% des exploitations), le sorgho et le manioc forment le socle de l’agriculture nigériane en 2018.</w:t>
      </w:r>
    </w:p>
    <w:p>
      <w:pPr>
        <w:pStyle w:val="Corpsdetexte"/>
      </w:pPr>
      <w:r>
        <w:rPr>
          <w:b/>
          <w:bCs/>
        </w:rPr>
        <w:t xml:space="preserve">2. Pluriculture plus prononcée en zone rurale.</w:t>
      </w:r>
      <w:r>
        <w:t xml:space="preserve"> </w:t>
      </w:r>
      <w:r>
        <w:t xml:space="preserve">Avec 2.88 cultures en moyenne contre 2.67 en ville (p = 2e-12), les exploitations rurales déploient des stratégies de diversification visant à réduire le risque alimentaire.</w:t>
      </w:r>
    </w:p>
    <w:p>
      <w:pPr>
        <w:pStyle w:val="Corpsdetexte"/>
      </w:pPr>
      <w:r>
        <w:rPr>
          <w:b/>
          <w:bCs/>
        </w:rPr>
        <w:t xml:space="preserve">3. Faible pénétration des intrants modernes.</w:t>
      </w:r>
      <w:r>
        <w:t xml:space="preserve"> </w:t>
      </w:r>
      <w:r>
        <w:t xml:space="preserve">Seuls 43% des ménages recourent à l’engrais inorganique. Les taux d’adoption les plus élevés se concentrent dans le Nord.</w:t>
      </w:r>
    </w:p>
    <w:p>
      <w:pPr>
        <w:pStyle w:val="Corpsdetexte"/>
      </w:pPr>
      <w:r>
        <w:rPr>
          <w:b/>
          <w:bCs/>
        </w:rPr>
        <w:t xml:space="preserve">4. Effet positif avéré de l’engrais sur le rendement.</w:t>
      </w:r>
      <w:r>
        <w:t xml:space="preserve"> </w:t>
      </w:r>
      <w:r>
        <w:t xml:space="preserve">Les parcelles fertilisées produisent significativement davantage, avec un effet de taille petite pour le maïs. L’analyse en</w:t>
      </w:r>
      <w:r>
        <w:t xml:space="preserve"> </w:t>
      </w:r>
      <w:r>
        <w:rPr>
          <w:b/>
          <w:bCs/>
        </w:rPr>
        <w:t xml:space="preserve">kg/ha</w:t>
      </w:r>
      <w:r>
        <w:t xml:space="preserve"> </w:t>
      </w:r>
      <w:r>
        <w:t xml:space="preserve">(grâce aux superficies GPS et auto-déclarées du fichier</w:t>
      </w:r>
      <w:r>
        <w:t xml:space="preserve"> </w:t>
      </w:r>
      <w:r>
        <w:rPr>
          <w:rStyle w:val="VerbatimChar"/>
        </w:rPr>
        <w:t xml:space="preserve">secta1_harvestw4</w:t>
      </w:r>
      <w:r>
        <w:t xml:space="preserve">) permet une comparaison standardisée des rendements.</w:t>
      </w:r>
    </w:p>
    <w:bookmarkEnd w:id="47"/>
    <w:bookmarkStart w:id="48" w:name="références"/>
    <w:p>
      <w:pPr>
        <w:pStyle w:val="Titre1"/>
      </w:pPr>
      <w:r>
        <w:t xml:space="preserve">Références</w:t>
      </w:r>
    </w:p>
    <w:p>
      <w:pPr>
        <w:pStyle w:val="Compact"/>
        <w:numPr>
          <w:ilvl w:val="0"/>
          <w:numId w:val="1001"/>
        </w:numPr>
      </w:pPr>
      <w:r>
        <w:t xml:space="preserve">World Bank / NBS Nigeria (2019).</w:t>
      </w:r>
      <w:r>
        <w:t xml:space="preserve"> </w:t>
      </w:r>
      <w:r>
        <w:rPr>
          <w:i/>
          <w:iCs/>
        </w:rPr>
        <w:t xml:space="preserve">Nigeria General Household Survey Panel 2018-2019, Wave 4</w:t>
      </w:r>
      <w:r>
        <w:t xml:space="preserve">. LSMS-ISA. Washington DC : The World Bank.</w:t>
      </w:r>
    </w:p>
    <w:p>
      <w:pPr>
        <w:pStyle w:val="Compact"/>
        <w:numPr>
          <w:ilvl w:val="0"/>
          <w:numId w:val="1001"/>
        </w:numPr>
      </w:pPr>
      <w:r>
        <w:t xml:space="preserve">Lumley, T. (2010).</w:t>
      </w:r>
      <w:r>
        <w:t xml:space="preserve"> </w:t>
      </w:r>
      <w:r>
        <w:rPr>
          <w:i/>
          <w:iCs/>
        </w:rPr>
        <w:t xml:space="preserve">Complex Surveys: A Guide to Analysis Using R</w:t>
      </w:r>
      <w:r>
        <w:t xml:space="preserve">. Hoboken : Wiley.</w:t>
      </w:r>
    </w:p>
    <w:p>
      <w:pPr>
        <w:pStyle w:val="Compact"/>
        <w:numPr>
          <w:ilvl w:val="0"/>
          <w:numId w:val="1001"/>
        </w:numPr>
      </w:pPr>
      <w:r>
        <w:t xml:space="preserve">Kruskal, W. H. &amp; Wallis, W. A. (1952). Use of ranks in one-criterion variance analysis.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47(260), 583–621.</w:t>
      </w:r>
    </w:p>
    <w:p>
      <w:pPr>
        <w:pStyle w:val="Compact"/>
        <w:numPr>
          <w:ilvl w:val="0"/>
          <w:numId w:val="1001"/>
        </w:numPr>
      </w:pPr>
      <w:r>
        <w:t xml:space="preserve">Wilcoxon, F. (1945). Individual comparisons by ranking methods.</w:t>
      </w:r>
      <w:r>
        <w:t xml:space="preserve"> </w:t>
      </w:r>
      <w:r>
        <w:rPr>
          <w:i/>
          <w:iCs/>
        </w:rPr>
        <w:t xml:space="preserve">Biometrics Bulletin</w:t>
      </w:r>
      <w:r>
        <w:t xml:space="preserve">, 1(6), 80–83.</w:t>
      </w:r>
    </w:p>
    <w:p>
      <w:pPr>
        <w:pStyle w:val="Compact"/>
        <w:numPr>
          <w:ilvl w:val="0"/>
          <w:numId w:val="1001"/>
        </w:numPr>
      </w:pPr>
      <w:r>
        <w:t xml:space="preserve">Cohen, J. (1988).</w:t>
      </w:r>
      <w:r>
        <w:t xml:space="preserve"> </w:t>
      </w:r>
      <w:r>
        <w:rPr>
          <w:i/>
          <w:iCs/>
        </w:rPr>
        <w:t xml:space="preserve">Statistical Power Analysis for the Behavioral Sciences</w:t>
      </w:r>
      <w:r>
        <w:t xml:space="preserve"> </w:t>
      </w:r>
      <w:r>
        <w:t xml:space="preserve">(2e éd.). Hillsdale : Lawrence Erlbaum.</w:t>
      </w:r>
    </w:p>
    <w:bookmarkEnd w:id="48"/>
    <w:sectPr w:rsidR="001277EC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Default="0091330B" w:rsidP="0091330B">
    <w:pPr>
      <w:pStyle w:val="Pieddepage"/>
      <w:tabs>
        <w:tab w:val="clear" w:pos="4513"/>
      </w:tabs>
    </w:pPr>
    <w:r>
      <w:t>Analyse statistique avec R sur les donn</w:t>
    </w:r>
    <w:r>
      <w:rPr>
        <w:lang w:val="fr-FR"/>
      </w:rPr>
      <w:t>é</w:t>
    </w:r>
    <w:r w:rsidRPr="0091330B">
      <w:rPr>
        <w:lang w:val="fr-FR"/>
      </w:rPr>
      <w:t>e</w:t>
    </w:r>
    <w:r>
      <w:rPr>
        <w:lang w:val="fr-FR"/>
      </w:rPr>
      <w:t>s du GHS Panel Nigé</w:t>
    </w:r>
    <w:r w:rsidRPr="0091330B">
      <w:rPr>
        <w:lang w:val="fr-FR"/>
      </w:rPr>
      <w:t>r</w:t>
    </w:r>
    <w:r>
      <w:rPr>
        <w:lang w:val="fr-FR"/>
      </w:rPr>
      <w:t>ian</w:t>
    </w:r>
    <w:r>
      <w:rPr>
        <w:lang w:val="fr-FR"/>
      </w:rPr>
      <w:tab/>
    </w:r>
    <w:r w:rsidRPr="0091330B">
      <w:rPr>
        <w:lang w:val="fr-FR"/>
      </w:rPr>
      <w:t xml:space="preserve">Page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PAGE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1</w:t>
    </w:r>
    <w:r w:rsidRPr="0091330B">
      <w:rPr>
        <w:b w:val="0"/>
        <w:bCs/>
        <w:lang w:val="fr-FR"/>
      </w:rPr>
      <w:fldChar w:fldCharType="end"/>
    </w:r>
    <w:r w:rsidRPr="0091330B">
      <w:rPr>
        <w:lang w:val="fr-FR"/>
      </w:rPr>
      <w:t xml:space="preserve"> sur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NUMPAGES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2</w:t>
    </w:r>
    <w:r w:rsidRPr="0091330B">
      <w:rPr>
        <w:b w:val="0"/>
        <w:bCs/>
        <w:lang w:val="fr-FR"/>
      </w:rPr>
      <w:fldChar w:fldCharType="end"/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055C5743" w:rsidR="0091330B" w:rsidRPr="0091330B" w:rsidRDefault="0091330B">
    <w:pPr>
      <w:pStyle w:val="En-tte"/>
      <w:rPr>
        <w:lang w:val="en-US"/>
      </w:rPr>
    </w:pPr>
    <w:r>
      <w:rPr>
        <w:lang w:val="en-US"/>
      </w:rPr>
      <w:t>TP</w:t>
    </w:r>
    <w:r w:rsidR="003226F8">
      <w:rPr>
        <w:lang w:val="en-US"/>
      </w:rPr>
      <w:t>3</w:t>
    </w:r>
    <w:r>
      <w:rPr>
        <w:lang w:val="en-US"/>
      </w:rPr>
      <w:t>. R &amp; Python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EFDC74B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hanging="360" w:left="108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277EC"/>
    <w:rsid w:val="001D0BBE"/>
    <w:rsid w:val="00314C10"/>
    <w:rsid w:val="003210E8"/>
    <w:rsid w:val="003226F8"/>
    <w:rsid w:val="00431909"/>
    <w:rsid w:val="005446BA"/>
    <w:rsid w:val="00787345"/>
    <w:rsid w:val="00850FC0"/>
    <w:rsid w:val="0091330B"/>
    <w:rsid w:val="00AB6199"/>
    <w:rsid w:val="00BE40A1"/>
    <w:rsid w:val="00C1143B"/>
    <w:rsid w:val="00C442AA"/>
    <w:rsid w:val="00C57C0F"/>
    <w:rsid w:val="00D50879"/>
    <w:rsid w:val="00E40832"/>
    <w:rsid w:val="00E53A42"/>
    <w:rsid w:val="00E77B55"/>
    <w:rsid w:val="00F02665"/>
    <w:rsid w:val="00F703BB"/>
    <w:rsid w:val="00F919B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styleId="Titre1" w:type="paragraph">
    <w:name w:val="heading 1"/>
    <w:basedOn w:val="Normal"/>
    <w:next w:val="Corpsdetexte"/>
    <w:uiPriority w:val="9"/>
    <w:qFormat/>
    <w:rsid w:val="003226F8"/>
    <w:pPr>
      <w:keepNext/>
      <w:keepLines/>
      <w:pBdr>
        <w:top w:color="11B4E1" w:space="1" w:sz="24" w:val="thinThickMediumGap"/>
        <w:bottom w:color="11B4E1" w:space="1" w:sz="24" w:val="thinThickMediumGap"/>
      </w:pBdr>
      <w:spacing w:after="360" w:before="720"/>
      <w:outlineLvl w:val="0"/>
    </w:pPr>
    <w:rPr>
      <w:rFonts w:cstheme="majorBidi" w:eastAsiaTheme="majorEastAsia"/>
      <w:b/>
      <w:bCs/>
      <w:color w:val="0E95BA"/>
      <w:sz w:val="36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3226F8"/>
    <w:pPr>
      <w:keepNext/>
      <w:keepLines/>
      <w:spacing w:after="240" w:before="440"/>
      <w:outlineLvl w:val="1"/>
    </w:pPr>
    <w:rPr>
      <w:rFonts w:cstheme="majorBidi" w:eastAsiaTheme="majorEastAsia"/>
      <w:b/>
      <w:bCs/>
      <w:color w:val="0F338D"/>
      <w:sz w:val="28"/>
      <w:szCs w:val="28"/>
      <w:u w:val="single"/>
    </w:rPr>
  </w:style>
  <w:style w:styleId="Titre3" w:type="paragraph">
    <w:name w:val="heading 3"/>
    <w:basedOn w:val="Normal"/>
    <w:next w:val="Corpsdetex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BE40A1"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  <w:rsid w:val="00BE40A1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3226F8"/>
    <w:pPr>
      <w:keepNext/>
      <w:keepLines/>
      <w:spacing w:after="240" w:before="480"/>
      <w:jc w:val="center"/>
    </w:pPr>
    <w:rPr>
      <w:rFonts w:cstheme="majorBidi" w:eastAsiaTheme="majorEastAsia"/>
      <w:b/>
      <w:bCs/>
      <w:color w:val="0E95BA"/>
      <w:sz w:val="48"/>
      <w:szCs w:val="36"/>
    </w:rPr>
  </w:style>
  <w:style w:styleId="Sous-titre" w:type="paragraph">
    <w:name w:val="Subtitle"/>
    <w:basedOn w:val="Titre"/>
    <w:next w:val="Corpsdetexte"/>
    <w:qFormat/>
    <w:rsid w:val="00013F06"/>
    <w:pPr>
      <w:spacing w:before="240"/>
    </w:pPr>
    <w:rPr>
      <w:i/>
      <w:sz w:val="30"/>
      <w:szCs w:val="30"/>
    </w:rPr>
  </w:style>
  <w:style w:customStyle="1" w:styleId="Author" w:type="paragraph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styleId="Date" w:type="paragraph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013F06"/>
    <w:pPr>
      <w:keepNext/>
      <w:spacing w:after="360" w:before="240"/>
    </w:pPr>
    <w:rPr>
      <w:b/>
      <w:color w:themeColor="text1" w:themeTint="A6" w:val="595959"/>
      <w:sz w:val="16"/>
    </w:rPr>
  </w:style>
  <w:style w:customStyle="1" w:styleId="ImageCaption" w:type="paragraph">
    <w:name w:val="Image Caption"/>
    <w:basedOn w:val="Lgende"/>
    <w:rsid w:val="00013F06"/>
    <w:rPr>
      <w:b/>
      <w:color w:themeColor="background1" w:themeShade="80" w:val="808080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uiPriority w:val="99"/>
    <w:rsid w:val="001D0BBE"/>
    <w:rPr>
      <w:rFonts w:ascii="Garamond" w:hAnsi="Garamond"/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3226F8"/>
    <w:pPr>
      <w:pBdr>
        <w:top w:color="auto" w:space="0" w:sz="0" w:val="none"/>
        <w:bottom w:color="0E95BA" w:space="1" w:sz="24" w:val="dashDotStroked"/>
      </w:pBdr>
      <w:spacing w:before="240" w:line="259" w:lineRule="auto"/>
      <w:jc w:val="center"/>
      <w:outlineLvl w:val="9"/>
    </w:pPr>
    <w:rPr>
      <w:bCs w:val="0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nhideWhenUsed/>
    <w:rsid w:val="0091330B"/>
    <w:pPr>
      <w:tabs>
        <w:tab w:pos="4513" w:val="center"/>
        <w:tab w:pos="9026" w:val="right"/>
      </w:tabs>
      <w:spacing w:after="0"/>
    </w:pPr>
    <w:rPr>
      <w:b/>
      <w:color w:themeColor="accent5" w:val="4BACC6"/>
      <w:sz w:val="22"/>
    </w:rPr>
  </w:style>
  <w:style w:customStyle="1" w:styleId="En-tteCar" w:type="character">
    <w:name w:val="En-tête Car"/>
    <w:basedOn w:val="Policepardfaut"/>
    <w:link w:val="En-tte"/>
    <w:rsid w:val="0091330B"/>
    <w:rPr>
      <w:rFonts w:ascii="Garamond" w:hAnsi="Garamond"/>
      <w:b/>
      <w:color w:themeColor="accent5" w:val="4BACC6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1330B"/>
    <w:pPr>
      <w:tabs>
        <w:tab w:pos="4513" w:val="center"/>
        <w:tab w:pos="9026" w:val="right"/>
      </w:tabs>
      <w:spacing w:after="0"/>
    </w:pPr>
    <w:rPr>
      <w:b/>
      <w:color w:themeColor="accent5" w:val="4BACC6"/>
      <w:sz w:val="22"/>
    </w:rPr>
  </w:style>
  <w:style w:customStyle="1" w:styleId="PieddepageCar" w:type="character">
    <w:name w:val="Pied de page Car"/>
    <w:basedOn w:val="Policepardfaut"/>
    <w:link w:val="Pieddepage"/>
    <w:uiPriority w:val="99"/>
    <w:rsid w:val="0091330B"/>
    <w:rPr>
      <w:rFonts w:ascii="Garamond" w:hAnsi="Garamond"/>
      <w:b/>
      <w:color w:themeColor="accent5" w:val="4BACC6"/>
      <w:sz w:val="22"/>
    </w:rPr>
  </w:style>
  <w:style w:styleId="TM1" w:type="paragraph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styleId="TM2" w:type="paragraph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customStyle="1" w:styleId="CorpsdetexteCar" w:type="characte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564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des cultures, intrants et rendements agricoles</dc:title>
  <dc:creator/>
  <cp:keywords/>
  <dcterms:created xsi:type="dcterms:W3CDTF">2026-04-13T12:26:13Z</dcterms:created>
  <dcterms:modified xsi:type="dcterms:W3CDTF">2026-04-13T12:26:13Z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avril 2026</vt:lpwstr>
  </property>
  <property fmtid="{D5CDD505-2E9C-101B-9397-08002B2CF9AE}" pid="3" name="header-includes">
    <vt:lpwstr/>
  </property>
  <property fmtid="{D5CDD505-2E9C-101B-9397-08002B2CF9AE}" pid="4" name="output">
    <vt:lpwstr/>
  </property>
  <property fmtid="{D5CDD505-2E9C-101B-9397-08002B2CF9AE}" pid="5" name="subtitle">
    <vt:lpwstr>Thème 5 — Projet Statistique sous R et Python | ENSAE ISE 1, 2025-2026GHS-Panel Nigeria — Vague 4 (2018/2019)</vt:lpwstr>
  </property>
</Properties>
</file>