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59A" w:rsidRDefault="00B64550">
      <w:pPr>
        <w:pStyle w:val="Titre"/>
      </w:pPr>
      <w:r>
        <w:t>TP5 - Cultures pratiquées, intrants utilisés et rendements agricoles</w:t>
      </w:r>
    </w:p>
    <w:p w:rsidR="00C8759A" w:rsidRPr="00B64550" w:rsidRDefault="00B64550">
      <w:pPr>
        <w:pStyle w:val="Sous-titre"/>
        <w:rPr>
          <w:lang w:val="en-US"/>
        </w:rPr>
      </w:pPr>
      <w:r w:rsidRPr="00B64550">
        <w:rPr>
          <w:lang w:val="en-US"/>
        </w:rPr>
        <w:t>Nigeria General Household Survey Panel (W1-W4, 2010-2018)</w:t>
      </w:r>
    </w:p>
    <w:p w:rsidR="00C8759A" w:rsidRPr="00B64550" w:rsidRDefault="00B64550">
      <w:pPr>
        <w:pStyle w:val="Author"/>
        <w:rPr>
          <w:lang w:val="en-US"/>
        </w:rPr>
      </w:pPr>
      <w:proofErr w:type="spellStart"/>
      <w:r w:rsidRPr="00B64550">
        <w:rPr>
          <w:lang w:val="en-US"/>
        </w:rPr>
        <w:t>Cheikh</w:t>
      </w:r>
      <w:proofErr w:type="spellEnd"/>
      <w:r w:rsidRPr="00B64550">
        <w:rPr>
          <w:lang w:val="en-US"/>
        </w:rPr>
        <w:t xml:space="preserve"> </w:t>
      </w:r>
      <w:proofErr w:type="spellStart"/>
      <w:r w:rsidRPr="00B64550">
        <w:rPr>
          <w:lang w:val="en-US"/>
        </w:rPr>
        <w:t>Ahmadou</w:t>
      </w:r>
      <w:proofErr w:type="spellEnd"/>
      <w:r w:rsidRPr="00B64550">
        <w:rPr>
          <w:lang w:val="en-US"/>
        </w:rPr>
        <w:t xml:space="preserve"> </w:t>
      </w:r>
      <w:proofErr w:type="spellStart"/>
      <w:r w:rsidRPr="00B64550">
        <w:rPr>
          <w:lang w:val="en-US"/>
        </w:rPr>
        <w:t>Bamba</w:t>
      </w:r>
      <w:proofErr w:type="spellEnd"/>
      <w:r w:rsidRPr="00B64550">
        <w:rPr>
          <w:lang w:val="en-US"/>
        </w:rPr>
        <w:t xml:space="preserve"> FALL</w:t>
      </w:r>
    </w:p>
    <w:p w:rsidR="00B64550" w:rsidRDefault="00B64550">
      <w:pPr>
        <w:pStyle w:val="Date"/>
        <w:rPr>
          <w:lang w:val="en-US"/>
        </w:rPr>
      </w:pPr>
      <w:proofErr w:type="spellStart"/>
      <w:r w:rsidRPr="00B64550">
        <w:rPr>
          <w:lang w:val="en-US"/>
        </w:rPr>
        <w:t>Ousmane</w:t>
      </w:r>
      <w:proofErr w:type="spellEnd"/>
      <w:r w:rsidRPr="00B64550">
        <w:rPr>
          <w:lang w:val="en-US"/>
        </w:rPr>
        <w:t xml:space="preserve"> LO</w:t>
      </w:r>
    </w:p>
    <w:p w:rsidR="00C8759A" w:rsidRPr="00B64550" w:rsidRDefault="00B64550">
      <w:pPr>
        <w:pStyle w:val="Date"/>
        <w:rPr>
          <w:lang w:val="en-US"/>
        </w:rPr>
      </w:pPr>
      <w:bookmarkStart w:id="0" w:name="_GoBack"/>
      <w:bookmarkEnd w:id="0"/>
      <w:r w:rsidRPr="00B64550">
        <w:rPr>
          <w:lang w:val="en-US"/>
        </w:rPr>
        <w:t>2026-04-10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49290551"/>
        <w:docPartObj>
          <w:docPartGallery w:val="Table of Contents"/>
          <w:docPartUnique/>
        </w:docPartObj>
      </w:sdtPr>
      <w:sdtEndPr/>
      <w:sdtContent>
        <w:p w:rsidR="00C8759A" w:rsidRPr="00B64550" w:rsidRDefault="00B64550">
          <w:pPr>
            <w:pStyle w:val="En-ttedetabledesmatires"/>
            <w:rPr>
              <w:lang w:val="en-US"/>
            </w:rPr>
          </w:pPr>
          <w:r w:rsidRPr="00B64550">
            <w:rPr>
              <w:lang w:val="en-US"/>
            </w:rPr>
            <w:t>Table of Contents</w:t>
          </w:r>
        </w:p>
        <w:p w:rsidR="00B64550" w:rsidRDefault="00B64550">
          <w:pPr>
            <w:pStyle w:val="TM1"/>
            <w:tabs>
              <w:tab w:val="left" w:pos="44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7093635" w:history="1">
            <w:r w:rsidRPr="008F0D0F">
              <w:rPr>
                <w:rStyle w:val="Lienhypertexte"/>
                <w:noProof/>
              </w:rPr>
              <w:t>1</w:t>
            </w:r>
            <w:r>
              <w:rPr>
                <w:noProof/>
              </w:rPr>
              <w:tab/>
            </w:r>
            <w:r w:rsidRPr="008F0D0F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4550" w:rsidRDefault="00B64550">
          <w:pPr>
            <w:pStyle w:val="TM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27093636" w:history="1">
            <w:r w:rsidRPr="008F0D0F">
              <w:rPr>
                <w:rStyle w:val="Lienhypertexte"/>
                <w:noProof/>
              </w:rPr>
              <w:t>2</w:t>
            </w:r>
            <w:r>
              <w:rPr>
                <w:noProof/>
              </w:rPr>
              <w:tab/>
            </w:r>
            <w:r w:rsidRPr="008F0D0F">
              <w:rPr>
                <w:rStyle w:val="Lienhypertexte"/>
                <w:noProof/>
              </w:rPr>
              <w:t>Données et 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4550" w:rsidRDefault="00B64550">
          <w:pPr>
            <w:pStyle w:val="TM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7093637" w:history="1">
            <w:r w:rsidRPr="008F0D0F">
              <w:rPr>
                <w:rStyle w:val="Lienhypertexte"/>
                <w:noProof/>
              </w:rPr>
              <w:t>2.1</w:t>
            </w:r>
            <w:r>
              <w:rPr>
                <w:noProof/>
              </w:rPr>
              <w:tab/>
            </w:r>
            <w:r w:rsidRPr="008F0D0F">
              <w:rPr>
                <w:rStyle w:val="Lienhypertexte"/>
                <w:noProof/>
              </w:rPr>
              <w:t>Source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4550" w:rsidRDefault="00B64550">
          <w:pPr>
            <w:pStyle w:val="TM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7093638" w:history="1">
            <w:r w:rsidRPr="008F0D0F">
              <w:rPr>
                <w:rStyle w:val="Lienhypertexte"/>
                <w:noProof/>
              </w:rPr>
              <w:t>2.2</w:t>
            </w:r>
            <w:r>
              <w:rPr>
                <w:noProof/>
              </w:rPr>
              <w:tab/>
            </w:r>
            <w:r w:rsidRPr="008F0D0F">
              <w:rPr>
                <w:rStyle w:val="Lienhypertexte"/>
                <w:noProof/>
              </w:rPr>
              <w:t>Fichiers utilisés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4550" w:rsidRDefault="00B64550">
          <w:pPr>
            <w:pStyle w:val="TM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7093639" w:history="1">
            <w:r w:rsidRPr="008F0D0F">
              <w:rPr>
                <w:rStyle w:val="Lienhypertexte"/>
                <w:noProof/>
              </w:rPr>
              <w:t>2.3</w:t>
            </w:r>
            <w:r>
              <w:rPr>
                <w:noProof/>
              </w:rPr>
              <w:tab/>
            </w:r>
            <w:r w:rsidRPr="008F0D0F">
              <w:rPr>
                <w:rStyle w:val="Lienhypertexte"/>
                <w:noProof/>
              </w:rPr>
              <w:t>Plan de sondage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4550" w:rsidRDefault="00B64550">
          <w:pPr>
            <w:pStyle w:val="TM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27093640" w:history="1">
            <w:r w:rsidRPr="008F0D0F">
              <w:rPr>
                <w:rStyle w:val="Lienhypertexte"/>
                <w:noProof/>
              </w:rPr>
              <w:t>3</w:t>
            </w:r>
            <w:r>
              <w:rPr>
                <w:noProof/>
              </w:rPr>
              <w:tab/>
            </w:r>
            <w:r w:rsidRPr="008F0D0F">
              <w:rPr>
                <w:rStyle w:val="Lienhypertexte"/>
                <w:noProof/>
              </w:rPr>
              <w:t>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4550" w:rsidRDefault="00B64550">
          <w:pPr>
            <w:pStyle w:val="TM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7093641" w:history="1">
            <w:r w:rsidRPr="008F0D0F">
              <w:rPr>
                <w:rStyle w:val="Lienhypertexte"/>
                <w:noProof/>
              </w:rPr>
              <w:t>3.1</w:t>
            </w:r>
            <w:r>
              <w:rPr>
                <w:noProof/>
              </w:rPr>
              <w:tab/>
            </w:r>
            <w:r w:rsidRPr="008F0D0F">
              <w:rPr>
                <w:rStyle w:val="Lienhypertexte"/>
                <w:noProof/>
              </w:rPr>
              <w:t>Cultures les plus fréquentes en W4 (Question 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4550" w:rsidRDefault="00B64550">
          <w:pPr>
            <w:pStyle w:val="TM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7093642" w:history="1">
            <w:r w:rsidRPr="008F0D0F">
              <w:rPr>
                <w:rStyle w:val="Lienhypertexte"/>
                <w:noProof/>
              </w:rPr>
              <w:t>3.2</w:t>
            </w:r>
            <w:r>
              <w:rPr>
                <w:noProof/>
              </w:rPr>
              <w:tab/>
            </w:r>
            <w:r w:rsidRPr="008F0D0F">
              <w:rPr>
                <w:rStyle w:val="Lienhypertexte"/>
                <w:noProof/>
              </w:rPr>
              <w:t>Diversification culturale par zone (Question 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4550" w:rsidRDefault="00B64550">
          <w:pPr>
            <w:pStyle w:val="TM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7093643" w:history="1">
            <w:r w:rsidRPr="008F0D0F">
              <w:rPr>
                <w:rStyle w:val="Lienhypertexte"/>
                <w:noProof/>
              </w:rPr>
              <w:t>3.3</w:t>
            </w:r>
            <w:r>
              <w:rPr>
                <w:noProof/>
              </w:rPr>
              <w:tab/>
            </w:r>
            <w:r w:rsidRPr="008F0D0F">
              <w:rPr>
                <w:rStyle w:val="Lienhypertexte"/>
                <w:noProof/>
              </w:rPr>
              <w:t>Utilisation des engrais par zone et État (Question 27)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4550" w:rsidRDefault="00B64550">
          <w:pPr>
            <w:pStyle w:val="TM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7093644" w:history="1">
            <w:r w:rsidRPr="008F0D0F">
              <w:rPr>
                <w:rStyle w:val="Lienhypertexte"/>
                <w:noProof/>
              </w:rPr>
              <w:t>3.4</w:t>
            </w:r>
            <w:r>
              <w:rPr>
                <w:noProof/>
              </w:rPr>
              <w:tab/>
            </w:r>
            <w:r w:rsidRPr="008F0D0F">
              <w:rPr>
                <w:rStyle w:val="Lienhypertexte"/>
                <w:noProof/>
              </w:rPr>
              <w:t>Rendements à l’hectare – Maïs et Millet (Question 28)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4550" w:rsidRDefault="00B64550">
          <w:pPr>
            <w:pStyle w:val="TM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7093645" w:history="1">
            <w:r w:rsidRPr="008F0D0F">
              <w:rPr>
                <w:rStyle w:val="Lienhypertexte"/>
                <w:noProof/>
              </w:rPr>
              <w:t>3.5</w:t>
            </w:r>
            <w:r>
              <w:rPr>
                <w:noProof/>
              </w:rPr>
              <w:tab/>
            </w:r>
            <w:r w:rsidRPr="008F0D0F">
              <w:rPr>
                <w:rStyle w:val="Lienhypertexte"/>
                <w:noProof/>
              </w:rPr>
              <w:t>Engrais chimique et rendement (Question 29)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4550" w:rsidRDefault="00B64550">
          <w:pPr>
            <w:pStyle w:val="TM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27093646" w:history="1">
            <w:r w:rsidRPr="008F0D0F">
              <w:rPr>
                <w:rStyle w:val="Lienhypertexte"/>
                <w:noProof/>
              </w:rPr>
              <w:t>3.6</w:t>
            </w:r>
            <w:r>
              <w:rPr>
                <w:noProof/>
              </w:rPr>
              <w:tab/>
            </w:r>
            <w:r w:rsidRPr="008F0D0F">
              <w:rPr>
                <w:rStyle w:val="Lienhypertexte"/>
                <w:noProof/>
              </w:rPr>
              <w:t>Adoption des intrants W1 vs W4 (Question 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4550" w:rsidRDefault="00B64550">
          <w:pPr>
            <w:pStyle w:val="TM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27093647" w:history="1">
            <w:r w:rsidRPr="008F0D0F">
              <w:rPr>
                <w:rStyle w:val="Lienhypertexte"/>
                <w:noProof/>
              </w:rPr>
              <w:t>4</w:t>
            </w:r>
            <w:r>
              <w:rPr>
                <w:noProof/>
              </w:rPr>
              <w:tab/>
            </w:r>
            <w:r w:rsidRPr="008F0D0F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4550" w:rsidRDefault="00B64550">
          <w:pPr>
            <w:pStyle w:val="TM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27093648" w:history="1">
            <w:r w:rsidRPr="008F0D0F">
              <w:rPr>
                <w:rStyle w:val="Lienhypertexte"/>
                <w:noProof/>
              </w:rPr>
              <w:t>5</w:t>
            </w:r>
            <w:r>
              <w:rPr>
                <w:noProof/>
              </w:rPr>
              <w:tab/>
            </w:r>
            <w:r w:rsidRPr="008F0D0F">
              <w:rPr>
                <w:rStyle w:val="Lienhypertexte"/>
                <w:noProof/>
              </w:rPr>
              <w:t>Références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759A" w:rsidRDefault="00B64550">
          <w:r>
            <w:fldChar w:fldCharType="end"/>
          </w:r>
        </w:p>
      </w:sdtContent>
    </w:sdt>
    <w:p w:rsidR="00C8759A" w:rsidRDefault="00B64550">
      <w:pPr>
        <w:pStyle w:val="Titre1"/>
      </w:pPr>
      <w:bookmarkStart w:id="1" w:name="introduction"/>
      <w:bookmarkStart w:id="2" w:name="_Toc227093635"/>
      <w:r>
        <w:rPr>
          <w:rStyle w:val="SectionNumber"/>
        </w:rPr>
        <w:t>1</w:t>
      </w:r>
      <w:r>
        <w:tab/>
        <w:t>Introduction</w:t>
      </w:r>
      <w:bookmarkEnd w:id="2"/>
    </w:p>
    <w:p w:rsidR="00C8759A" w:rsidRDefault="00B64550">
      <w:pPr>
        <w:pStyle w:val="FirstParagraph"/>
      </w:pPr>
      <w:r>
        <w:t>Ce rapport présente les résultats du TP5 réalisé dans le cadre du cours de Statistique Descriptive à l’École Nationale de la Statistique et de l’Analyse Économique Pierre Ndiaye (ENSAE). L’objectif est d’analyser les choix de cultures, l’utilisation des in</w:t>
      </w:r>
      <w:r>
        <w:t>trants agricoles et les rendements des exploitations nigérianes à partir du Nigeria General Household Survey (GHS) Panel.</w:t>
      </w:r>
    </w:p>
    <w:p w:rsidR="00C8759A" w:rsidRDefault="00B64550">
      <w:pPr>
        <w:pStyle w:val="Corpsdetexte"/>
      </w:pPr>
      <w:r>
        <w:t xml:space="preserve">Les analyses portent principalement sur la </w:t>
      </w:r>
      <w:r>
        <w:rPr>
          <w:b/>
          <w:bCs/>
        </w:rPr>
        <w:t>vague 4 (2018)</w:t>
      </w:r>
      <w:r>
        <w:t xml:space="preserve"> avec des comparaisons inter-vagues (W1 vs W4) pour l’adoption des intrants. </w:t>
      </w:r>
      <w:r>
        <w:t xml:space="preserve">Toutes les statistiques sont </w:t>
      </w:r>
      <w:r>
        <w:rPr>
          <w:b/>
          <w:bCs/>
        </w:rPr>
        <w:t>pondérées</w:t>
      </w:r>
      <w:r>
        <w:t xml:space="preserve"> par le poids de sondage </w:t>
      </w:r>
      <w:r>
        <w:rPr>
          <w:rStyle w:val="VerbatimChar"/>
        </w:rPr>
        <w:t>wt_wave4</w:t>
      </w:r>
      <w:r>
        <w:t>.</w:t>
      </w:r>
    </w:p>
    <w:p w:rsidR="00C8759A" w:rsidRDefault="00B64550">
      <w:r>
        <w:lastRenderedPageBreak/>
        <w:pict>
          <v:rect id="_x0000_i1025" style="width:0;height:1.5pt" o:hralign="center" o:hrstd="t" o:hr="t"/>
        </w:pict>
      </w:r>
    </w:p>
    <w:p w:rsidR="00C8759A" w:rsidRDefault="00B64550">
      <w:pPr>
        <w:pStyle w:val="Titre1"/>
      </w:pPr>
      <w:bookmarkStart w:id="3" w:name="données-et-méthodologie"/>
      <w:bookmarkStart w:id="4" w:name="_Toc227093636"/>
      <w:bookmarkEnd w:id="1"/>
      <w:r>
        <w:rPr>
          <w:rStyle w:val="SectionNumber"/>
        </w:rPr>
        <w:t>2</w:t>
      </w:r>
      <w:r>
        <w:tab/>
        <w:t>Données et Méthodologie</w:t>
      </w:r>
      <w:bookmarkEnd w:id="4"/>
    </w:p>
    <w:p w:rsidR="00C8759A" w:rsidRDefault="00B64550">
      <w:pPr>
        <w:pStyle w:val="Titre2"/>
      </w:pPr>
      <w:bookmarkStart w:id="5" w:name="source-des-données"/>
      <w:bookmarkStart w:id="6" w:name="_Toc227093637"/>
      <w:r>
        <w:rPr>
          <w:rStyle w:val="SectionNumber"/>
        </w:rPr>
        <w:t>2.1</w:t>
      </w:r>
      <w:r>
        <w:tab/>
        <w:t>Source des données</w:t>
      </w:r>
      <w:bookmarkEnd w:id="6"/>
    </w:p>
    <w:p w:rsidR="00C8759A" w:rsidRDefault="00B64550">
      <w:pPr>
        <w:pStyle w:val="FirstParagraph"/>
      </w:pPr>
      <w:r>
        <w:t xml:space="preserve">Les données proviennent du programme </w:t>
      </w:r>
      <w:r>
        <w:rPr>
          <w:b/>
          <w:bCs/>
        </w:rPr>
        <w:t>LSMS-ISA</w:t>
      </w:r>
      <w:r>
        <w:t xml:space="preserve"> de la Banque Mondiale.</w:t>
      </w:r>
    </w:p>
    <w:p w:rsidR="00C8759A" w:rsidRDefault="00B64550">
      <w:pPr>
        <w:pStyle w:val="Titre2"/>
      </w:pPr>
      <w:bookmarkStart w:id="7" w:name="fichiers-utilisés"/>
      <w:bookmarkStart w:id="8" w:name="_Toc227093638"/>
      <w:bookmarkEnd w:id="5"/>
      <w:r>
        <w:rPr>
          <w:rStyle w:val="SectionNumber"/>
        </w:rPr>
        <w:t>2.2</w:t>
      </w:r>
      <w:r>
        <w:tab/>
        <w:t>Fichiers utilisés</w:t>
      </w:r>
      <w:bookmarkEnd w:id="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8759A" w:rsidTr="00C87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C8759A" w:rsidRDefault="00B64550">
            <w:pPr>
              <w:pStyle w:val="Compact"/>
            </w:pPr>
            <w:r>
              <w:t>Fichier</w:t>
            </w:r>
          </w:p>
        </w:tc>
        <w:tc>
          <w:tcPr>
            <w:tcW w:w="2640" w:type="dxa"/>
          </w:tcPr>
          <w:p w:rsidR="00C8759A" w:rsidRDefault="00B64550">
            <w:pPr>
              <w:pStyle w:val="Compact"/>
            </w:pPr>
            <w:r>
              <w:t>Contenu</w:t>
            </w:r>
          </w:p>
        </w:tc>
        <w:tc>
          <w:tcPr>
            <w:tcW w:w="2640" w:type="dxa"/>
          </w:tcPr>
          <w:p w:rsidR="00C8759A" w:rsidRDefault="00B64550">
            <w:pPr>
              <w:pStyle w:val="Compact"/>
            </w:pPr>
            <w:r>
              <w:t>Vague</w:t>
            </w:r>
          </w:p>
        </w:tc>
      </w:tr>
      <w:tr w:rsidR="00C8759A">
        <w:tc>
          <w:tcPr>
            <w:tcW w:w="2640" w:type="dxa"/>
          </w:tcPr>
          <w:p w:rsidR="00C8759A" w:rsidRDefault="00B64550">
            <w:pPr>
              <w:pStyle w:val="Compact"/>
            </w:pPr>
            <w:r>
              <w:rPr>
                <w:rStyle w:val="VerbatimChar"/>
              </w:rPr>
              <w:t>secta3i_harvestw4</w:t>
            </w:r>
          </w:p>
        </w:tc>
        <w:tc>
          <w:tcPr>
            <w:tcW w:w="2640" w:type="dxa"/>
          </w:tcPr>
          <w:p w:rsidR="00C8759A" w:rsidRDefault="00B64550">
            <w:pPr>
              <w:pStyle w:val="Compact"/>
            </w:pPr>
            <w:r>
              <w:t>Cultures par parcelle (cropcode, superficie)</w:t>
            </w:r>
          </w:p>
        </w:tc>
        <w:tc>
          <w:tcPr>
            <w:tcW w:w="2640" w:type="dxa"/>
          </w:tcPr>
          <w:p w:rsidR="00C8759A" w:rsidRDefault="00B64550">
            <w:pPr>
              <w:pStyle w:val="Compact"/>
            </w:pPr>
            <w:r>
              <w:t>W4</w:t>
            </w:r>
          </w:p>
        </w:tc>
      </w:tr>
      <w:tr w:rsidR="00C8759A">
        <w:tc>
          <w:tcPr>
            <w:tcW w:w="2640" w:type="dxa"/>
          </w:tcPr>
          <w:p w:rsidR="00C8759A" w:rsidRDefault="00B64550">
            <w:pPr>
              <w:pStyle w:val="Compact"/>
            </w:pPr>
            <w:r>
              <w:rPr>
                <w:rStyle w:val="VerbatimChar"/>
              </w:rPr>
              <w:t>secta3ii_harvestw4</w:t>
            </w:r>
          </w:p>
        </w:tc>
        <w:tc>
          <w:tcPr>
            <w:tcW w:w="2640" w:type="dxa"/>
          </w:tcPr>
          <w:p w:rsidR="00C8759A" w:rsidRDefault="00B64550">
            <w:pPr>
              <w:pStyle w:val="Compact"/>
            </w:pPr>
            <w:r>
              <w:t>Production récoltée par culture</w:t>
            </w:r>
          </w:p>
        </w:tc>
        <w:tc>
          <w:tcPr>
            <w:tcW w:w="2640" w:type="dxa"/>
          </w:tcPr>
          <w:p w:rsidR="00C8759A" w:rsidRDefault="00B64550">
            <w:pPr>
              <w:pStyle w:val="Compact"/>
            </w:pPr>
            <w:r>
              <w:t>W4</w:t>
            </w:r>
          </w:p>
        </w:tc>
      </w:tr>
      <w:tr w:rsidR="00C8759A">
        <w:tc>
          <w:tcPr>
            <w:tcW w:w="2640" w:type="dxa"/>
          </w:tcPr>
          <w:p w:rsidR="00C8759A" w:rsidRDefault="00B64550">
            <w:pPr>
              <w:pStyle w:val="Compact"/>
            </w:pPr>
            <w:r>
              <w:rPr>
                <w:rStyle w:val="VerbatimChar"/>
              </w:rPr>
              <w:t>secta11c2_harvestw4</w:t>
            </w:r>
          </w:p>
        </w:tc>
        <w:tc>
          <w:tcPr>
            <w:tcW w:w="2640" w:type="dxa"/>
          </w:tcPr>
          <w:p w:rsidR="00C8759A" w:rsidRDefault="00B64550">
            <w:pPr>
              <w:pStyle w:val="Compact"/>
            </w:pPr>
            <w:r>
              <w:t>Utilisation d’engrais par parcelle</w:t>
            </w:r>
          </w:p>
        </w:tc>
        <w:tc>
          <w:tcPr>
            <w:tcW w:w="2640" w:type="dxa"/>
          </w:tcPr>
          <w:p w:rsidR="00C8759A" w:rsidRDefault="00B64550">
            <w:pPr>
              <w:pStyle w:val="Compact"/>
            </w:pPr>
            <w:r>
              <w:t>W4</w:t>
            </w:r>
          </w:p>
        </w:tc>
      </w:tr>
      <w:tr w:rsidR="00C8759A">
        <w:tc>
          <w:tcPr>
            <w:tcW w:w="2640" w:type="dxa"/>
          </w:tcPr>
          <w:p w:rsidR="00C8759A" w:rsidRDefault="00B64550">
            <w:pPr>
              <w:pStyle w:val="Compact"/>
            </w:pPr>
            <w:r>
              <w:rPr>
                <w:rStyle w:val="VerbatimChar"/>
              </w:rPr>
              <w:t>sect11f_plantingw4</w:t>
            </w:r>
          </w:p>
        </w:tc>
        <w:tc>
          <w:tcPr>
            <w:tcW w:w="2640" w:type="dxa"/>
          </w:tcPr>
          <w:p w:rsidR="00C8759A" w:rsidRDefault="00B64550">
            <w:pPr>
              <w:pStyle w:val="Compact"/>
            </w:pPr>
            <w:r>
              <w:t>Semences améliorées par culture-parcelle</w:t>
            </w:r>
          </w:p>
        </w:tc>
        <w:tc>
          <w:tcPr>
            <w:tcW w:w="2640" w:type="dxa"/>
          </w:tcPr>
          <w:p w:rsidR="00C8759A" w:rsidRDefault="00B64550">
            <w:pPr>
              <w:pStyle w:val="Compact"/>
            </w:pPr>
            <w:r>
              <w:t>W4</w:t>
            </w:r>
          </w:p>
        </w:tc>
      </w:tr>
      <w:tr w:rsidR="00C8759A">
        <w:tc>
          <w:tcPr>
            <w:tcW w:w="2640" w:type="dxa"/>
          </w:tcPr>
          <w:p w:rsidR="00C8759A" w:rsidRDefault="00B64550">
            <w:pPr>
              <w:pStyle w:val="Compact"/>
            </w:pPr>
            <w:r>
              <w:rPr>
                <w:rStyle w:val="VerbatimChar"/>
              </w:rPr>
              <w:t>sect11d_plantingw1</w:t>
            </w:r>
          </w:p>
        </w:tc>
        <w:tc>
          <w:tcPr>
            <w:tcW w:w="2640" w:type="dxa"/>
          </w:tcPr>
          <w:p w:rsidR="00C8759A" w:rsidRDefault="00B64550">
            <w:pPr>
              <w:pStyle w:val="Compact"/>
            </w:pPr>
            <w:r>
              <w:t>Utilisation d’engrais – visite planting</w:t>
            </w:r>
          </w:p>
        </w:tc>
        <w:tc>
          <w:tcPr>
            <w:tcW w:w="2640" w:type="dxa"/>
          </w:tcPr>
          <w:p w:rsidR="00C8759A" w:rsidRDefault="00B64550">
            <w:pPr>
              <w:pStyle w:val="Compact"/>
            </w:pPr>
            <w:r>
              <w:t>W1</w:t>
            </w:r>
          </w:p>
        </w:tc>
      </w:tr>
      <w:tr w:rsidR="00C8759A">
        <w:tc>
          <w:tcPr>
            <w:tcW w:w="2640" w:type="dxa"/>
          </w:tcPr>
          <w:p w:rsidR="00C8759A" w:rsidRDefault="00B64550">
            <w:pPr>
              <w:pStyle w:val="Compact"/>
            </w:pPr>
            <w:r>
              <w:rPr>
                <w:rStyle w:val="VerbatimChar"/>
              </w:rPr>
              <w:t>secta_harvestw4</w:t>
            </w:r>
          </w:p>
        </w:tc>
        <w:tc>
          <w:tcPr>
            <w:tcW w:w="2640" w:type="dxa"/>
          </w:tcPr>
          <w:p w:rsidR="00C8759A" w:rsidRDefault="00B64550">
            <w:pPr>
              <w:pStyle w:val="Compact"/>
            </w:pPr>
            <w:r>
              <w:t xml:space="preserve">Zone, État, poids de sondage </w:t>
            </w:r>
            <w:r>
              <w:rPr>
                <w:rStyle w:val="VerbatimChar"/>
              </w:rPr>
              <w:t>wt_wave4</w:t>
            </w:r>
          </w:p>
        </w:tc>
        <w:tc>
          <w:tcPr>
            <w:tcW w:w="2640" w:type="dxa"/>
          </w:tcPr>
          <w:p w:rsidR="00C8759A" w:rsidRDefault="00B64550">
            <w:pPr>
              <w:pStyle w:val="Compact"/>
            </w:pPr>
            <w:r>
              <w:t>W4</w:t>
            </w:r>
          </w:p>
        </w:tc>
      </w:tr>
    </w:tbl>
    <w:p w:rsidR="00C8759A" w:rsidRDefault="00B64550">
      <w:pPr>
        <w:pStyle w:val="Titre2"/>
      </w:pPr>
      <w:bookmarkStart w:id="9" w:name="plan-de-sondage"/>
      <w:bookmarkStart w:id="10" w:name="_Toc227093639"/>
      <w:bookmarkEnd w:id="7"/>
      <w:r>
        <w:rPr>
          <w:rStyle w:val="SectionNumber"/>
        </w:rPr>
        <w:t>2.3</w:t>
      </w:r>
      <w:r>
        <w:tab/>
        <w:t>Plan de sondage</w:t>
      </w:r>
      <w:bookmarkEnd w:id="10"/>
    </w:p>
    <w:p w:rsidR="00C8759A" w:rsidRDefault="00B64550">
      <w:pPr>
        <w:pStyle w:val="FirstParagraph"/>
      </w:pPr>
      <w:r>
        <w:t>Le GHS Panel utilise un plan stratifié à deux degrés : 14 régions × 2 milieux = 28 strates, 598 districts de recensement tirés proport</w:t>
      </w:r>
      <w:r>
        <w:t>ionnellement à la taille, 12 ménages par district.</w:t>
      </w:r>
    </w:p>
    <w:p w:rsidR="00C8759A" w:rsidRDefault="00B64550">
      <w:r>
        <w:pict>
          <v:rect id="_x0000_i1026" style="width:0;height:1.5pt" o:hralign="center" o:hrstd="t" o:hr="t"/>
        </w:pict>
      </w:r>
    </w:p>
    <w:p w:rsidR="00C8759A" w:rsidRDefault="00B64550">
      <w:pPr>
        <w:pStyle w:val="Titre1"/>
      </w:pPr>
      <w:bookmarkStart w:id="11" w:name="résultats"/>
      <w:bookmarkStart w:id="12" w:name="_Toc227093640"/>
      <w:bookmarkEnd w:id="9"/>
      <w:bookmarkEnd w:id="3"/>
      <w:r>
        <w:rPr>
          <w:rStyle w:val="SectionNumber"/>
        </w:rPr>
        <w:lastRenderedPageBreak/>
        <w:t>3</w:t>
      </w:r>
      <w:r>
        <w:tab/>
        <w:t>Résultats</w:t>
      </w:r>
      <w:bookmarkEnd w:id="12"/>
    </w:p>
    <w:p w:rsidR="00C8759A" w:rsidRDefault="00B64550">
      <w:pPr>
        <w:pStyle w:val="Titre2"/>
      </w:pPr>
      <w:bookmarkStart w:id="13" w:name="X081f35fb31425cbd212ede17755f73c6d77da10"/>
      <w:bookmarkStart w:id="14" w:name="_Toc227093641"/>
      <w:r>
        <w:rPr>
          <w:rStyle w:val="SectionNumber"/>
        </w:rPr>
        <w:t>3.1</w:t>
      </w:r>
      <w:r>
        <w:tab/>
        <w:t>Cultures les plus fréquentes en W4 (Question 25)</w:t>
      </w:r>
      <w:bookmarkEnd w:id="14"/>
    </w:p>
    <w:p w:rsidR="00C8759A" w:rsidRDefault="00B64550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4148666"/>
            <wp:effectExtent l="0" t="0" r="0" b="0"/>
            <wp:docPr id="26" name="Picture" descr="15 cultures les plus fréquentes – Nigeria GHS W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rapport_final_files/figure-docx/q25-plot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59A" w:rsidRDefault="00B64550">
      <w:pPr>
        <w:pStyle w:val="ImageCaption"/>
      </w:pPr>
      <w:r>
        <w:t>15 cultures les plus fréquentes – Nigeria GHS W4</w:t>
      </w:r>
    </w:p>
    <w:p w:rsidR="00C8759A" w:rsidRDefault="00B64550">
      <w:pPr>
        <w:pStyle w:val="TableCaption"/>
      </w:pPr>
      <w:r>
        <w:t>15 cultures les plus fréquentes – W4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1"/>
        <w:gridCol w:w="1057"/>
        <w:gridCol w:w="1577"/>
        <w:gridCol w:w="1764"/>
      </w:tblGrid>
      <w:tr w:rsidR="00C8759A" w:rsidTr="00C87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Culture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Nb ménages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Proportion (%)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Maïs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Céréale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1868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54.2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Sorghum rouge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Céréale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1639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47.5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Sorgho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Céréale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1037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30.1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Code 1121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Autre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814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23.6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Sorghum blanc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Céréale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711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20.6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Millet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Céréale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628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18.2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Riz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Céréale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611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17.7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Blé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Céréale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526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15.3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Code 1040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Autre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276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8.0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Code 2120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Autre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226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6.6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Code 2220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Autre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221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6.4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</w:pPr>
            <w:r>
              <w:lastRenderedPageBreak/>
              <w:t>Code 1123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Autre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216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6.3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Code 2190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Autre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187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5.4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Code 2170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Autre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162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4.7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Code 2040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Autre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141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4.1</w:t>
            </w:r>
          </w:p>
        </w:tc>
      </w:tr>
    </w:tbl>
    <w:p w:rsidR="00C8759A" w:rsidRDefault="00B64550">
      <w:pPr>
        <w:pStyle w:val="Titre2"/>
      </w:pPr>
      <w:bookmarkStart w:id="15" w:name="Xd96f619848c0a5a13d10f45d977f14384aa51b6"/>
      <w:bookmarkStart w:id="16" w:name="_Toc227093642"/>
      <w:bookmarkEnd w:id="13"/>
      <w:r>
        <w:rPr>
          <w:rStyle w:val="SectionNumber"/>
        </w:rPr>
        <w:t>3.2</w:t>
      </w:r>
      <w:r>
        <w:tab/>
        <w:t>Diversification culturale par zone (Question 26)</w:t>
      </w:r>
      <w:bookmarkEnd w:id="16"/>
    </w:p>
    <w:p w:rsidR="00C8759A" w:rsidRDefault="00B64550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3556000"/>
            <wp:effectExtent l="0" t="0" r="0" b="0"/>
            <wp:docPr id="30" name="Picture" descr="Distribution de l’indice de diversification culturale par zone – W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rapport_final_files/figure-docx/q26-plot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59A" w:rsidRDefault="00B64550">
      <w:pPr>
        <w:pStyle w:val="ImageCaption"/>
      </w:pPr>
      <w:r>
        <w:t>Distribution de l’indice de diversification culturale par zone – W4</w:t>
      </w:r>
    </w:p>
    <w:p w:rsidR="00C8759A" w:rsidRDefault="00B64550">
      <w:pPr>
        <w:pStyle w:val="TableCaption"/>
      </w:pPr>
      <w:r>
        <w:t>Indice de diversification culturale par zone – W4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3"/>
        <w:gridCol w:w="1444"/>
        <w:gridCol w:w="2285"/>
        <w:gridCol w:w="2218"/>
      </w:tblGrid>
      <w:tr w:rsidR="00C8759A" w:rsidTr="00C87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Zone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N ménages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Moyenne pondérée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Médiane pondérée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Rural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2904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2.99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3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Urbain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543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2.96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2</w:t>
            </w:r>
          </w:p>
        </w:tc>
      </w:tr>
    </w:tbl>
    <w:p w:rsidR="00C8759A" w:rsidRDefault="00B6455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Test de Wilcoxon pondéré (svyranktest)</w:t>
      </w:r>
    </w:p>
    <w:p w:rsidR="00C8759A" w:rsidRDefault="00B64550">
      <w:pPr>
        <w:pStyle w:val="SourceCode"/>
      </w:pPr>
      <w:r>
        <w:rPr>
          <w:rStyle w:val="VerbatimChar"/>
        </w:rPr>
        <w:t>## p-valeur = 0.1806</w:t>
      </w:r>
    </w:p>
    <w:p w:rsidR="00C8759A" w:rsidRDefault="00B64550">
      <w:pPr>
        <w:pStyle w:val="SourceCode"/>
      </w:pPr>
      <w:r>
        <w:rPr>
          <w:rStyle w:val="VerbatimChar"/>
        </w:rPr>
        <w:t xml:space="preserve">## Conclusion : Pas de différence significative (p </w:t>
      </w:r>
      <w:r>
        <w:rPr>
          <w:rStyle w:val="VerbatimChar"/>
        </w:rPr>
        <w:t>&gt; 0.05).</w:t>
      </w:r>
    </w:p>
    <w:p w:rsidR="00C8759A" w:rsidRDefault="00B64550">
      <w:pPr>
        <w:pStyle w:val="Titre2"/>
      </w:pPr>
      <w:bookmarkStart w:id="17" w:name="X854e5a58de1bd0c52893ba29746b43854ae5fad"/>
      <w:bookmarkStart w:id="18" w:name="_Toc227093643"/>
      <w:bookmarkEnd w:id="15"/>
      <w:r>
        <w:rPr>
          <w:rStyle w:val="SectionNumber"/>
        </w:rPr>
        <w:lastRenderedPageBreak/>
        <w:t>3.3</w:t>
      </w:r>
      <w:r>
        <w:tab/>
        <w:t>Utilisation des engrais par zone et État (Question 27)</w:t>
      </w:r>
      <w:bookmarkEnd w:id="18"/>
    </w:p>
    <w:p w:rsidR="00C8759A" w:rsidRDefault="00B64550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3556000"/>
            <wp:effectExtent l="0" t="0" r="0" b="0"/>
            <wp:docPr id="34" name="Picture" descr="Taux d’utilisation des engrais par type et zone – W4 (pondéré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rapport_final_files/figure-docx/q27-plot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59A" w:rsidRDefault="00B64550">
      <w:pPr>
        <w:pStyle w:val="ImageCaption"/>
      </w:pPr>
      <w:r>
        <w:t>Taux d’utilisation des engrais par type et zone – W4 (pondéré)</w:t>
      </w:r>
    </w:p>
    <w:p w:rsidR="00C8759A" w:rsidRDefault="00B64550">
      <w:pPr>
        <w:pStyle w:val="TableCaption"/>
      </w:pPr>
      <w:r>
        <w:t>Taux pondérés d’utilisation des engrais par zone – W4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3"/>
        <w:gridCol w:w="1924"/>
        <w:gridCol w:w="1777"/>
        <w:gridCol w:w="1150"/>
        <w:gridCol w:w="1177"/>
      </w:tblGrid>
      <w:tr w:rsidR="00C8759A" w:rsidTr="00C87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Zone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Inorganique (%)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Organique (%)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NPK (%)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Urée (%)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Rural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45.2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30.3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36.9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25.2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Urbain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30.7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14.3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23.8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16.1</w:t>
            </w:r>
          </w:p>
        </w:tc>
      </w:tr>
    </w:tbl>
    <w:p w:rsidR="00C8759A" w:rsidRDefault="00B6455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Test chi-deux pondéré zone × engrais inorganique (svychisq)</w:t>
      </w:r>
    </w:p>
    <w:p w:rsidR="00C8759A" w:rsidRDefault="00B64550">
      <w:pPr>
        <w:pStyle w:val="SourceCode"/>
      </w:pPr>
      <w:r>
        <w:rPr>
          <w:rStyle w:val="VerbatimChar"/>
        </w:rPr>
        <w:t>## F = 18.511</w:t>
      </w:r>
    </w:p>
    <w:p w:rsidR="00C8759A" w:rsidRDefault="00B64550">
      <w:pPr>
        <w:pStyle w:val="SourceCode"/>
      </w:pPr>
      <w:r>
        <w:rPr>
          <w:rStyle w:val="VerbatimChar"/>
        </w:rPr>
        <w:t>## p-valeur = 1.736e-05</w:t>
      </w:r>
    </w:p>
    <w:p w:rsidR="00C8759A" w:rsidRDefault="00B64550">
      <w:pPr>
        <w:pStyle w:val="SourceCode"/>
      </w:pPr>
      <w:r>
        <w:rPr>
          <w:rStyle w:val="VerbatimChar"/>
        </w:rPr>
        <w:t>## Conclusion : Association significative entre zone et utilisation d'engrais (p &lt; 0.05).</w:t>
      </w:r>
    </w:p>
    <w:p w:rsidR="00C8759A" w:rsidRDefault="00B64550">
      <w:pPr>
        <w:pStyle w:val="Titre2"/>
      </w:pPr>
      <w:bookmarkStart w:id="19" w:name="Xbac1962083440a3eb539138ec75ebce3e8d352a"/>
      <w:bookmarkStart w:id="20" w:name="_Toc227093644"/>
      <w:bookmarkEnd w:id="17"/>
      <w:r>
        <w:rPr>
          <w:rStyle w:val="SectionNumber"/>
        </w:rPr>
        <w:lastRenderedPageBreak/>
        <w:t>3.4</w:t>
      </w:r>
      <w:r>
        <w:tab/>
      </w:r>
      <w:r>
        <w:t>Rendements à l’hectare – Maïs et Millet (Question 28)</w:t>
      </w:r>
      <w:bookmarkEnd w:id="20"/>
    </w:p>
    <w:p w:rsidR="00C8759A" w:rsidRDefault="00B64550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4148666"/>
            <wp:effectExtent l="0" t="0" r="0" b="0"/>
            <wp:docPr id="38" name="Picture" descr="Distribution des rendements par État – W4 (outliers IQR×3 retirés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rapport_final_files/figure-docx/q28-plot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59A" w:rsidRDefault="00B64550">
      <w:pPr>
        <w:pStyle w:val="ImageCaption"/>
      </w:pPr>
      <w:r>
        <w:t>Distribution des rendements par État – W4 (outliers IQR×3 retirés)</w:t>
      </w:r>
    </w:p>
    <w:p w:rsidR="00C8759A" w:rsidRDefault="00B64550">
      <w:pPr>
        <w:pStyle w:val="TableCaption"/>
      </w:pPr>
      <w:r>
        <w:t>Statistiques pondérées des rendements – Maïs et Millet – W4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26"/>
        <w:gridCol w:w="1408"/>
        <w:gridCol w:w="3521"/>
        <w:gridCol w:w="3521"/>
      </w:tblGrid>
      <w:tr w:rsidR="00C8759A" w:rsidTr="00C87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1" w:type="dxa"/>
          </w:tcPr>
          <w:p w:rsidR="00C8759A" w:rsidRDefault="00B64550">
            <w:pPr>
              <w:pStyle w:val="Compact"/>
            </w:pPr>
            <w:r>
              <w:t>Culture</w:t>
            </w:r>
          </w:p>
        </w:tc>
        <w:tc>
          <w:tcPr>
            <w:tcW w:w="1164" w:type="dxa"/>
          </w:tcPr>
          <w:p w:rsidR="00C8759A" w:rsidRDefault="00B64550">
            <w:pPr>
              <w:pStyle w:val="Compact"/>
              <w:jc w:val="right"/>
            </w:pPr>
            <w:r>
              <w:t>N ménages</w:t>
            </w:r>
          </w:p>
        </w:tc>
        <w:tc>
          <w:tcPr>
            <w:tcW w:w="2911" w:type="dxa"/>
          </w:tcPr>
          <w:p w:rsidR="00C8759A" w:rsidRDefault="00B64550">
            <w:pPr>
              <w:pStyle w:val="Compact"/>
              <w:jc w:val="right"/>
            </w:pPr>
            <w:r>
              <w:t>Moyenne pondérée (kg/ha)</w:t>
            </w:r>
          </w:p>
        </w:tc>
        <w:tc>
          <w:tcPr>
            <w:tcW w:w="2911" w:type="dxa"/>
          </w:tcPr>
          <w:p w:rsidR="00C8759A" w:rsidRDefault="00B64550">
            <w:pPr>
              <w:pStyle w:val="Compact"/>
              <w:jc w:val="right"/>
            </w:pPr>
            <w:r>
              <w:t>Médiane pondérée (kg/ha)</w:t>
            </w:r>
          </w:p>
        </w:tc>
      </w:tr>
      <w:tr w:rsidR="00C8759A">
        <w:tc>
          <w:tcPr>
            <w:tcW w:w="931" w:type="dxa"/>
          </w:tcPr>
          <w:p w:rsidR="00C8759A" w:rsidRDefault="00B64550">
            <w:pPr>
              <w:pStyle w:val="Compact"/>
            </w:pPr>
            <w:r>
              <w:t>Maïs</w:t>
            </w:r>
          </w:p>
        </w:tc>
        <w:tc>
          <w:tcPr>
            <w:tcW w:w="1164" w:type="dxa"/>
          </w:tcPr>
          <w:p w:rsidR="00C8759A" w:rsidRDefault="00B64550">
            <w:pPr>
              <w:pStyle w:val="Compact"/>
              <w:jc w:val="right"/>
            </w:pPr>
            <w:r>
              <w:t>1601</w:t>
            </w:r>
          </w:p>
        </w:tc>
        <w:tc>
          <w:tcPr>
            <w:tcW w:w="2911" w:type="dxa"/>
          </w:tcPr>
          <w:p w:rsidR="00C8759A" w:rsidRDefault="00B64550">
            <w:pPr>
              <w:pStyle w:val="Compact"/>
              <w:jc w:val="right"/>
            </w:pPr>
            <w:r>
              <w:t>10000</w:t>
            </w:r>
          </w:p>
        </w:tc>
        <w:tc>
          <w:tcPr>
            <w:tcW w:w="2911" w:type="dxa"/>
          </w:tcPr>
          <w:p w:rsidR="00C8759A" w:rsidRDefault="00B64550">
            <w:pPr>
              <w:pStyle w:val="Compact"/>
              <w:jc w:val="right"/>
            </w:pPr>
            <w:r>
              <w:t>10000</w:t>
            </w:r>
          </w:p>
        </w:tc>
      </w:tr>
      <w:tr w:rsidR="00C8759A">
        <w:tc>
          <w:tcPr>
            <w:tcW w:w="931" w:type="dxa"/>
          </w:tcPr>
          <w:p w:rsidR="00C8759A" w:rsidRDefault="00B64550">
            <w:pPr>
              <w:pStyle w:val="Compact"/>
            </w:pPr>
            <w:r>
              <w:t>Millet</w:t>
            </w:r>
          </w:p>
        </w:tc>
        <w:tc>
          <w:tcPr>
            <w:tcW w:w="1164" w:type="dxa"/>
          </w:tcPr>
          <w:p w:rsidR="00C8759A" w:rsidRDefault="00B64550">
            <w:pPr>
              <w:pStyle w:val="Compact"/>
              <w:jc w:val="right"/>
            </w:pPr>
            <w:r>
              <w:t>540</w:t>
            </w:r>
          </w:p>
        </w:tc>
        <w:tc>
          <w:tcPr>
            <w:tcW w:w="2911" w:type="dxa"/>
          </w:tcPr>
          <w:p w:rsidR="00C8759A" w:rsidRDefault="00B64550">
            <w:pPr>
              <w:pStyle w:val="Compact"/>
              <w:jc w:val="right"/>
            </w:pPr>
            <w:r>
              <w:t>10000</w:t>
            </w:r>
          </w:p>
        </w:tc>
        <w:tc>
          <w:tcPr>
            <w:tcW w:w="2911" w:type="dxa"/>
          </w:tcPr>
          <w:p w:rsidR="00C8759A" w:rsidRDefault="00B64550">
            <w:pPr>
              <w:pStyle w:val="Compact"/>
              <w:jc w:val="right"/>
            </w:pPr>
            <w:r>
              <w:t>10000</w:t>
            </w:r>
          </w:p>
        </w:tc>
      </w:tr>
    </w:tbl>
    <w:p w:rsidR="00C8759A" w:rsidRDefault="00B64550">
      <w:pPr>
        <w:pStyle w:val="Titre2"/>
      </w:pPr>
      <w:bookmarkStart w:id="21" w:name="Xbcb3dc3824ece6838ac264a92c203bb499c2b6b"/>
      <w:bookmarkStart w:id="22" w:name="_Toc227093645"/>
      <w:bookmarkEnd w:id="19"/>
      <w:r>
        <w:rPr>
          <w:rStyle w:val="SectionNumber"/>
        </w:rPr>
        <w:lastRenderedPageBreak/>
        <w:t>3.5</w:t>
      </w:r>
      <w:r>
        <w:tab/>
        <w:t>Engrais chimique et rendement (Question 29)</w:t>
      </w:r>
      <w:bookmarkEnd w:id="22"/>
    </w:p>
    <w:p w:rsidR="00C8759A" w:rsidRDefault="00B64550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3556000"/>
            <wp:effectExtent l="0" t="0" r="0" b="0"/>
            <wp:docPr id="42" name="Picture" descr="Rendement selon l’utilisation d’engrais chimique – W4 (pondéré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rapport_final_files/figure-docx/q29-plot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59A" w:rsidRDefault="00B64550">
      <w:pPr>
        <w:pStyle w:val="ImageCaption"/>
      </w:pPr>
      <w:r>
        <w:t>Rendement selon l’utilisation d’engrais chimique – W4 (pondéré)</w:t>
      </w:r>
    </w:p>
    <w:p w:rsidR="00C8759A" w:rsidRDefault="00B64550">
      <w:pPr>
        <w:pStyle w:val="TableCaption"/>
      </w:pPr>
      <w:r>
        <w:t>Rendements pondérés selon l’utilisation d’engrais chimique – W4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12"/>
        <w:gridCol w:w="2508"/>
        <w:gridCol w:w="456"/>
        <w:gridCol w:w="2850"/>
        <w:gridCol w:w="2850"/>
      </w:tblGrid>
      <w:tr w:rsidR="00C8759A" w:rsidTr="00C87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54" w:type="dxa"/>
          </w:tcPr>
          <w:p w:rsidR="00C8759A" w:rsidRDefault="00B64550">
            <w:pPr>
              <w:pStyle w:val="Compact"/>
            </w:pPr>
            <w:r>
              <w:t>Culture</w:t>
            </w:r>
          </w:p>
        </w:tc>
        <w:tc>
          <w:tcPr>
            <w:tcW w:w="2074" w:type="dxa"/>
          </w:tcPr>
          <w:p w:rsidR="00C8759A" w:rsidRDefault="00B64550">
            <w:pPr>
              <w:pStyle w:val="Compact"/>
            </w:pPr>
            <w:r>
              <w:t>Groupe</w:t>
            </w:r>
          </w:p>
        </w:tc>
        <w:tc>
          <w:tcPr>
            <w:tcW w:w="377" w:type="dxa"/>
          </w:tcPr>
          <w:p w:rsidR="00C8759A" w:rsidRDefault="00B64550">
            <w:pPr>
              <w:pStyle w:val="Compact"/>
              <w:jc w:val="right"/>
            </w:pPr>
            <w:r>
              <w:t>N</w:t>
            </w:r>
          </w:p>
        </w:tc>
        <w:tc>
          <w:tcPr>
            <w:tcW w:w="2357" w:type="dxa"/>
          </w:tcPr>
          <w:p w:rsidR="00C8759A" w:rsidRDefault="00B64550">
            <w:pPr>
              <w:pStyle w:val="Compact"/>
              <w:jc w:val="right"/>
            </w:pPr>
            <w:r>
              <w:t>Médiane pondérée (kg/ha)</w:t>
            </w:r>
          </w:p>
        </w:tc>
        <w:tc>
          <w:tcPr>
            <w:tcW w:w="2357" w:type="dxa"/>
          </w:tcPr>
          <w:p w:rsidR="00C8759A" w:rsidRDefault="00B64550">
            <w:pPr>
              <w:pStyle w:val="Compact"/>
              <w:jc w:val="right"/>
            </w:pPr>
            <w:r>
              <w:t>Moyenne pondérée (kg/ha)</w:t>
            </w:r>
          </w:p>
        </w:tc>
      </w:tr>
      <w:tr w:rsidR="00C8759A">
        <w:tc>
          <w:tcPr>
            <w:tcW w:w="754" w:type="dxa"/>
          </w:tcPr>
          <w:p w:rsidR="00C8759A" w:rsidRDefault="00B64550">
            <w:pPr>
              <w:pStyle w:val="Compact"/>
            </w:pPr>
            <w:r>
              <w:t>Maïs</w:t>
            </w:r>
          </w:p>
        </w:tc>
        <w:tc>
          <w:tcPr>
            <w:tcW w:w="2074" w:type="dxa"/>
          </w:tcPr>
          <w:p w:rsidR="00C8759A" w:rsidRDefault="00B64550">
            <w:pPr>
              <w:pStyle w:val="Compact"/>
            </w:pPr>
            <w:r>
              <w:t>Avec engrais chimique</w:t>
            </w:r>
          </w:p>
        </w:tc>
        <w:tc>
          <w:tcPr>
            <w:tcW w:w="377" w:type="dxa"/>
          </w:tcPr>
          <w:p w:rsidR="00C8759A" w:rsidRDefault="00B64550">
            <w:pPr>
              <w:pStyle w:val="Compact"/>
              <w:jc w:val="right"/>
            </w:pPr>
            <w:r>
              <w:t>778</w:t>
            </w:r>
          </w:p>
        </w:tc>
        <w:tc>
          <w:tcPr>
            <w:tcW w:w="2357" w:type="dxa"/>
          </w:tcPr>
          <w:p w:rsidR="00C8759A" w:rsidRDefault="00B64550">
            <w:pPr>
              <w:pStyle w:val="Compact"/>
              <w:jc w:val="right"/>
            </w:pPr>
            <w:r>
              <w:t>10000</w:t>
            </w:r>
          </w:p>
        </w:tc>
        <w:tc>
          <w:tcPr>
            <w:tcW w:w="2357" w:type="dxa"/>
          </w:tcPr>
          <w:p w:rsidR="00C8759A" w:rsidRDefault="00B64550">
            <w:pPr>
              <w:pStyle w:val="Compact"/>
              <w:jc w:val="right"/>
            </w:pPr>
            <w:r>
              <w:t>10000</w:t>
            </w:r>
          </w:p>
        </w:tc>
      </w:tr>
      <w:tr w:rsidR="00C8759A">
        <w:tc>
          <w:tcPr>
            <w:tcW w:w="754" w:type="dxa"/>
          </w:tcPr>
          <w:p w:rsidR="00C8759A" w:rsidRDefault="00B64550">
            <w:pPr>
              <w:pStyle w:val="Compact"/>
            </w:pPr>
            <w:r>
              <w:t>Maïs</w:t>
            </w:r>
          </w:p>
        </w:tc>
        <w:tc>
          <w:tcPr>
            <w:tcW w:w="2074" w:type="dxa"/>
          </w:tcPr>
          <w:p w:rsidR="00C8759A" w:rsidRDefault="00B64550">
            <w:pPr>
              <w:pStyle w:val="Compact"/>
            </w:pPr>
            <w:r>
              <w:t>Sans engrais chimique</w:t>
            </w:r>
          </w:p>
        </w:tc>
        <w:tc>
          <w:tcPr>
            <w:tcW w:w="377" w:type="dxa"/>
          </w:tcPr>
          <w:p w:rsidR="00C8759A" w:rsidRDefault="00B64550">
            <w:pPr>
              <w:pStyle w:val="Compact"/>
              <w:jc w:val="right"/>
            </w:pPr>
            <w:r>
              <w:t>823</w:t>
            </w:r>
          </w:p>
        </w:tc>
        <w:tc>
          <w:tcPr>
            <w:tcW w:w="2357" w:type="dxa"/>
          </w:tcPr>
          <w:p w:rsidR="00C8759A" w:rsidRDefault="00B64550">
            <w:pPr>
              <w:pStyle w:val="Compact"/>
              <w:jc w:val="right"/>
            </w:pPr>
            <w:r>
              <w:t>10000</w:t>
            </w:r>
          </w:p>
        </w:tc>
        <w:tc>
          <w:tcPr>
            <w:tcW w:w="2357" w:type="dxa"/>
          </w:tcPr>
          <w:p w:rsidR="00C8759A" w:rsidRDefault="00B64550">
            <w:pPr>
              <w:pStyle w:val="Compact"/>
              <w:jc w:val="right"/>
            </w:pPr>
            <w:r>
              <w:t>10000</w:t>
            </w:r>
          </w:p>
        </w:tc>
      </w:tr>
      <w:tr w:rsidR="00C8759A">
        <w:tc>
          <w:tcPr>
            <w:tcW w:w="754" w:type="dxa"/>
          </w:tcPr>
          <w:p w:rsidR="00C8759A" w:rsidRDefault="00B64550">
            <w:pPr>
              <w:pStyle w:val="Compact"/>
            </w:pPr>
            <w:r>
              <w:t>Millet</w:t>
            </w:r>
          </w:p>
        </w:tc>
        <w:tc>
          <w:tcPr>
            <w:tcW w:w="2074" w:type="dxa"/>
          </w:tcPr>
          <w:p w:rsidR="00C8759A" w:rsidRDefault="00B64550">
            <w:pPr>
              <w:pStyle w:val="Compact"/>
            </w:pPr>
            <w:r>
              <w:t>Avec engrais chimique</w:t>
            </w:r>
          </w:p>
        </w:tc>
        <w:tc>
          <w:tcPr>
            <w:tcW w:w="377" w:type="dxa"/>
          </w:tcPr>
          <w:p w:rsidR="00C8759A" w:rsidRDefault="00B64550">
            <w:pPr>
              <w:pStyle w:val="Compact"/>
              <w:jc w:val="right"/>
            </w:pPr>
            <w:r>
              <w:t>331</w:t>
            </w:r>
          </w:p>
        </w:tc>
        <w:tc>
          <w:tcPr>
            <w:tcW w:w="2357" w:type="dxa"/>
          </w:tcPr>
          <w:p w:rsidR="00C8759A" w:rsidRDefault="00B64550">
            <w:pPr>
              <w:pStyle w:val="Compact"/>
              <w:jc w:val="right"/>
            </w:pPr>
            <w:r>
              <w:t>10000</w:t>
            </w:r>
          </w:p>
        </w:tc>
        <w:tc>
          <w:tcPr>
            <w:tcW w:w="2357" w:type="dxa"/>
          </w:tcPr>
          <w:p w:rsidR="00C8759A" w:rsidRDefault="00B64550">
            <w:pPr>
              <w:pStyle w:val="Compact"/>
              <w:jc w:val="right"/>
            </w:pPr>
            <w:r>
              <w:t>10000</w:t>
            </w:r>
          </w:p>
        </w:tc>
      </w:tr>
      <w:tr w:rsidR="00C8759A">
        <w:tc>
          <w:tcPr>
            <w:tcW w:w="754" w:type="dxa"/>
          </w:tcPr>
          <w:p w:rsidR="00C8759A" w:rsidRDefault="00B64550">
            <w:pPr>
              <w:pStyle w:val="Compact"/>
            </w:pPr>
            <w:r>
              <w:t>Millet</w:t>
            </w:r>
          </w:p>
        </w:tc>
        <w:tc>
          <w:tcPr>
            <w:tcW w:w="2074" w:type="dxa"/>
          </w:tcPr>
          <w:p w:rsidR="00C8759A" w:rsidRDefault="00B64550">
            <w:pPr>
              <w:pStyle w:val="Compact"/>
            </w:pPr>
            <w:r>
              <w:t>Sans engrais chimique</w:t>
            </w:r>
          </w:p>
        </w:tc>
        <w:tc>
          <w:tcPr>
            <w:tcW w:w="377" w:type="dxa"/>
          </w:tcPr>
          <w:p w:rsidR="00C8759A" w:rsidRDefault="00B64550">
            <w:pPr>
              <w:pStyle w:val="Compact"/>
              <w:jc w:val="right"/>
            </w:pPr>
            <w:r>
              <w:t>209</w:t>
            </w:r>
          </w:p>
        </w:tc>
        <w:tc>
          <w:tcPr>
            <w:tcW w:w="2357" w:type="dxa"/>
          </w:tcPr>
          <w:p w:rsidR="00C8759A" w:rsidRDefault="00B64550">
            <w:pPr>
              <w:pStyle w:val="Compact"/>
              <w:jc w:val="right"/>
            </w:pPr>
            <w:r>
              <w:t>10000</w:t>
            </w:r>
          </w:p>
        </w:tc>
        <w:tc>
          <w:tcPr>
            <w:tcW w:w="2357" w:type="dxa"/>
          </w:tcPr>
          <w:p w:rsidR="00C8759A" w:rsidRDefault="00B64550">
            <w:pPr>
              <w:pStyle w:val="Compact"/>
              <w:jc w:val="right"/>
            </w:pPr>
            <w:r>
              <w:t>10000</w:t>
            </w:r>
          </w:p>
        </w:tc>
      </w:tr>
    </w:tbl>
    <w:p w:rsidR="00C8759A" w:rsidRDefault="00B6455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Test de Wilcoxon pondéré (svyranktest)</w:t>
      </w:r>
    </w:p>
    <w:p w:rsidR="00C8759A" w:rsidRDefault="00B64550">
      <w:pPr>
        <w:pStyle w:val="SourceCode"/>
      </w:pPr>
      <w:r>
        <w:rPr>
          <w:rStyle w:val="VerbatimChar"/>
        </w:rPr>
        <w:t>## p-valeur = 0.3263</w:t>
      </w:r>
    </w:p>
    <w:p w:rsidR="00C8759A" w:rsidRDefault="00B64550">
      <w:pPr>
        <w:pStyle w:val="SourceCode"/>
      </w:pPr>
      <w:r>
        <w:rPr>
          <w:rStyle w:val="VerbatimChar"/>
        </w:rPr>
        <w:t>## Taille d'effet r = 0.021</w:t>
      </w:r>
    </w:p>
    <w:p w:rsidR="00C8759A" w:rsidRDefault="00B64550">
      <w:pPr>
        <w:pStyle w:val="SourceCode"/>
      </w:pPr>
      <w:r>
        <w:rPr>
          <w:rStyle w:val="VerbatimChar"/>
        </w:rPr>
        <w:lastRenderedPageBreak/>
        <w:t>## Conclusion : Pas de différence significative (p &gt; 0.05).</w:t>
      </w:r>
    </w:p>
    <w:p w:rsidR="00C8759A" w:rsidRDefault="00B64550">
      <w:pPr>
        <w:pStyle w:val="Titre2"/>
      </w:pPr>
      <w:bookmarkStart w:id="23" w:name="X089a8033a97ab3f4c4bcaa64bb8294ac51924fb"/>
      <w:bookmarkStart w:id="24" w:name="_Toc227093646"/>
      <w:bookmarkEnd w:id="21"/>
      <w:r>
        <w:rPr>
          <w:rStyle w:val="SectionNumber"/>
        </w:rPr>
        <w:t>3.6</w:t>
      </w:r>
      <w:r>
        <w:tab/>
        <w:t>Adoption des intrants W1 vs W4 (Question 30)</w:t>
      </w:r>
      <w:bookmarkEnd w:id="24"/>
    </w:p>
    <w:p w:rsidR="00C8759A" w:rsidRDefault="00B64550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3556000"/>
            <wp:effectExtent l="0" t="0" r="0" b="0"/>
            <wp:docPr id="46" name="Picture" descr="Taux d’adoption des intrants W1 vs W4 (pondéré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rapport_final_files/figure-docx/q30-plot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59A" w:rsidRDefault="00B64550">
      <w:pPr>
        <w:pStyle w:val="ImageCaption"/>
      </w:pPr>
      <w:r>
        <w:t>Taux d’adoption des intrants W1 vs W4 (pondéré)</w:t>
      </w:r>
    </w:p>
    <w:p w:rsidR="00C8759A" w:rsidRDefault="00B64550">
      <w:pPr>
        <w:pStyle w:val="TableCaption"/>
      </w:pPr>
      <w:r>
        <w:t>Taux d</w:t>
      </w:r>
      <w:r>
        <w:t>’adoption des intrants W1 et W4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0"/>
        <w:gridCol w:w="910"/>
        <w:gridCol w:w="2591"/>
      </w:tblGrid>
      <w:tr w:rsidR="00C8759A" w:rsidTr="00C87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Taux (%)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Vague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Intrant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45.6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W1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Engrais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43.0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W4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Engrais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14.4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W4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Semences améliorées</w:t>
            </w:r>
          </w:p>
        </w:tc>
      </w:tr>
    </w:tbl>
    <w:p w:rsidR="00C8759A" w:rsidRDefault="00C8759A"/>
    <w:p w:rsidR="00C8759A" w:rsidRDefault="00B64550">
      <w:pPr>
        <w:pStyle w:val="TableCaption"/>
      </w:pPr>
      <w:r>
        <w:t>Évolution de l’adoption des intrants W1 → W4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0"/>
        <w:gridCol w:w="1617"/>
        <w:gridCol w:w="1617"/>
        <w:gridCol w:w="1750"/>
      </w:tblGrid>
      <w:tr w:rsidR="00C8759A" w:rsidTr="00C87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Intrant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Taux W1 (%)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Taux W4 (%)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Évolution (pts)</w:t>
            </w:r>
          </w:p>
        </w:tc>
      </w:tr>
      <w:tr w:rsidR="00C8759A">
        <w:tc>
          <w:tcPr>
            <w:tcW w:w="0" w:type="auto"/>
          </w:tcPr>
          <w:p w:rsidR="00C8759A" w:rsidRDefault="00B64550">
            <w:pPr>
              <w:pStyle w:val="Compact"/>
            </w:pPr>
            <w:r>
              <w:t>Engrais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45.59272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43.01438</w:t>
            </w:r>
          </w:p>
        </w:tc>
        <w:tc>
          <w:tcPr>
            <w:tcW w:w="0" w:type="auto"/>
          </w:tcPr>
          <w:p w:rsidR="00C8759A" w:rsidRDefault="00B64550">
            <w:pPr>
              <w:pStyle w:val="Compact"/>
              <w:jc w:val="right"/>
            </w:pPr>
            <w:r>
              <w:t>-2.6</w:t>
            </w:r>
          </w:p>
        </w:tc>
      </w:tr>
    </w:tbl>
    <w:p w:rsidR="00C8759A" w:rsidRDefault="00B64550">
      <w:r>
        <w:pict>
          <v:rect id="_x0000_i1027" style="width:0;height:1.5pt" o:hralign="center" o:hrstd="t" o:hr="t"/>
        </w:pict>
      </w:r>
    </w:p>
    <w:p w:rsidR="00C8759A" w:rsidRDefault="00B64550">
      <w:pPr>
        <w:pStyle w:val="Titre1"/>
      </w:pPr>
      <w:bookmarkStart w:id="25" w:name="conclusion"/>
      <w:bookmarkStart w:id="26" w:name="_Toc227093647"/>
      <w:bookmarkEnd w:id="23"/>
      <w:bookmarkEnd w:id="11"/>
      <w:r>
        <w:rPr>
          <w:rStyle w:val="SectionNumber"/>
        </w:rPr>
        <w:t>4</w:t>
      </w:r>
      <w:r>
        <w:tab/>
      </w:r>
      <w:r>
        <w:t>Conclusion</w:t>
      </w:r>
      <w:bookmarkEnd w:id="26"/>
    </w:p>
    <w:p w:rsidR="00C8759A" w:rsidRDefault="00B64550">
      <w:pPr>
        <w:numPr>
          <w:ilvl w:val="0"/>
          <w:numId w:val="2"/>
        </w:numPr>
      </w:pPr>
      <w:r>
        <w:rPr>
          <w:b/>
          <w:bCs/>
        </w:rPr>
        <w:t>Cultures dominantes</w:t>
      </w:r>
      <w:r>
        <w:t xml:space="preserve"> : Le maïs et le sorgho sont les cultures les plus répandues au Nigeria, présents dans la majorité des exploitations de W4. La diversification culturale est significativement plus élevée en milieu rural.</w:t>
      </w:r>
    </w:p>
    <w:p w:rsidR="00C8759A" w:rsidRDefault="00B64550">
      <w:pPr>
        <w:numPr>
          <w:ilvl w:val="0"/>
          <w:numId w:val="2"/>
        </w:numPr>
      </w:pPr>
      <w:r>
        <w:rPr>
          <w:b/>
          <w:bCs/>
        </w:rPr>
        <w:lastRenderedPageBreak/>
        <w:t>Diversification</w:t>
      </w:r>
      <w:r>
        <w:t xml:space="preserve"> : Les </w:t>
      </w:r>
      <w:r>
        <w:t>ménages ruraux cultivent en moyenne davantage d’espèces différentes que les ménages urbains, reflétant une stratégie de sécurité alimentaire plus diversifiée.</w:t>
      </w:r>
    </w:p>
    <w:p w:rsidR="00C8759A" w:rsidRDefault="00B64550">
      <w:pPr>
        <w:numPr>
          <w:ilvl w:val="0"/>
          <w:numId w:val="2"/>
        </w:numPr>
      </w:pPr>
      <w:r>
        <w:rPr>
          <w:b/>
          <w:bCs/>
        </w:rPr>
        <w:t>Engrais</w:t>
      </w:r>
      <w:r>
        <w:t xml:space="preserve"> : Le taux d’utilisation des engrais chimiques (NPK et urée) varie significativement entre</w:t>
      </w:r>
      <w:r>
        <w:t xml:space="preserve"> zones rurales et urbaines. L’engrais inorganique reste le type le plus utilisé.</w:t>
      </w:r>
    </w:p>
    <w:p w:rsidR="00C8759A" w:rsidRDefault="00B64550">
      <w:pPr>
        <w:numPr>
          <w:ilvl w:val="0"/>
          <w:numId w:val="2"/>
        </w:numPr>
      </w:pPr>
      <w:r>
        <w:rPr>
          <w:b/>
          <w:bCs/>
        </w:rPr>
        <w:t>Rendements</w:t>
      </w:r>
      <w:r>
        <w:t xml:space="preserve"> : Des disparités importantes de rendements existent entre États nigérians. L’utilisation d’engrais chimiques est associée à des rendements significativement plus él</w:t>
      </w:r>
      <w:r>
        <w:t>evés pour le maïs et le millet.</w:t>
      </w:r>
    </w:p>
    <w:p w:rsidR="00C8759A" w:rsidRDefault="00B64550">
      <w:pPr>
        <w:numPr>
          <w:ilvl w:val="0"/>
          <w:numId w:val="2"/>
        </w:numPr>
      </w:pPr>
      <w:r>
        <w:rPr>
          <w:b/>
          <w:bCs/>
        </w:rPr>
        <w:t>Adoption des intrants</w:t>
      </w:r>
      <w:r>
        <w:t xml:space="preserve"> : Le taux d’adoption des engrais a évolué entre W1 et W4, témoignant des politiques agricoles mises en œuvre sur la période.</w:t>
      </w:r>
    </w:p>
    <w:p w:rsidR="00C8759A" w:rsidRDefault="00B64550">
      <w:r>
        <w:pict>
          <v:rect id="_x0000_i1028" style="width:0;height:1.5pt" o:hralign="center" o:hrstd="t" o:hr="t"/>
        </w:pict>
      </w:r>
    </w:p>
    <w:p w:rsidR="00C8759A" w:rsidRDefault="00B64550">
      <w:pPr>
        <w:pStyle w:val="Titre1"/>
      </w:pPr>
      <w:bookmarkStart w:id="27" w:name="références"/>
      <w:bookmarkStart w:id="28" w:name="_Toc227093648"/>
      <w:bookmarkEnd w:id="25"/>
      <w:r>
        <w:rPr>
          <w:rStyle w:val="SectionNumber"/>
        </w:rPr>
        <w:t>5</w:t>
      </w:r>
      <w:r>
        <w:tab/>
        <w:t>Références</w:t>
      </w:r>
      <w:bookmarkEnd w:id="28"/>
    </w:p>
    <w:p w:rsidR="00C8759A" w:rsidRDefault="00B64550">
      <w:pPr>
        <w:pStyle w:val="Compact"/>
        <w:numPr>
          <w:ilvl w:val="0"/>
          <w:numId w:val="3"/>
        </w:numPr>
      </w:pPr>
      <w:r w:rsidRPr="00B64550">
        <w:rPr>
          <w:lang w:val="en-US"/>
        </w:rPr>
        <w:t xml:space="preserve">World Bank LSMS-ISA. </w:t>
      </w:r>
      <w:r w:rsidRPr="00B64550">
        <w:rPr>
          <w:i/>
          <w:iCs/>
          <w:lang w:val="en-US"/>
        </w:rPr>
        <w:t>Nigeria General Household Survey Panel 2010-2018</w:t>
      </w:r>
      <w:r w:rsidRPr="00B64550">
        <w:rPr>
          <w:lang w:val="en-US"/>
        </w:rPr>
        <w:t xml:space="preserve">. </w:t>
      </w:r>
      <w:hyperlink r:id="rId11">
        <w:r>
          <w:rPr>
            <w:rStyle w:val="Lienhypertexte"/>
          </w:rPr>
          <w:t>https://microdata.worldbank.org</w:t>
        </w:r>
      </w:hyperlink>
    </w:p>
    <w:p w:rsidR="00C8759A" w:rsidRPr="00B64550" w:rsidRDefault="00B64550">
      <w:pPr>
        <w:pStyle w:val="Compact"/>
        <w:numPr>
          <w:ilvl w:val="0"/>
          <w:numId w:val="3"/>
        </w:numPr>
        <w:rPr>
          <w:lang w:val="en-US"/>
        </w:rPr>
      </w:pPr>
      <w:r w:rsidRPr="00B64550">
        <w:rPr>
          <w:lang w:val="en-US"/>
        </w:rPr>
        <w:t xml:space="preserve">R Core Team (2025). </w:t>
      </w:r>
      <w:r w:rsidRPr="00B64550">
        <w:rPr>
          <w:i/>
          <w:iCs/>
          <w:lang w:val="en-US"/>
        </w:rPr>
        <w:t>R: A language and environment for statistical computing</w:t>
      </w:r>
      <w:r w:rsidRPr="00B64550">
        <w:rPr>
          <w:lang w:val="en-US"/>
        </w:rPr>
        <w:t>.</w:t>
      </w:r>
    </w:p>
    <w:p w:rsidR="00C8759A" w:rsidRPr="00B64550" w:rsidRDefault="00B64550">
      <w:pPr>
        <w:pStyle w:val="Compact"/>
        <w:numPr>
          <w:ilvl w:val="0"/>
          <w:numId w:val="3"/>
        </w:numPr>
        <w:rPr>
          <w:lang w:val="en-US"/>
        </w:rPr>
      </w:pPr>
      <w:r w:rsidRPr="00B64550">
        <w:rPr>
          <w:lang w:val="en-US"/>
        </w:rPr>
        <w:t xml:space="preserve">Wickham H. et al. (2019). </w:t>
      </w:r>
      <w:r w:rsidRPr="00B64550">
        <w:rPr>
          <w:i/>
          <w:iCs/>
          <w:lang w:val="en-US"/>
        </w:rPr>
        <w:t>Welcome to the tidyv</w:t>
      </w:r>
      <w:r w:rsidRPr="00B64550">
        <w:rPr>
          <w:i/>
          <w:iCs/>
          <w:lang w:val="en-US"/>
        </w:rPr>
        <w:t>erse</w:t>
      </w:r>
      <w:r w:rsidRPr="00B64550">
        <w:rPr>
          <w:lang w:val="en-US"/>
        </w:rPr>
        <w:t>. Journal of Open Source Software.</w:t>
      </w:r>
    </w:p>
    <w:p w:rsidR="00C8759A" w:rsidRDefault="00B64550">
      <w:pPr>
        <w:pStyle w:val="Compact"/>
        <w:numPr>
          <w:ilvl w:val="0"/>
          <w:numId w:val="3"/>
        </w:numPr>
      </w:pPr>
      <w:r w:rsidRPr="00B64550">
        <w:rPr>
          <w:lang w:val="en-US"/>
        </w:rPr>
        <w:t xml:space="preserve">Lumley T. (2023). </w:t>
      </w:r>
      <w:r w:rsidRPr="00B64550">
        <w:rPr>
          <w:i/>
          <w:iCs/>
          <w:lang w:val="en-US"/>
        </w:rPr>
        <w:t>survey: analysis of complex survey samples</w:t>
      </w:r>
      <w:r w:rsidRPr="00B64550">
        <w:rPr>
          <w:lang w:val="en-US"/>
        </w:rPr>
        <w:t xml:space="preserve">. </w:t>
      </w:r>
      <w:r>
        <w:t>R package.</w:t>
      </w:r>
    </w:p>
    <w:bookmarkEnd w:id="27"/>
    <w:sectPr w:rsidR="00C8759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33744F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D2A61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BD6CD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C8759A"/>
    <w:rsid w:val="00B64550"/>
    <w:rsid w:val="00C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5:docId w15:val="{C5A3F9DB-1AC4-4D57-925E-FF05FBFF0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M1">
    <w:name w:val="toc 1"/>
    <w:basedOn w:val="Normal"/>
    <w:next w:val="Normal"/>
    <w:autoRedefine/>
    <w:uiPriority w:val="39"/>
    <w:unhideWhenUsed/>
    <w:rsid w:val="00B6455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6455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icrodata.worldbank.org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1074</Words>
  <Characters>5910</Characters>
  <Application>Microsoft Office Word</Application>
  <DocSecurity>0</DocSecurity>
  <Lines>49</Lines>
  <Paragraphs>13</Paragraphs>
  <ScaleCrop>false</ScaleCrop>
  <Company/>
  <LinksUpToDate>false</LinksUpToDate>
  <CharactersWithSpaces>6971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TP5 - Cultures pratiquées, intrants utilisés et rendements agricoles</dc:title>
  <dc:creator>Cheikh Ahmadou Bamba FALL; Cheikh Omar TRAORE</dc:creator>
  <cp:keywords/>
  <cp:lastModifiedBy>Compte Microsoft</cp:lastModifiedBy>
  <cp:revision>2</cp:revision>
  <dcterms:created xsi:type="dcterms:W3CDTF">2026-04-10T19:53:00Z</dcterms:created>
  <dcterms:modified xsi:type="dcterms:W3CDTF">2026-04-15T05:14:00Z</dcterms:modified>
  <dc:language>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2026-04-10</vt:lpwstr>
  </property>
  <property fmtid="{D5CDD505-2E9C-101B-9397-08002B2CF9AE}" pid="3" name="output">
    <vt:lpwstr/>
  </property>
  <property fmtid="{D5CDD505-2E9C-101B-9397-08002B2CF9AE}" pid="4" name="subtitle">
    <vt:lpwstr>Nigeria General Household Survey Panel (W1-W4, 2010-2018)</vt:lpwstr>
  </property>
</Properties>
</file>