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29.png" ContentType="image/png"/>
  <Override PartName="/word/media/rId36.png" ContentType="image/png"/>
  <Override PartName="/word/media/rId39.png" ContentType="image/png"/>
  <Override PartName="/word/media/rId44.png" ContentType="image/png"/>
  <Override PartName="/word/media/rId47.png" ContentType="image/png"/>
  <Override PartName="/word/media/rId52.png" ContentType="image/png"/>
  <Override PartName="/word/media/rId32.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Cultures,</w:t>
      </w:r>
      <w:r>
        <w:t xml:space="preserve"> </w:t>
      </w:r>
      <w:r>
        <w:t xml:space="preserve">Intrants</w:t>
      </w:r>
      <w:r>
        <w:t xml:space="preserve"> </w:t>
      </w:r>
      <w:r>
        <w:t xml:space="preserve">et</w:t>
      </w:r>
      <w:r>
        <w:t xml:space="preserve"> </w:t>
      </w:r>
      <w:r>
        <w:t xml:space="preserve">Rendements</w:t>
      </w:r>
      <w:r>
        <w:t xml:space="preserve"> </w:t>
      </w:r>
      <w:r>
        <w:t xml:space="preserve">Agricoles</w:t>
      </w:r>
      <w:r>
        <w:t xml:space="preserve"> </w:t>
      </w:r>
      <w:r>
        <w:t xml:space="preserve">au</w:t>
      </w:r>
      <w:r>
        <w:t xml:space="preserve"> </w:t>
      </w:r>
      <w:r>
        <w:t xml:space="preserve">Nigeria</w:t>
      </w:r>
    </w:p>
    <w:p>
      <w:pPr>
        <w:pStyle w:val="Subtitle"/>
      </w:pPr>
      <w:r>
        <w:t xml:space="preserve">GHS</w:t>
      </w:r>
      <w:r>
        <w:t xml:space="preserve"> </w:t>
      </w:r>
      <w:r>
        <w:t xml:space="preserve">Panel</w:t>
      </w:r>
      <w:r>
        <w:t xml:space="preserve"> </w:t>
      </w:r>
      <w:r>
        <w:t xml:space="preserve">Wave</w:t>
      </w:r>
      <w:r>
        <w:t xml:space="preserve"> </w:t>
      </w:r>
      <w:r>
        <w:t xml:space="preserve">4</w:t>
      </w:r>
      <w:r>
        <w:t xml:space="preserve"> </w:t>
      </w:r>
      <w:r>
        <w:t xml:space="preserve">(2018-2019)</w:t>
      </w:r>
      <w:r>
        <w:t xml:space="preserve"> </w:t>
      </w:r>
      <w:r>
        <w:t xml:space="preserve">|</w:t>
      </w:r>
      <w:r>
        <w:t xml:space="preserve"> </w:t>
      </w:r>
      <w:r>
        <w:t xml:space="preserve">ENSAE</w:t>
      </w:r>
      <w:r>
        <w:t xml:space="preserve"> </w:t>
      </w:r>
      <w:r>
        <w:t xml:space="preserve">ISE1</w:t>
      </w:r>
      <w:r>
        <w:t xml:space="preserve"> </w:t>
      </w:r>
      <w:r>
        <w:t xml:space="preserve">|</w:t>
      </w:r>
      <w:r>
        <w:t xml:space="preserve"> </w:t>
      </w:r>
      <w:r>
        <w:t xml:space="preserve">2025-2026</w:t>
      </w:r>
    </w:p>
    <w:p>
      <w:pPr>
        <w:pStyle w:val="Author"/>
      </w:pPr>
      <w:r>
        <w:t xml:space="preserve">Étudiant</w:t>
      </w:r>
      <w:r>
        <w:t xml:space="preserve"> </w:t>
      </w:r>
      <w:r>
        <w:t xml:space="preserve">ENSAE</w:t>
      </w:r>
      <w:r>
        <w:t xml:space="preserve"> </w:t>
      </w:r>
      <w:r>
        <w:t xml:space="preserve">ISE1</w:t>
      </w:r>
    </w:p>
    <w:p>
      <w:pPr>
        <w:pStyle w:val="Date"/>
      </w:pPr>
      <w:r>
        <w:t xml:space="preserve">08</w:t>
      </w:r>
      <w:r>
        <w:t xml:space="preserve"> </w:t>
      </w:r>
      <w:r>
        <w:t xml:space="preserve">April</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20" w:name="messages-clés"/>
    <w:p>
      <w:pPr>
        <w:pStyle w:val="Heading1"/>
      </w:pPr>
      <w:r>
        <w:rPr>
          <w:rStyle w:val="SectionNumber"/>
        </w:rPr>
        <w:t xml:space="preserve">1</w:t>
      </w:r>
      <w:r>
        <w:tab/>
      </w:r>
      <w:r>
        <w:t xml:space="preserve">Messages clés</w:t>
      </w:r>
    </w:p>
    <w:p>
      <w:pPr>
        <w:pStyle w:val="FirstParagraph"/>
      </w:pPr>
      <w:r>
        <w:rPr>
          <w:bCs/>
          <w:b/>
        </w:rPr>
        <w:t xml:space="preserve">Le maïs domine le paysage cultural nigérian.</w:t>
      </w:r>
      <w:r>
        <w:t xml:space="preserve"> </w:t>
      </w:r>
      <w:r>
        <w:t xml:space="preserve">Le maïs représente 24.8% des parcelles récoltées en Wave 4, confirmant son rôle central dans la sécurité alimentaire nigériane. Le sorgho (14,3%) et le mil (9,6%) complètent le trio céréalier, particulièrement importants dans les zones sahéliennes du Nord.</w:t>
      </w:r>
    </w:p>
    <w:p>
      <w:pPr>
        <w:pStyle w:val="BodyText"/>
      </w:pPr>
      <w:r>
        <w:rPr>
          <w:bCs/>
          <w:b/>
        </w:rPr>
        <w:t xml:space="preserve">Diversification culturale robuste mais contrastée.</w:t>
      </w:r>
      <w:r>
        <w:t xml:space="preserve"> </w:t>
      </w:r>
      <w:r>
        <w:t xml:space="preserve">Les ménages nigérians cultivent en moyenne 2,6 cultures distinctes par saison en milieu rural contre 2,2 en milieu urbain (Wilcoxon p&lt;0,001, r=0,131). Cette diversification est une stratégie vitale de gestion du risque climatique et nutritionnel.</w:t>
      </w:r>
    </w:p>
    <w:p>
      <w:pPr>
        <w:pStyle w:val="BodyText"/>
      </w:pPr>
      <w:r>
        <w:rPr>
          <w:bCs/>
          <w:b/>
        </w:rPr>
        <w:t xml:space="preserve">Sous-adoption chronique des intrants modernes.</w:t>
      </w:r>
      <w:r>
        <w:t xml:space="preserve"> </w:t>
      </w:r>
      <w:r>
        <w:t xml:space="preserve">Seulement 33,6% des parcelles utilisent des engrais inorganiques. Cette sous-utilisation persistante est un frein majeur à l’intensification agricole nigériane.</w:t>
      </w:r>
    </w:p>
    <w:p>
      <w:pPr>
        <w:pStyle w:val="BodyText"/>
      </w:pPr>
      <w:r>
        <w:rPr>
          <w:bCs/>
          <w:b/>
        </w:rPr>
        <w:t xml:space="preserve">Effet très significatif de la fertilisation chimique.</w:t>
      </w:r>
      <w:r>
        <w:t xml:space="preserve"> </w:t>
      </w:r>
      <w:r>
        <w:t xml:space="preserve">Les parcelles de maïs avec engrais chimique enregistrent un rendement médian de 1 852 kg/ha contre 400 kg/ha sans engrais — un gain de +363% (Wilcoxon p&lt;0,001, r=0,339).</w:t>
      </w:r>
    </w:p>
    <w:p>
      <w:r>
        <w:pict>
          <v:rect style="width:0;height:1.5pt" o:hralign="center" o:hrstd="t" o:hr="t"/>
        </w:pict>
      </w:r>
    </w:p>
    <w:bookmarkEnd w:id="20"/>
    <w:bookmarkStart w:id="21" w:name="introduction"/>
    <w:p>
      <w:pPr>
        <w:pStyle w:val="Heading1"/>
      </w:pPr>
      <w:r>
        <w:rPr>
          <w:rStyle w:val="SectionNumber"/>
        </w:rPr>
        <w:t xml:space="preserve">2</w:t>
      </w:r>
      <w:r>
        <w:tab/>
      </w:r>
      <w:r>
        <w:t xml:space="preserve">Introduction</w:t>
      </w:r>
    </w:p>
    <w:p>
      <w:pPr>
        <w:pStyle w:val="FirstParagraph"/>
      </w:pPr>
      <w:r>
        <w:t xml:space="preserve">L’agriculture nigériane souffre d’un gap de productivité persistant : les rendements céréaliers atteignent rarement 1 500 kg/ha en moyenne nationale, loin des potentiels variétaux (2 000–8 000 kg/ha). Cette analyse mobilise le module agriculture du GHS Panel Wave 4 (2018-2019) pour examiner les systèmes de culture, l’utilisation des intrants et les rendements obtenus par les exploitations nigérianes.</w:t>
      </w:r>
    </w:p>
    <w:p>
      <w:pPr>
        <w:pStyle w:val="BodyText"/>
      </w:pPr>
      <w:r>
        <w:t xml:space="preserve">Les fichiers mobilisés sont :</w:t>
      </w:r>
      <w:r>
        <w:t xml:space="preserve"> </w:t>
      </w:r>
      <w:r>
        <w:rPr>
          <w:rStyle w:val="VerbatimChar"/>
        </w:rPr>
        <w:t xml:space="preserve">secta3i_harvestw4</w:t>
      </w:r>
      <w:r>
        <w:t xml:space="preserve"> </w:t>
      </w:r>
      <w:r>
        <w:t xml:space="preserve">(cultures par parcelle, production),</w:t>
      </w:r>
      <w:r>
        <w:t xml:space="preserve"> </w:t>
      </w:r>
      <w:r>
        <w:rPr>
          <w:rStyle w:val="VerbatimChar"/>
        </w:rPr>
        <w:t xml:space="preserve">secta11c2_harvestw4</w:t>
      </w:r>
      <w:r>
        <w:t xml:space="preserve"> </w:t>
      </w:r>
      <w:r>
        <w:t xml:space="preserve">(intrants : engrais NPK/urée/organique, herbicides, pesticides),</w:t>
      </w:r>
      <w:r>
        <w:t xml:space="preserve"> </w:t>
      </w:r>
      <w:r>
        <w:rPr>
          <w:rStyle w:val="VerbatimChar"/>
        </w:rPr>
        <w:t xml:space="preserve">secta11c3_harvestw4</w:t>
      </w:r>
      <w:r>
        <w:t xml:space="preserve"> </w:t>
      </w:r>
      <w:r>
        <w:t xml:space="preserve">(achats d’intrants),</w:t>
      </w:r>
      <w:r>
        <w:t xml:space="preserve"> </w:t>
      </w:r>
      <w:r>
        <w:rPr>
          <w:rStyle w:val="VerbatimChar"/>
        </w:rPr>
        <w:t xml:space="preserve">secta_harvestw4</w:t>
      </w:r>
      <w:r>
        <w:t xml:space="preserve"> </w:t>
      </w:r>
      <w:r>
        <w:t xml:space="preserve">(poids de sondage) et</w:t>
      </w:r>
      <w:r>
        <w:t xml:space="preserve"> </w:t>
      </w:r>
      <w:r>
        <w:rPr>
          <w:rStyle w:val="VerbatimChar"/>
        </w:rPr>
        <w:t xml:space="preserve">sect11b1_plantingw4</w:t>
      </w:r>
      <w:r>
        <w:t xml:space="preserve"> </w:t>
      </w:r>
      <w:r>
        <w:t xml:space="preserve">(tenure, nombre de parcelles). L’analyse couvre les tâches 25 à 29 du syllabus.</w:t>
      </w:r>
    </w:p>
    <w:p>
      <w:r>
        <w:pict>
          <v:rect style="width:0;height:1.5pt" o:hralign="center" o:hrstd="t" o:hr="t"/>
        </w:pict>
      </w:r>
    </w:p>
    <w:bookmarkEnd w:id="21"/>
    <w:bookmarkStart w:id="25" w:name="top-15-des-cultures-pratiquées-tâche-25"/>
    <w:p>
      <w:pPr>
        <w:pStyle w:val="Heading1"/>
      </w:pPr>
      <w:r>
        <w:rPr>
          <w:rStyle w:val="SectionNumber"/>
        </w:rPr>
        <w:t xml:space="preserve">3</w:t>
      </w:r>
      <w:r>
        <w:tab/>
      </w:r>
      <w:r>
        <w:t xml:space="preserve">Top 15 des cultures pratiquées (Tâche 25)</w:t>
      </w:r>
    </w:p>
    <w:p>
      <w:pPr>
        <w:pStyle w:val="TableCaption"/>
      </w:pPr>
      <w:r>
        <w:t xml:space="preserve">Top 15 des cultures les plus fr&lt;U+00E9&gt;quentes &lt;U+2014&gt; GHS W4 Nigeria</w:t>
      </w:r>
    </w:p>
    <w:tbl>
      <w:tblPr>
        <w:tblStyle w:val="Table"/>
        <w:tblW w:type="pct" w:w="5000"/>
        <w:tblLook w:firstRow="1" w:lastRow="0" w:firstColumn="0" w:lastColumn="0" w:noHBand="0" w:noVBand="0" w:val="0020"/>
        <w:jc w:val="start"/>
        <w:tblCaption w:val="Top 15 des cultures les plus fr&lt;U+00E9&gt;quentes &lt;U+2014&gt; GHS W4 Nigeria"/>
      </w:tblPr>
      <w:tblGrid>
        <w:gridCol w:w="2329"/>
        <w:gridCol w:w="2484"/>
        <w:gridCol w:w="1863"/>
        <w:gridCol w:w="1242"/>
      </w:tblGrid>
      <w:tr>
        <w:trPr>
          <w:tblHeader w:val="true"/>
        </w:trPr>
        <w:tc>
          <w:tcPr/>
          <w:p>
            <w:pPr>
              <w:pStyle w:val="Compact"/>
              <w:jc w:val="left"/>
            </w:pPr>
            <w:r>
              <w:t xml:space="preserve">Culture</w:t>
            </w:r>
          </w:p>
        </w:tc>
        <w:tc>
          <w:tcPr/>
          <w:p>
            <w:pPr>
              <w:pStyle w:val="Compact"/>
              <w:jc w:val="left"/>
            </w:pPr>
            <w:r>
              <w:t xml:space="preserve">Type</w:t>
            </w:r>
          </w:p>
        </w:tc>
        <w:tc>
          <w:tcPr/>
          <w:p>
            <w:pPr>
              <w:pStyle w:val="Compact"/>
              <w:jc w:val="right"/>
            </w:pPr>
            <w:r>
              <w:t xml:space="preserve">N parcelles</w:t>
            </w:r>
          </w:p>
        </w:tc>
        <w:tc>
          <w:tcPr/>
          <w:p>
            <w:pPr>
              <w:pStyle w:val="Compact"/>
              <w:jc w:val="right"/>
            </w:pPr>
            <w:r>
              <w:t xml:space="preserve">% total</w:t>
            </w:r>
          </w:p>
        </w:tc>
      </w:tr>
      <w:tr>
        <w:tc>
          <w:tcPr/>
          <w:p>
            <w:pPr>
              <w:pStyle w:val="Compact"/>
              <w:jc w:val="left"/>
            </w:pPr>
            <w:r>
              <w:t xml:space="preserve">Ma</w:t>
            </w:r>
            <w:r>
              <w:t xml:space="preserve">s</w:t>
            </w:r>
          </w:p>
        </w:tc>
        <w:tc>
          <w:tcPr/>
          <w:p>
            <w:pPr>
              <w:pStyle w:val="Compact"/>
              <w:jc w:val="left"/>
            </w:pPr>
            <w:r>
              <w:t xml:space="preserve">C</w:t>
            </w:r>
            <w:r>
              <w:t xml:space="preserve">r</w:t>
            </w:r>
            <w:r>
              <w:t xml:space="preserve">ales</w:t>
            </w:r>
          </w:p>
        </w:tc>
        <w:tc>
          <w:tcPr/>
          <w:p>
            <w:pPr>
              <w:pStyle w:val="Compact"/>
              <w:jc w:val="right"/>
            </w:pPr>
            <w:r>
              <w:t xml:space="preserve">2545</w:t>
            </w:r>
          </w:p>
        </w:tc>
        <w:tc>
          <w:tcPr/>
          <w:p>
            <w:pPr>
              <w:pStyle w:val="Compact"/>
              <w:jc w:val="right"/>
            </w:pPr>
            <w:r>
              <w:t xml:space="preserve">24.8</w:t>
            </w:r>
          </w:p>
        </w:tc>
      </w:tr>
      <w:tr>
        <w:tc>
          <w:tcPr/>
          <w:p>
            <w:pPr>
              <w:pStyle w:val="Compact"/>
              <w:jc w:val="left"/>
            </w:pPr>
            <w:r>
              <w:t xml:space="preserve">Sorgho</w:t>
            </w:r>
          </w:p>
        </w:tc>
        <w:tc>
          <w:tcPr/>
          <w:p>
            <w:pPr>
              <w:pStyle w:val="Compact"/>
              <w:jc w:val="left"/>
            </w:pPr>
            <w:r>
              <w:t xml:space="preserve">C</w:t>
            </w:r>
            <w:r>
              <w:t xml:space="preserve">r</w:t>
            </w:r>
            <w:r>
              <w:t xml:space="preserve">ales</w:t>
            </w:r>
          </w:p>
        </w:tc>
        <w:tc>
          <w:tcPr/>
          <w:p>
            <w:pPr>
              <w:pStyle w:val="Compact"/>
              <w:jc w:val="right"/>
            </w:pPr>
            <w:r>
              <w:t xml:space="preserve">1466</w:t>
            </w:r>
          </w:p>
        </w:tc>
        <w:tc>
          <w:tcPr/>
          <w:p>
            <w:pPr>
              <w:pStyle w:val="Compact"/>
              <w:jc w:val="right"/>
            </w:pPr>
            <w:r>
              <w:t xml:space="preserve">14.3</w:t>
            </w:r>
          </w:p>
        </w:tc>
      </w:tr>
      <w:tr>
        <w:tc>
          <w:tcPr/>
          <w:p>
            <w:pPr>
              <w:pStyle w:val="Compact"/>
              <w:jc w:val="left"/>
            </w:pPr>
            <w:r>
              <w:t xml:space="preserve">Mil/Millet</w:t>
            </w:r>
          </w:p>
        </w:tc>
        <w:tc>
          <w:tcPr/>
          <w:p>
            <w:pPr>
              <w:pStyle w:val="Compact"/>
              <w:jc w:val="left"/>
            </w:pPr>
            <w:r>
              <w:t xml:space="preserve">C</w:t>
            </w:r>
            <w:r>
              <w:t xml:space="preserve">r</w:t>
            </w:r>
            <w:r>
              <w:t xml:space="preserve">ales</w:t>
            </w:r>
          </w:p>
        </w:tc>
        <w:tc>
          <w:tcPr/>
          <w:p>
            <w:pPr>
              <w:pStyle w:val="Compact"/>
              <w:jc w:val="right"/>
            </w:pPr>
            <w:r>
              <w:t xml:space="preserve">986</w:t>
            </w:r>
          </w:p>
        </w:tc>
        <w:tc>
          <w:tcPr/>
          <w:p>
            <w:pPr>
              <w:pStyle w:val="Compact"/>
              <w:jc w:val="right"/>
            </w:pPr>
            <w:r>
              <w:t xml:space="preserve">9.6</w:t>
            </w:r>
          </w:p>
        </w:tc>
      </w:tr>
      <w:tr>
        <w:tc>
          <w:tcPr/>
          <w:p>
            <w:pPr>
              <w:pStyle w:val="Compact"/>
              <w:jc w:val="left"/>
            </w:pPr>
            <w:r>
              <w:t xml:space="preserve">Ni</w:t>
            </w:r>
            <w:r>
              <w:t xml:space="preserve">b</w:t>
            </w:r>
            <w:r>
              <w:t xml:space="preserve">/Cowpea</w:t>
            </w:r>
          </w:p>
        </w:tc>
        <w:tc>
          <w:tcPr/>
          <w:p>
            <w:pPr>
              <w:pStyle w:val="Compact"/>
              <w:jc w:val="left"/>
            </w:pPr>
            <w:r>
              <w:t xml:space="preserve">L</w:t>
            </w:r>
            <w:r>
              <w:t xml:space="preserve">gumineuses</w:t>
            </w:r>
          </w:p>
        </w:tc>
        <w:tc>
          <w:tcPr/>
          <w:p>
            <w:pPr>
              <w:pStyle w:val="Compact"/>
              <w:jc w:val="right"/>
            </w:pPr>
            <w:r>
              <w:t xml:space="preserve">977</w:t>
            </w:r>
          </w:p>
        </w:tc>
        <w:tc>
          <w:tcPr/>
          <w:p>
            <w:pPr>
              <w:pStyle w:val="Compact"/>
              <w:jc w:val="right"/>
            </w:pPr>
            <w:r>
              <w:t xml:space="preserve">9.5</w:t>
            </w:r>
          </w:p>
        </w:tc>
      </w:tr>
      <w:tr>
        <w:tc>
          <w:tcPr/>
          <w:p>
            <w:pPr>
              <w:pStyle w:val="Compact"/>
              <w:jc w:val="left"/>
            </w:pPr>
            <w:r>
              <w:t xml:space="preserve">Manioc</w:t>
            </w:r>
          </w:p>
        </w:tc>
        <w:tc>
          <w:tcPr/>
          <w:p>
            <w:pPr>
              <w:pStyle w:val="Compact"/>
              <w:jc w:val="left"/>
            </w:pPr>
            <w:r>
              <w:t xml:space="preserve">Tubercules</w:t>
            </w:r>
          </w:p>
        </w:tc>
        <w:tc>
          <w:tcPr/>
          <w:p>
            <w:pPr>
              <w:pStyle w:val="Compact"/>
              <w:jc w:val="right"/>
            </w:pPr>
            <w:r>
              <w:t xml:space="preserve">808</w:t>
            </w:r>
          </w:p>
        </w:tc>
        <w:tc>
          <w:tcPr/>
          <w:p>
            <w:pPr>
              <w:pStyle w:val="Compact"/>
              <w:jc w:val="right"/>
            </w:pPr>
            <w:r>
              <w:t xml:space="preserve">7.9</w:t>
            </w:r>
          </w:p>
        </w:tc>
      </w:tr>
      <w:tr>
        <w:tc>
          <w:tcPr/>
          <w:p>
            <w:pPr>
              <w:pStyle w:val="Compact"/>
              <w:jc w:val="left"/>
            </w:pPr>
            <w:r>
              <w:t xml:space="preserve">Igname blanche</w:t>
            </w:r>
          </w:p>
        </w:tc>
        <w:tc>
          <w:tcPr/>
          <w:p>
            <w:pPr>
              <w:pStyle w:val="Compact"/>
              <w:jc w:val="left"/>
            </w:pPr>
            <w:r>
              <w:t xml:space="preserve">Tubercules</w:t>
            </w:r>
          </w:p>
        </w:tc>
        <w:tc>
          <w:tcPr/>
          <w:p>
            <w:pPr>
              <w:pStyle w:val="Compact"/>
              <w:jc w:val="right"/>
            </w:pPr>
            <w:r>
              <w:t xml:space="preserve">807</w:t>
            </w:r>
          </w:p>
        </w:tc>
        <w:tc>
          <w:tcPr/>
          <w:p>
            <w:pPr>
              <w:pStyle w:val="Compact"/>
              <w:jc w:val="right"/>
            </w:pPr>
            <w:r>
              <w:t xml:space="preserve">7.9</w:t>
            </w:r>
          </w:p>
        </w:tc>
      </w:tr>
      <w:tr>
        <w:tc>
          <w:tcPr/>
          <w:p>
            <w:pPr>
              <w:pStyle w:val="Compact"/>
              <w:jc w:val="left"/>
            </w:pPr>
            <w:r>
              <w:t xml:space="preserve">Arachide</w:t>
            </w:r>
          </w:p>
        </w:tc>
        <w:tc>
          <w:tcPr/>
          <w:p>
            <w:pPr>
              <w:pStyle w:val="Compact"/>
              <w:jc w:val="left"/>
            </w:pPr>
            <w:r>
              <w:t xml:space="preserve">L</w:t>
            </w:r>
            <w:r>
              <w:t xml:space="preserve">gumineuses</w:t>
            </w:r>
          </w:p>
        </w:tc>
        <w:tc>
          <w:tcPr/>
          <w:p>
            <w:pPr>
              <w:pStyle w:val="Compact"/>
              <w:jc w:val="right"/>
            </w:pPr>
            <w:r>
              <w:t xml:space="preserve">698</w:t>
            </w:r>
          </w:p>
        </w:tc>
        <w:tc>
          <w:tcPr/>
          <w:p>
            <w:pPr>
              <w:pStyle w:val="Compact"/>
              <w:jc w:val="right"/>
            </w:pPr>
            <w:r>
              <w:t xml:space="preserve">6.8</w:t>
            </w:r>
          </w:p>
        </w:tc>
      </w:tr>
      <w:tr>
        <w:tc>
          <w:tcPr/>
          <w:p>
            <w:pPr>
              <w:pStyle w:val="Compact"/>
              <w:jc w:val="left"/>
            </w:pPr>
            <w:r>
              <w:t xml:space="preserve">Riz</w:t>
            </w:r>
          </w:p>
        </w:tc>
        <w:tc>
          <w:tcPr/>
          <w:p>
            <w:pPr>
              <w:pStyle w:val="Compact"/>
              <w:jc w:val="left"/>
            </w:pPr>
            <w:r>
              <w:t xml:space="preserve">C</w:t>
            </w:r>
            <w:r>
              <w:t xml:space="preserve">r</w:t>
            </w:r>
            <w:r>
              <w:t xml:space="preserve">ales</w:t>
            </w:r>
          </w:p>
        </w:tc>
        <w:tc>
          <w:tcPr/>
          <w:p>
            <w:pPr>
              <w:pStyle w:val="Compact"/>
              <w:jc w:val="right"/>
            </w:pPr>
            <w:r>
              <w:t xml:space="preserve">584</w:t>
            </w:r>
          </w:p>
        </w:tc>
        <w:tc>
          <w:tcPr/>
          <w:p>
            <w:pPr>
              <w:pStyle w:val="Compact"/>
              <w:jc w:val="right"/>
            </w:pPr>
            <w:r>
              <w:t xml:space="preserve">5.7</w:t>
            </w:r>
          </w:p>
        </w:tc>
      </w:tr>
      <w:tr>
        <w:tc>
          <w:tcPr/>
          <w:p>
            <w:pPr>
              <w:pStyle w:val="Compact"/>
              <w:jc w:val="left"/>
            </w:pPr>
            <w:r>
              <w:t xml:space="preserve">Soja</w:t>
            </w:r>
          </w:p>
        </w:tc>
        <w:tc>
          <w:tcPr/>
          <w:p>
            <w:pPr>
              <w:pStyle w:val="Compact"/>
              <w:jc w:val="left"/>
            </w:pPr>
            <w:r>
              <w:t xml:space="preserve">L</w:t>
            </w:r>
            <w:r>
              <w:t xml:space="preserve">gumineuses</w:t>
            </w:r>
          </w:p>
        </w:tc>
        <w:tc>
          <w:tcPr/>
          <w:p>
            <w:pPr>
              <w:pStyle w:val="Compact"/>
              <w:jc w:val="right"/>
            </w:pPr>
            <w:r>
              <w:t xml:space="preserve">268</w:t>
            </w:r>
          </w:p>
        </w:tc>
        <w:tc>
          <w:tcPr/>
          <w:p>
            <w:pPr>
              <w:pStyle w:val="Compact"/>
              <w:jc w:val="right"/>
            </w:pPr>
            <w:r>
              <w:t xml:space="preserve">2.6</w:t>
            </w:r>
          </w:p>
        </w:tc>
      </w:tr>
      <w:tr>
        <w:tc>
          <w:tcPr/>
          <w:p>
            <w:pPr>
              <w:pStyle w:val="Compact"/>
              <w:jc w:val="left"/>
            </w:pPr>
            <w:r>
              <w:t xml:space="preserve">Gombo</w:t>
            </w:r>
          </w:p>
        </w:tc>
        <w:tc>
          <w:tcPr/>
          <w:p>
            <w:pPr>
              <w:pStyle w:val="Compact"/>
              <w:jc w:val="left"/>
            </w:pPr>
            <w:r>
              <w:t xml:space="preserve">L</w:t>
            </w:r>
            <w:r>
              <w:t xml:space="preserve">gumes/fruits</w:t>
            </w:r>
          </w:p>
        </w:tc>
        <w:tc>
          <w:tcPr/>
          <w:p>
            <w:pPr>
              <w:pStyle w:val="Compact"/>
              <w:jc w:val="right"/>
            </w:pPr>
            <w:r>
              <w:t xml:space="preserve">239</w:t>
            </w:r>
          </w:p>
        </w:tc>
        <w:tc>
          <w:tcPr/>
          <w:p>
            <w:pPr>
              <w:pStyle w:val="Compact"/>
              <w:jc w:val="right"/>
            </w:pPr>
            <w:r>
              <w:t xml:space="preserve">2.3</w:t>
            </w:r>
          </w:p>
        </w:tc>
      </w:tr>
      <w:tr>
        <w:tc>
          <w:tcPr/>
          <w:p>
            <w:pPr>
              <w:pStyle w:val="Compact"/>
              <w:jc w:val="left"/>
            </w:pPr>
            <w:r>
              <w:t xml:space="preserve">Cult_2190</w:t>
            </w:r>
          </w:p>
        </w:tc>
        <w:tc>
          <w:tcPr/>
          <w:p>
            <w:pPr>
              <w:pStyle w:val="Compact"/>
              <w:jc w:val="left"/>
            </w:pPr>
            <w:r>
              <w:t xml:space="preserve">L</w:t>
            </w:r>
            <w:r>
              <w:t xml:space="preserve">gumes/fruits</w:t>
            </w:r>
          </w:p>
        </w:tc>
        <w:tc>
          <w:tcPr/>
          <w:p>
            <w:pPr>
              <w:pStyle w:val="Compact"/>
              <w:jc w:val="right"/>
            </w:pPr>
            <w:r>
              <w:t xml:space="preserve">214</w:t>
            </w:r>
          </w:p>
        </w:tc>
        <w:tc>
          <w:tcPr/>
          <w:p>
            <w:pPr>
              <w:pStyle w:val="Compact"/>
              <w:jc w:val="right"/>
            </w:pPr>
            <w:r>
              <w:t xml:space="preserve">2.1</w:t>
            </w:r>
          </w:p>
        </w:tc>
      </w:tr>
      <w:tr>
        <w:tc>
          <w:tcPr/>
          <w:p>
            <w:pPr>
              <w:pStyle w:val="Compact"/>
              <w:jc w:val="left"/>
            </w:pPr>
            <w:r>
              <w:t xml:space="preserve">Cocoyam</w:t>
            </w:r>
          </w:p>
        </w:tc>
        <w:tc>
          <w:tcPr/>
          <w:p>
            <w:pPr>
              <w:pStyle w:val="Compact"/>
              <w:jc w:val="left"/>
            </w:pPr>
            <w:r>
              <w:t xml:space="preserve">Tubercules</w:t>
            </w:r>
          </w:p>
        </w:tc>
        <w:tc>
          <w:tcPr/>
          <w:p>
            <w:pPr>
              <w:pStyle w:val="Compact"/>
              <w:jc w:val="right"/>
            </w:pPr>
            <w:r>
              <w:t xml:space="preserve">202</w:t>
            </w:r>
          </w:p>
        </w:tc>
        <w:tc>
          <w:tcPr/>
          <w:p>
            <w:pPr>
              <w:pStyle w:val="Compact"/>
              <w:jc w:val="right"/>
            </w:pPr>
            <w:r>
              <w:t xml:space="preserve">2.0</w:t>
            </w:r>
          </w:p>
        </w:tc>
      </w:tr>
      <w:tr>
        <w:tc>
          <w:tcPr/>
          <w:p>
            <w:pPr>
              <w:pStyle w:val="Compact"/>
              <w:jc w:val="left"/>
            </w:pPr>
            <w:r>
              <w:t xml:space="preserve">Igname d’eau</w:t>
            </w:r>
          </w:p>
        </w:tc>
        <w:tc>
          <w:tcPr/>
          <w:p>
            <w:pPr>
              <w:pStyle w:val="Compact"/>
              <w:jc w:val="left"/>
            </w:pPr>
            <w:r>
              <w:t xml:space="preserve">Tubercules</w:t>
            </w:r>
          </w:p>
        </w:tc>
        <w:tc>
          <w:tcPr/>
          <w:p>
            <w:pPr>
              <w:pStyle w:val="Compact"/>
              <w:jc w:val="right"/>
            </w:pPr>
            <w:r>
              <w:t xml:space="preserve">178</w:t>
            </w:r>
          </w:p>
        </w:tc>
        <w:tc>
          <w:tcPr/>
          <w:p>
            <w:pPr>
              <w:pStyle w:val="Compact"/>
              <w:jc w:val="right"/>
            </w:pPr>
            <w:r>
              <w:t xml:space="preserve">1.7</w:t>
            </w:r>
          </w:p>
        </w:tc>
      </w:tr>
      <w:tr>
        <w:tc>
          <w:tcPr/>
          <w:p>
            <w:pPr>
              <w:pStyle w:val="Compact"/>
              <w:jc w:val="left"/>
            </w:pPr>
            <w:r>
              <w:t xml:space="preserve">S</w:t>
            </w:r>
            <w:r>
              <w:t xml:space="preserve">same</w:t>
            </w:r>
          </w:p>
        </w:tc>
        <w:tc>
          <w:tcPr/>
          <w:p>
            <w:pPr>
              <w:pStyle w:val="Compact"/>
              <w:jc w:val="left"/>
            </w:pPr>
            <w:r>
              <w:t xml:space="preserve">Cultures rente</w:t>
            </w:r>
          </w:p>
        </w:tc>
        <w:tc>
          <w:tcPr/>
          <w:p>
            <w:pPr>
              <w:pStyle w:val="Compact"/>
              <w:jc w:val="right"/>
            </w:pPr>
            <w:r>
              <w:t xml:space="preserve">170</w:t>
            </w:r>
          </w:p>
        </w:tc>
        <w:tc>
          <w:tcPr/>
          <w:p>
            <w:pPr>
              <w:pStyle w:val="Compact"/>
              <w:jc w:val="right"/>
            </w:pPr>
            <w:r>
              <w:t xml:space="preserve">1.7</w:t>
            </w:r>
          </w:p>
        </w:tc>
      </w:tr>
      <w:tr>
        <w:tc>
          <w:tcPr/>
          <w:p>
            <w:pPr>
              <w:pStyle w:val="Compact"/>
              <w:jc w:val="left"/>
            </w:pPr>
            <w:r>
              <w:t xml:space="preserve">Cult_2142</w:t>
            </w:r>
          </w:p>
        </w:tc>
        <w:tc>
          <w:tcPr/>
          <w:p>
            <w:pPr>
              <w:pStyle w:val="Compact"/>
              <w:jc w:val="left"/>
            </w:pPr>
            <w:r>
              <w:t xml:space="preserve">L</w:t>
            </w:r>
            <w:r>
              <w:t xml:space="preserve">gumes/fruits</w:t>
            </w:r>
          </w:p>
        </w:tc>
        <w:tc>
          <w:tcPr/>
          <w:p>
            <w:pPr>
              <w:pStyle w:val="Compact"/>
              <w:jc w:val="right"/>
            </w:pPr>
            <w:r>
              <w:t xml:space="preserve">108</w:t>
            </w:r>
          </w:p>
        </w:tc>
        <w:tc>
          <w:tcPr/>
          <w:p>
            <w:pPr>
              <w:pStyle w:val="Compact"/>
              <w:jc w:val="right"/>
            </w:pPr>
            <w:r>
              <w:t xml:space="preserve">1.1</w:t>
            </w:r>
          </w:p>
        </w:tc>
      </w:tr>
    </w:tbl>
    <w:p>
      <w:pPr>
        <w:pStyle w:val="CaptionedFigure"/>
      </w:pPr>
      <w:r>
        <w:drawing>
          <wp:inline>
            <wp:extent cx="5334000" cy="3556000"/>
            <wp:effectExtent b="0" l="0" r="0" t="0"/>
            <wp:docPr descr="Les 15 cultures les plus pratiqu&lt;U+00E9&gt;es au Nigeria &lt;U+2014&gt; GHS Panel Wave 4" title="" id="23" name="Picture"/>
            <a:graphic>
              <a:graphicData uri="http://schemas.openxmlformats.org/drawingml/2006/picture">
                <pic:pic>
                  <pic:nvPicPr>
                    <pic:cNvPr descr="../outputs/fig01_top15_cultures.png" id="24" name="Picture"/>
                    <pic:cNvPicPr>
                      <a:picLocks noChangeArrowheads="1" noChangeAspect="1"/>
                    </pic:cNvPicPr>
                  </pic:nvPicPr>
                  <pic:blipFill>
                    <a:blip r:embed="rId2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Les 15 cultures les plus pratiqu&lt;U+00E9&gt;es au Nigeria &lt;U+2014&gt; GHS Panel Wave 4</w:t>
      </w:r>
    </w:p>
    <w:p>
      <w:pPr>
        <w:pStyle w:val="BodyText"/>
      </w:pPr>
      <w:r>
        <w:t xml:space="preserve">L’</w:t>
      </w:r>
      <w:r>
        <w:rPr>
          <w:bCs/>
          <w:b/>
        </w:rPr>
        <w:t xml:space="preserve">igname blanche</w:t>
      </w:r>
      <w:r>
        <w:t xml:space="preserve"> </w:t>
      </w:r>
      <w:r>
        <w:t xml:space="preserve">(Ma</w:t>
      </w:r>
      <w:r>
        <w:t xml:space="preserve">s) et le</w:t>
      </w:r>
      <w:r>
        <w:t xml:space="preserve"> </w:t>
      </w:r>
      <w:r>
        <w:rPr>
          <w:bCs/>
          <w:b/>
        </w:rPr>
        <w:t xml:space="preserve">maïs</w:t>
      </w:r>
      <w:r>
        <w:t xml:space="preserve"> </w:t>
      </w:r>
      <w:r>
        <w:t xml:space="preserve">dominent le palmarès. Les céréales (maïs, sorgho, mil, riz) représentent collectivement plus de 50% des parcelles récoltées, suivies par les tubercules (igname, manioc) et les légumineuses (niébé, arachide). Cette structure reflète la géographie alimentaire du Nigeria : cultures vivrières de base au Nord (céréales), cultures féculentes au Sud (tubercules), avec les légumineuses jouant un rôle transversal dans la fixation de l’azote et la nutrition protéique.</w:t>
      </w:r>
    </w:p>
    <w:p>
      <w:r>
        <w:pict>
          <v:rect style="width:0;height:1.5pt" o:hralign="center" o:hrstd="t" o:hr="t"/>
        </w:pict>
      </w:r>
    </w:p>
    <w:bookmarkEnd w:id="25"/>
    <w:bookmarkStart w:id="35" w:name="diversification-culturale-tâche-26"/>
    <w:p>
      <w:pPr>
        <w:pStyle w:val="Heading1"/>
      </w:pPr>
      <w:r>
        <w:rPr>
          <w:rStyle w:val="SectionNumber"/>
        </w:rPr>
        <w:t xml:space="preserve">4</w:t>
      </w:r>
      <w:r>
        <w:tab/>
      </w:r>
      <w:r>
        <w:t xml:space="preserve">Diversification culturale (Tâche 26)</w:t>
      </w:r>
    </w:p>
    <w:p>
      <w:pPr>
        <w:pStyle w:val="TableCaption"/>
      </w:pPr>
      <w:r>
        <w:t xml:space="preserve">Diversification culturale par milieu &lt;U+2014&gt; Nombre de cultures distinctes/m&lt;U+00E9&gt;nage</w:t>
      </w:r>
    </w:p>
    <w:tbl>
      <w:tblPr>
        <w:tblStyle w:val="Table"/>
        <w:tblW w:type="pct" w:w="5000"/>
        <w:tblLook w:firstRow="1" w:lastRow="0" w:firstColumn="0" w:lastColumn="0" w:noHBand="0" w:noVBand="0" w:val="0020"/>
        <w:jc w:val="start"/>
        <w:tblCaption w:val="Diversification culturale par milieu &lt;U+2014&gt; Nombre de cultures distinctes/m&lt;U+00E9&gt;nage"/>
      </w:tblPr>
      <w:tblGrid>
        <w:gridCol w:w="770"/>
        <w:gridCol w:w="1870"/>
        <w:gridCol w:w="1650"/>
        <w:gridCol w:w="880"/>
        <w:gridCol w:w="1980"/>
        <w:gridCol w:w="770"/>
      </w:tblGrid>
      <w:tr>
        <w:trPr>
          <w:tblHeader w:val="true"/>
        </w:trPr>
        <w:tc>
          <w:tcPr/>
          <w:p>
            <w:pPr>
              <w:pStyle w:val="Compact"/>
              <w:jc w:val="left"/>
            </w:pPr>
            <w:r>
              <w:t xml:space="preserve">Milieu</w:t>
            </w:r>
          </w:p>
        </w:tc>
        <w:tc>
          <w:tcPr/>
          <w:p>
            <w:pPr>
              <w:pStyle w:val="Compact"/>
              <w:jc w:val="right"/>
            </w:pPr>
            <w:r>
              <w:t xml:space="preserve">N m&lt;U+00E9&gt;nages</w:t>
            </w:r>
          </w:p>
        </w:tc>
        <w:tc>
          <w:tcPr/>
          <w:p>
            <w:pPr>
              <w:pStyle w:val="Compact"/>
              <w:jc w:val="right"/>
            </w:pPr>
            <w:r>
              <w:t xml:space="preserve">M&lt;U+00E9&gt;diane</w:t>
            </w:r>
          </w:p>
        </w:tc>
        <w:tc>
          <w:tcPr/>
          <w:p>
            <w:pPr>
              <w:pStyle w:val="Compact"/>
              <w:jc w:val="right"/>
            </w:pPr>
            <w:r>
              <w:t xml:space="preserve">Moyenne</w:t>
            </w:r>
          </w:p>
        </w:tc>
        <w:tc>
          <w:tcPr/>
          <w:p>
            <w:pPr>
              <w:pStyle w:val="Compact"/>
              <w:jc w:val="right"/>
            </w:pPr>
            <w:r>
              <w:t xml:space="preserve">&lt;U+00C9&gt;cart-type</w:t>
            </w:r>
          </w:p>
        </w:tc>
        <w:tc>
          <w:tcPr/>
          <w:p>
            <w:pPr>
              <w:pStyle w:val="Compact"/>
              <w:jc w:val="right"/>
            </w:pPr>
            <w:r>
              <w:t xml:space="preserve">CV (%)</w:t>
            </w:r>
          </w:p>
        </w:tc>
      </w:tr>
      <w:tr>
        <w:tc>
          <w:tcPr/>
          <w:p>
            <w:pPr>
              <w:pStyle w:val="Compact"/>
              <w:jc w:val="left"/>
            </w:pPr>
            <w:r>
              <w:t xml:space="preserve">Rural</w:t>
            </w:r>
          </w:p>
        </w:tc>
        <w:tc>
          <w:tcPr/>
          <w:p>
            <w:pPr>
              <w:pStyle w:val="Compact"/>
              <w:jc w:val="right"/>
            </w:pPr>
            <w:r>
              <w:t xml:space="preserve">2706</w:t>
            </w:r>
          </w:p>
        </w:tc>
        <w:tc>
          <w:tcPr/>
          <w:p>
            <w:pPr>
              <w:pStyle w:val="Compact"/>
              <w:jc w:val="right"/>
            </w:pPr>
            <w:r>
              <w:t xml:space="preserve">2</w:t>
            </w:r>
          </w:p>
        </w:tc>
        <w:tc>
          <w:tcPr/>
          <w:p>
            <w:pPr>
              <w:pStyle w:val="Compact"/>
              <w:jc w:val="right"/>
            </w:pPr>
            <w:r>
              <w:t xml:space="preserve">2.66</w:t>
            </w:r>
          </w:p>
        </w:tc>
        <w:tc>
          <w:tcPr/>
          <w:p>
            <w:pPr>
              <w:pStyle w:val="Compact"/>
              <w:jc w:val="right"/>
            </w:pPr>
            <w:r>
              <w:t xml:space="preserve">1.35</w:t>
            </w:r>
          </w:p>
        </w:tc>
        <w:tc>
          <w:tcPr/>
          <w:p>
            <w:pPr>
              <w:pStyle w:val="Compact"/>
              <w:jc w:val="right"/>
            </w:pPr>
            <w:r>
              <w:t xml:space="preserve">50.8</w:t>
            </w:r>
          </w:p>
        </w:tc>
      </w:tr>
      <w:tr>
        <w:tc>
          <w:tcPr/>
          <w:p>
            <w:pPr>
              <w:pStyle w:val="Compact"/>
              <w:jc w:val="left"/>
            </w:pPr>
            <w:r>
              <w:t xml:space="preserve">Urbain</w:t>
            </w:r>
          </w:p>
        </w:tc>
        <w:tc>
          <w:tcPr/>
          <w:p>
            <w:pPr>
              <w:pStyle w:val="Compact"/>
              <w:jc w:val="right"/>
            </w:pPr>
            <w:r>
              <w:t xml:space="preserve">481</w:t>
            </w:r>
          </w:p>
        </w:tc>
        <w:tc>
          <w:tcPr/>
          <w:p>
            <w:pPr>
              <w:pStyle w:val="Compact"/>
              <w:jc w:val="right"/>
            </w:pPr>
            <w:r>
              <w:t xml:space="preserve">2</w:t>
            </w:r>
          </w:p>
        </w:tc>
        <w:tc>
          <w:tcPr/>
          <w:p>
            <w:pPr>
              <w:pStyle w:val="Compact"/>
              <w:jc w:val="right"/>
            </w:pPr>
            <w:r>
              <w:t xml:space="preserve">2.18</w:t>
            </w:r>
          </w:p>
        </w:tc>
        <w:tc>
          <w:tcPr/>
          <w:p>
            <w:pPr>
              <w:pStyle w:val="Compact"/>
              <w:jc w:val="right"/>
            </w:pPr>
            <w:r>
              <w:t xml:space="preserve">1.11</w:t>
            </w:r>
          </w:p>
        </w:tc>
        <w:tc>
          <w:tcPr/>
          <w:p>
            <w:pPr>
              <w:pStyle w:val="Compact"/>
              <w:jc w:val="right"/>
            </w:pPr>
            <w:r>
              <w:t xml:space="preserve">50.9</w:t>
            </w:r>
          </w:p>
        </w:tc>
      </w:tr>
      <w:tr>
        <w:tc>
          <w:tcPr/>
          <w:p>
            <w:pPr>
              <w:pStyle w:val="Compact"/>
              <w:jc w:val="left"/>
            </w:pPr>
            <w:r>
              <w:t xml:space="preserve">Total</w:t>
            </w:r>
          </w:p>
        </w:tc>
        <w:tc>
          <w:tcPr/>
          <w:p>
            <w:pPr>
              <w:pStyle w:val="Compact"/>
              <w:jc w:val="right"/>
            </w:pPr>
            <w:r>
              <w:t xml:space="preserve">3187</w:t>
            </w:r>
          </w:p>
        </w:tc>
        <w:tc>
          <w:tcPr/>
          <w:p>
            <w:pPr>
              <w:pStyle w:val="Compact"/>
              <w:jc w:val="right"/>
            </w:pPr>
            <w:r>
              <w:t xml:space="preserve">2</w:t>
            </w:r>
          </w:p>
        </w:tc>
        <w:tc>
          <w:tcPr/>
          <w:p>
            <w:pPr>
              <w:pStyle w:val="Compact"/>
              <w:jc w:val="right"/>
            </w:pPr>
            <w:r>
              <w:t xml:space="preserve">2.59</w:t>
            </w:r>
          </w:p>
        </w:tc>
        <w:tc>
          <w:tcPr/>
          <w:p>
            <w:pPr>
              <w:pStyle w:val="Compact"/>
              <w:jc w:val="right"/>
            </w:pPr>
            <w:r>
              <w:t xml:space="preserve">1.32</w:t>
            </w:r>
          </w:p>
        </w:tc>
        <w:tc>
          <w:tcPr/>
          <w:p>
            <w:pPr>
              <w:pStyle w:val="Compact"/>
              <w:jc w:val="right"/>
            </w:pPr>
            <w:r>
              <w:t xml:space="preserve">51.0</w:t>
            </w:r>
          </w:p>
        </w:tc>
      </w:tr>
    </w:tbl>
    <w:p>
      <w:pPr>
        <w:pStyle w:val="CaptionedFigure"/>
      </w:pPr>
      <w:r>
        <w:drawing>
          <wp:inline>
            <wp:extent cx="5334000" cy="3555999"/>
            <wp:effectExtent b="0" l="0" r="0" t="0"/>
            <wp:docPr descr="Diversification culturale Rural vs Urbain &lt;U+2014&gt; Test de Wilcoxon (p&lt;0,001)" title="" id="27" name="Picture"/>
            <a:graphic>
              <a:graphicData uri="http://schemas.openxmlformats.org/drawingml/2006/picture">
                <pic:pic>
                  <pic:nvPicPr>
                    <pic:cNvPr descr="../outputs/fig02_violin_diversification.png" id="28" name="Picture"/>
                    <pic:cNvPicPr>
                      <a:picLocks noChangeArrowheads="1" noChangeAspect="1"/>
                    </pic:cNvPicPr>
                  </pic:nvPicPr>
                  <pic:blipFill>
                    <a:blip r:embed="rId26"/>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Diversification culturale Rural vs Urbain &lt;U+2014&gt; Test de Wilcoxon (p&lt;0,001)</w:t>
      </w:r>
    </w:p>
    <w:p>
      <w:pPr>
        <w:pStyle w:val="CaptionedFigure"/>
      </w:pPr>
      <w:r>
        <w:drawing>
          <wp:inline>
            <wp:extent cx="5334000" cy="3200399"/>
            <wp:effectExtent b="0" l="0" r="0" t="0"/>
            <wp:docPr descr="Distribution de l’indice de diversification culturale selon le milieu" title="" id="30" name="Picture"/>
            <a:graphic>
              <a:graphicData uri="http://schemas.openxmlformats.org/drawingml/2006/picture">
                <pic:pic>
                  <pic:nvPicPr>
                    <pic:cNvPr descr="../outputs/fig03_histo_diversification.png" id="31" name="Picture"/>
                    <pic:cNvPicPr>
                      <a:picLocks noChangeArrowheads="1" noChangeAspect="1"/>
                    </pic:cNvPicPr>
                  </pic:nvPicPr>
                  <pic:blipFill>
                    <a:blip r:embed="rId29"/>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Distribution de l’indice de diversification culturale selon le milieu</w:t>
      </w:r>
    </w:p>
    <w:p>
      <w:pPr>
        <w:pStyle w:val="BodyText"/>
      </w:pPr>
      <w:r>
        <w:t xml:space="preserve">Les ménages ruraux présentent une diversification statistiquement supérieure (Wilcoxon W=784 210 ; p&lt;0,001 ; r=0,131). La taille d’effet modérée indique que si la différence est réelle, elle n’est pas massive : les ménages urbains maintiennent une diversification culturale relativement soutenue, probablement pour des raisons de subsistance et d’autoconsommation.</w:t>
      </w:r>
    </w:p>
    <w:p>
      <w:pPr>
        <w:pStyle w:val="CaptionedFigure"/>
      </w:pPr>
      <w:r>
        <w:drawing>
          <wp:inline>
            <wp:extent cx="5334000" cy="2909454"/>
            <wp:effectExtent b="0" l="0" r="0" t="0"/>
            <wp:docPr descr="Composition des syst&lt;U+00E8&gt;mes de culture par zone g&lt;U+00E9&gt;opolitique" title="" id="33" name="Picture"/>
            <a:graphic>
              <a:graphicData uri="http://schemas.openxmlformats.org/drawingml/2006/picture">
                <pic:pic>
                  <pic:nvPicPr>
                    <pic:cNvPr descr="../outputs/fig09_types_cultures_zone.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Composition des syst&lt;U+00E8&gt;mes de culture par zone g&lt;U+00E9&gt;opolitique</w:t>
      </w:r>
    </w:p>
    <w:p>
      <w:pPr>
        <w:pStyle w:val="BodyText"/>
      </w:pPr>
      <w:r>
        <w:t xml:space="preserve">La composition des systèmes de culture varie profondément selon les zones. Les céréales prédominent au Nord (sorgho, mil), les tubercules au South-East (igname, manioc), et le South-West présente le système le plus diversifié, intégrant légumes-fruits et cultures de rente liés aux marchés urbains.</w:t>
      </w:r>
    </w:p>
    <w:p>
      <w:r>
        <w:pict>
          <v:rect style="width:0;height:1.5pt" o:hralign="center" o:hrstd="t" o:hr="t"/>
        </w:pict>
      </w:r>
    </w:p>
    <w:bookmarkEnd w:id="35"/>
    <w:bookmarkStart w:id="43" w:name="X31d1f0475e58fc6b583958a048a8c0a9d2ba4ca"/>
    <w:p>
      <w:pPr>
        <w:pStyle w:val="Heading1"/>
      </w:pPr>
      <w:r>
        <w:rPr>
          <w:rStyle w:val="SectionNumber"/>
        </w:rPr>
        <w:t xml:space="preserve">5</w:t>
      </w:r>
      <w:r>
        <w:tab/>
      </w:r>
      <w:r>
        <w:t xml:space="preserve">Utilisation des intrants agricoles (Tâche 27)</w:t>
      </w:r>
    </w:p>
    <w:bookmarkStart w:id="42" w:name="taux-dadoption-par-zone-et-par-milieu"/>
    <w:p>
      <w:pPr>
        <w:pStyle w:val="Heading2"/>
      </w:pPr>
      <w:r>
        <w:rPr>
          <w:rStyle w:val="SectionNumber"/>
        </w:rPr>
        <w:t xml:space="preserve">5.1</w:t>
      </w:r>
      <w:r>
        <w:tab/>
      </w:r>
      <w:r>
        <w:t xml:space="preserve">Taux d’adoption par zone et par milieu</w:t>
      </w:r>
    </w:p>
    <w:p>
      <w:pPr>
        <w:pStyle w:val="TableCaption"/>
      </w:pPr>
      <w:r>
        <w:t xml:space="preserve">Taux d’utilisation des intrants par zone g&lt;U+00E9&gt;opolitique &lt;U+2014&gt; GHS W4</w:t>
      </w:r>
    </w:p>
    <w:tbl>
      <w:tblPr>
        <w:tblStyle w:val="Table"/>
        <w:tblW w:type="pct" w:w="5000"/>
        <w:tblLook w:firstRow="1" w:lastRow="0" w:firstColumn="0" w:lastColumn="0" w:noHBand="0" w:noVBand="0" w:val="0020"/>
        <w:jc w:val="start"/>
        <w:tblCaption w:val="Taux d’utilisation des intrants par zone g&lt;U+00E9&gt;opolitique &lt;U+2014&gt; GHS W4"/>
      </w:tblPr>
      <w:tblGrid>
        <w:gridCol w:w="1403"/>
        <w:gridCol w:w="501"/>
        <w:gridCol w:w="1203"/>
        <w:gridCol w:w="701"/>
        <w:gridCol w:w="1503"/>
        <w:gridCol w:w="1303"/>
        <w:gridCol w:w="1303"/>
      </w:tblGrid>
      <w:tr>
        <w:trPr>
          <w:tblHeader w:val="true"/>
        </w:trPr>
        <w:tc>
          <w:tcPr/>
          <w:p>
            <w:pPr>
              <w:pStyle w:val="Compact"/>
              <w:jc w:val="left"/>
            </w:pPr>
            <w:r>
              <w:t xml:space="preserve">Zone</w:t>
            </w:r>
          </w:p>
        </w:tc>
        <w:tc>
          <w:tcPr/>
          <w:p>
            <w:pPr>
              <w:pStyle w:val="Compact"/>
              <w:jc w:val="right"/>
            </w:pPr>
            <w:r>
              <w:t xml:space="preserve">N</w:t>
            </w:r>
          </w:p>
        </w:tc>
        <w:tc>
          <w:tcPr/>
          <w:p>
            <w:pPr>
              <w:pStyle w:val="Compact"/>
              <w:jc w:val="right"/>
            </w:pPr>
            <w:r>
              <w:t xml:space="preserve">Eng.Org.(%)</w:t>
            </w:r>
          </w:p>
        </w:tc>
        <w:tc>
          <w:tcPr/>
          <w:p>
            <w:pPr>
              <w:pStyle w:val="Compact"/>
              <w:jc w:val="right"/>
            </w:pPr>
            <w:r>
              <w:t xml:space="preserve">NPK(%)</w:t>
            </w:r>
          </w:p>
        </w:tc>
        <w:tc>
          <w:tcPr/>
          <w:p>
            <w:pPr>
              <w:pStyle w:val="Compact"/>
              <w:jc w:val="right"/>
            </w:pPr>
            <w:r>
              <w:t xml:space="preserve">Ur&lt;U+00E9&gt;e(%)</w:t>
            </w:r>
          </w:p>
        </w:tc>
        <w:tc>
          <w:tcPr/>
          <w:p>
            <w:pPr>
              <w:pStyle w:val="Compact"/>
              <w:jc w:val="right"/>
            </w:pPr>
            <w:r>
              <w:t xml:space="preserve">Herbicide(%)</w:t>
            </w:r>
          </w:p>
        </w:tc>
        <w:tc>
          <w:tcPr/>
          <w:p>
            <w:pPr>
              <w:pStyle w:val="Compact"/>
              <w:jc w:val="right"/>
            </w:pPr>
            <w:r>
              <w:t xml:space="preserve">Pesticide(%)</w:t>
            </w:r>
          </w:p>
        </w:tc>
      </w:tr>
      <w:tr>
        <w:tc>
          <w:tcPr/>
          <w:p>
            <w:pPr>
              <w:pStyle w:val="Compact"/>
              <w:jc w:val="left"/>
            </w:pPr>
            <w:r>
              <w:t xml:space="preserve">North Central</w:t>
            </w:r>
          </w:p>
        </w:tc>
        <w:tc>
          <w:tcPr/>
          <w:p>
            <w:pPr>
              <w:pStyle w:val="Compact"/>
              <w:jc w:val="right"/>
            </w:pPr>
            <w:r>
              <w:t xml:space="preserve">1526</w:t>
            </w:r>
          </w:p>
        </w:tc>
        <w:tc>
          <w:tcPr/>
          <w:p>
            <w:pPr>
              <w:pStyle w:val="Compact"/>
              <w:jc w:val="right"/>
            </w:pPr>
            <w:r>
              <w:t xml:space="preserve">6.0</w:t>
            </w:r>
          </w:p>
        </w:tc>
        <w:tc>
          <w:tcPr/>
          <w:p>
            <w:pPr>
              <w:pStyle w:val="Compact"/>
              <w:jc w:val="right"/>
            </w:pPr>
            <w:r>
              <w:t xml:space="preserve">86.5</w:t>
            </w:r>
          </w:p>
        </w:tc>
        <w:tc>
          <w:tcPr/>
          <w:p>
            <w:pPr>
              <w:pStyle w:val="Compact"/>
              <w:jc w:val="right"/>
            </w:pPr>
            <w:r>
              <w:t xml:space="preserve">35.8</w:t>
            </w:r>
          </w:p>
        </w:tc>
        <w:tc>
          <w:tcPr/>
          <w:p>
            <w:pPr>
              <w:pStyle w:val="Compact"/>
              <w:jc w:val="right"/>
            </w:pPr>
            <w:r>
              <w:t xml:space="preserve">64.5</w:t>
            </w:r>
          </w:p>
        </w:tc>
        <w:tc>
          <w:tcPr/>
          <w:p>
            <w:pPr>
              <w:pStyle w:val="Compact"/>
              <w:jc w:val="right"/>
            </w:pPr>
            <w:r>
              <w:t xml:space="preserve">8.4</w:t>
            </w:r>
          </w:p>
        </w:tc>
      </w:tr>
      <w:tr>
        <w:tc>
          <w:tcPr/>
          <w:p>
            <w:pPr>
              <w:pStyle w:val="Compact"/>
              <w:jc w:val="left"/>
            </w:pPr>
            <w:r>
              <w:t xml:space="preserve">North East</w:t>
            </w:r>
          </w:p>
        </w:tc>
        <w:tc>
          <w:tcPr/>
          <w:p>
            <w:pPr>
              <w:pStyle w:val="Compact"/>
              <w:jc w:val="right"/>
            </w:pPr>
            <w:r>
              <w:t xml:space="preserve">1759</w:t>
            </w:r>
          </w:p>
        </w:tc>
        <w:tc>
          <w:tcPr/>
          <w:p>
            <w:pPr>
              <w:pStyle w:val="Compact"/>
              <w:jc w:val="right"/>
            </w:pPr>
            <w:r>
              <w:t xml:space="preserve">22.7</w:t>
            </w:r>
          </w:p>
        </w:tc>
        <w:tc>
          <w:tcPr/>
          <w:p>
            <w:pPr>
              <w:pStyle w:val="Compact"/>
              <w:jc w:val="right"/>
            </w:pPr>
            <w:r>
              <w:t xml:space="preserve">68.2</w:t>
            </w:r>
          </w:p>
        </w:tc>
        <w:tc>
          <w:tcPr/>
          <w:p>
            <w:pPr>
              <w:pStyle w:val="Compact"/>
              <w:jc w:val="right"/>
            </w:pPr>
            <w:r>
              <w:t xml:space="preserve">68.9</w:t>
            </w:r>
          </w:p>
        </w:tc>
        <w:tc>
          <w:tcPr/>
          <w:p>
            <w:pPr>
              <w:pStyle w:val="Compact"/>
              <w:jc w:val="right"/>
            </w:pPr>
            <w:r>
              <w:t xml:space="preserve">62.2</w:t>
            </w:r>
          </w:p>
        </w:tc>
        <w:tc>
          <w:tcPr/>
          <w:p>
            <w:pPr>
              <w:pStyle w:val="Compact"/>
              <w:jc w:val="right"/>
            </w:pPr>
            <w:r>
              <w:t xml:space="preserve">22.5</w:t>
            </w:r>
          </w:p>
        </w:tc>
      </w:tr>
      <w:tr>
        <w:tc>
          <w:tcPr/>
          <w:p>
            <w:pPr>
              <w:pStyle w:val="Compact"/>
              <w:jc w:val="left"/>
            </w:pPr>
            <w:r>
              <w:t xml:space="preserve">North West</w:t>
            </w:r>
          </w:p>
        </w:tc>
        <w:tc>
          <w:tcPr/>
          <w:p>
            <w:pPr>
              <w:pStyle w:val="Compact"/>
              <w:jc w:val="right"/>
            </w:pPr>
            <w:r>
              <w:t xml:space="preserve">1590</w:t>
            </w:r>
          </w:p>
        </w:tc>
        <w:tc>
          <w:tcPr/>
          <w:p>
            <w:pPr>
              <w:pStyle w:val="Compact"/>
              <w:jc w:val="right"/>
            </w:pPr>
            <w:r>
              <w:t xml:space="preserve">55.3</w:t>
            </w:r>
          </w:p>
        </w:tc>
        <w:tc>
          <w:tcPr/>
          <w:p>
            <w:pPr>
              <w:pStyle w:val="Compact"/>
              <w:jc w:val="right"/>
            </w:pPr>
            <w:r>
              <w:t xml:space="preserve">76.2</w:t>
            </w:r>
          </w:p>
        </w:tc>
        <w:tc>
          <w:tcPr/>
          <w:p>
            <w:pPr>
              <w:pStyle w:val="Compact"/>
              <w:jc w:val="right"/>
            </w:pPr>
            <w:r>
              <w:t xml:space="preserve">63.7</w:t>
            </w:r>
          </w:p>
        </w:tc>
        <w:tc>
          <w:tcPr/>
          <w:p>
            <w:pPr>
              <w:pStyle w:val="Compact"/>
              <w:jc w:val="right"/>
            </w:pPr>
            <w:r>
              <w:t xml:space="preserve">22.7</w:t>
            </w:r>
          </w:p>
        </w:tc>
        <w:tc>
          <w:tcPr/>
          <w:p>
            <w:pPr>
              <w:pStyle w:val="Compact"/>
              <w:jc w:val="right"/>
            </w:pPr>
            <w:r>
              <w:t xml:space="preserve">21.4</w:t>
            </w:r>
          </w:p>
        </w:tc>
      </w:tr>
      <w:tr>
        <w:tc>
          <w:tcPr/>
          <w:p>
            <w:pPr>
              <w:pStyle w:val="Compact"/>
              <w:jc w:val="left"/>
            </w:pPr>
            <w:r>
              <w:t xml:space="preserve">South East</w:t>
            </w:r>
          </w:p>
        </w:tc>
        <w:tc>
          <w:tcPr/>
          <w:p>
            <w:pPr>
              <w:pStyle w:val="Compact"/>
              <w:jc w:val="right"/>
            </w:pPr>
            <w:r>
              <w:t xml:space="preserve">1565</w:t>
            </w:r>
          </w:p>
        </w:tc>
        <w:tc>
          <w:tcPr/>
          <w:p>
            <w:pPr>
              <w:pStyle w:val="Compact"/>
              <w:jc w:val="right"/>
            </w:pPr>
            <w:r>
              <w:t xml:space="preserve">13.9</w:t>
            </w:r>
          </w:p>
        </w:tc>
        <w:tc>
          <w:tcPr/>
          <w:p>
            <w:pPr>
              <w:pStyle w:val="Compact"/>
              <w:jc w:val="right"/>
            </w:pPr>
            <w:r>
              <w:t xml:space="preserve">81.0</w:t>
            </w:r>
          </w:p>
        </w:tc>
        <w:tc>
          <w:tcPr/>
          <w:p>
            <w:pPr>
              <w:pStyle w:val="Compact"/>
              <w:jc w:val="right"/>
            </w:pPr>
            <w:r>
              <w:t xml:space="preserve">34.5</w:t>
            </w:r>
          </w:p>
        </w:tc>
        <w:tc>
          <w:tcPr/>
          <w:p>
            <w:pPr>
              <w:pStyle w:val="Compact"/>
              <w:jc w:val="right"/>
            </w:pPr>
            <w:r>
              <w:t xml:space="preserve">12.3</w:t>
            </w:r>
          </w:p>
        </w:tc>
        <w:tc>
          <w:tcPr/>
          <w:p>
            <w:pPr>
              <w:pStyle w:val="Compact"/>
              <w:jc w:val="right"/>
            </w:pPr>
            <w:r>
              <w:t xml:space="preserve">5.7</w:t>
            </w:r>
          </w:p>
        </w:tc>
      </w:tr>
      <w:tr>
        <w:tc>
          <w:tcPr/>
          <w:p>
            <w:pPr>
              <w:pStyle w:val="Compact"/>
              <w:jc w:val="left"/>
            </w:pPr>
            <w:r>
              <w:t xml:space="preserve">South South</w:t>
            </w:r>
          </w:p>
        </w:tc>
        <w:tc>
          <w:tcPr/>
          <w:p>
            <w:pPr>
              <w:pStyle w:val="Compact"/>
              <w:jc w:val="right"/>
            </w:pPr>
            <w:r>
              <w:t xml:space="preserve">1275</w:t>
            </w:r>
          </w:p>
        </w:tc>
        <w:tc>
          <w:tcPr/>
          <w:p>
            <w:pPr>
              <w:pStyle w:val="Compact"/>
              <w:jc w:val="right"/>
            </w:pPr>
            <w:r>
              <w:t xml:space="preserve">2.9</w:t>
            </w:r>
          </w:p>
        </w:tc>
        <w:tc>
          <w:tcPr/>
          <w:p>
            <w:pPr>
              <w:pStyle w:val="Compact"/>
              <w:jc w:val="right"/>
            </w:pPr>
            <w:r>
              <w:t xml:space="preserve">76.5</w:t>
            </w:r>
          </w:p>
        </w:tc>
        <w:tc>
          <w:tcPr/>
          <w:p>
            <w:pPr>
              <w:pStyle w:val="Compact"/>
              <w:jc w:val="right"/>
            </w:pPr>
            <w:r>
              <w:t xml:space="preserve">22.1</w:t>
            </w:r>
          </w:p>
        </w:tc>
        <w:tc>
          <w:tcPr/>
          <w:p>
            <w:pPr>
              <w:pStyle w:val="Compact"/>
              <w:jc w:val="right"/>
            </w:pPr>
            <w:r>
              <w:t xml:space="preserve">18.8</w:t>
            </w:r>
          </w:p>
        </w:tc>
        <w:tc>
          <w:tcPr/>
          <w:p>
            <w:pPr>
              <w:pStyle w:val="Compact"/>
              <w:jc w:val="right"/>
            </w:pPr>
            <w:r>
              <w:t xml:space="preserve">1.2</w:t>
            </w:r>
          </w:p>
        </w:tc>
      </w:tr>
      <w:tr>
        <w:tc>
          <w:tcPr/>
          <w:p>
            <w:pPr>
              <w:pStyle w:val="Compact"/>
              <w:jc w:val="left"/>
            </w:pPr>
            <w:r>
              <w:t xml:space="preserve">South West</w:t>
            </w:r>
          </w:p>
        </w:tc>
        <w:tc>
          <w:tcPr/>
          <w:p>
            <w:pPr>
              <w:pStyle w:val="Compact"/>
              <w:jc w:val="right"/>
            </w:pPr>
            <w:r>
              <w:t xml:space="preserve">578</w:t>
            </w:r>
          </w:p>
        </w:tc>
        <w:tc>
          <w:tcPr/>
          <w:p>
            <w:pPr>
              <w:pStyle w:val="Compact"/>
              <w:jc w:val="right"/>
            </w:pPr>
            <w:r>
              <w:t xml:space="preserve">0.5</w:t>
            </w:r>
          </w:p>
        </w:tc>
        <w:tc>
          <w:tcPr/>
          <w:p>
            <w:pPr>
              <w:pStyle w:val="Compact"/>
              <w:jc w:val="right"/>
            </w:pPr>
            <w:r>
              <w:t xml:space="preserve">94.7</w:t>
            </w:r>
          </w:p>
        </w:tc>
        <w:tc>
          <w:tcPr/>
          <w:p>
            <w:pPr>
              <w:pStyle w:val="Compact"/>
              <w:jc w:val="right"/>
            </w:pPr>
            <w:r>
              <w:t xml:space="preserve">5.3</w:t>
            </w:r>
          </w:p>
        </w:tc>
        <w:tc>
          <w:tcPr/>
          <w:p>
            <w:pPr>
              <w:pStyle w:val="Compact"/>
              <w:jc w:val="right"/>
            </w:pPr>
            <w:r>
              <w:t xml:space="preserve">26.0</w:t>
            </w:r>
          </w:p>
        </w:tc>
        <w:tc>
          <w:tcPr/>
          <w:p>
            <w:pPr>
              <w:pStyle w:val="Compact"/>
              <w:jc w:val="right"/>
            </w:pPr>
            <w:r>
              <w:t xml:space="preserve">20.8</w:t>
            </w:r>
          </w:p>
        </w:tc>
      </w:tr>
    </w:tbl>
    <w:p>
      <w:pPr>
        <w:pStyle w:val="CaptionedFigure"/>
      </w:pPr>
      <w:r>
        <w:drawing>
          <wp:inline>
            <wp:extent cx="5334000" cy="2909454"/>
            <wp:effectExtent b="0" l="0" r="0" t="0"/>
            <wp:docPr descr="Taux d’utilisation des intrants selon le milieu &lt;U+2014&gt; IC &lt;U+00E0&gt; 95%" title="" id="37" name="Picture"/>
            <a:graphic>
              <a:graphicData uri="http://schemas.openxmlformats.org/drawingml/2006/picture">
                <pic:pic>
                  <pic:nvPicPr>
                    <pic:cNvPr descr="../outputs/fig04_intrants_milieu_IC.png" id="38" name="Picture"/>
                    <pic:cNvPicPr>
                      <a:picLocks noChangeArrowheads="1" noChangeAspect="1"/>
                    </pic:cNvPicPr>
                  </pic:nvPicPr>
                  <pic:blipFill>
                    <a:blip r:embed="rId36"/>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Taux d’utilisation des intrants selon le milieu &lt;U+2014&gt; IC &lt;U+00E0&gt; 95%</w:t>
      </w:r>
    </w:p>
    <w:p>
      <w:pPr>
        <w:pStyle w:val="BodyText"/>
      </w:pPr>
      <w:r>
        <w:t xml:space="preserve">Le taux national d’engrais inorganiques (33,6%) masque de fortes disparités zonales. Le test du chi-deux confirme une association significative entre milieu et utilisation d’engrais (X²=18,75 ; p&lt;0,001), bien que le V de Cramér (0,048) indique une effet faible, suggérant que l’adoption est surtout déterminée par l’accès aux marchés et non le milieu per se.</w:t>
      </w:r>
    </w:p>
    <w:p>
      <w:pPr>
        <w:pStyle w:val="CaptionedFigure"/>
      </w:pPr>
      <w:r>
        <w:drawing>
          <wp:inline>
            <wp:extent cx="5334000" cy="7467599"/>
            <wp:effectExtent b="0" l="0" r="0" t="0"/>
            <wp:docPr descr="Taux d’adoption des intrants par &lt;U+00C9&gt;tat &lt;U+2014&gt; Heatmap g&lt;U+00E9&gt;ographique" title="" id="40" name="Picture"/>
            <a:graphic>
              <a:graphicData uri="http://schemas.openxmlformats.org/drawingml/2006/picture">
                <pic:pic>
                  <pic:nvPicPr>
                    <pic:cNvPr descr="../outputs/fig05_heatmap_intrants_etat.png" id="41" name="Picture"/>
                    <pic:cNvPicPr>
                      <a:picLocks noChangeArrowheads="1" noChangeAspect="1"/>
                    </pic:cNvPicPr>
                  </pic:nvPicPr>
                  <pic:blipFill>
                    <a:blip r:embed="rId39"/>
                    <a:stretch>
                      <a:fillRect/>
                    </a:stretch>
                  </pic:blipFill>
                  <pic:spPr bwMode="auto">
                    <a:xfrm>
                      <a:off x="0" y="0"/>
                      <a:ext cx="5334000" cy="7467599"/>
                    </a:xfrm>
                    <a:prstGeom prst="rect">
                      <a:avLst/>
                    </a:prstGeom>
                    <a:noFill/>
                    <a:ln w="9525">
                      <a:noFill/>
                      <a:headEnd/>
                      <a:tailEnd/>
                    </a:ln>
                  </pic:spPr>
                </pic:pic>
              </a:graphicData>
            </a:graphic>
          </wp:inline>
        </w:drawing>
      </w:r>
    </w:p>
    <w:p>
      <w:pPr>
        <w:pStyle w:val="ImageCaption"/>
      </w:pPr>
      <w:r>
        <w:t xml:space="preserve">Taux d’adoption des intrants par &lt;U+00C9&gt;tat &lt;U+2014&gt; Heatmap g&lt;U+00E9&gt;ographique</w:t>
      </w:r>
    </w:p>
    <w:p>
      <w:pPr>
        <w:pStyle w:val="BodyText"/>
      </w:pPr>
      <w:r>
        <w:t xml:space="preserve">La heatmap révèle des disparités géographiques très marquées. Les États du Nord bénéficient de distributions gouvernementales d’engrais dans le cadre du programme GES (Growth Enhancement Support Scheme), tandis que plusieurs États du Sud-Sud et du Sud-Est affichent des taux très faibles malgré la présence de cultures à haute valeur ajoutée.</w:t>
      </w:r>
    </w:p>
    <w:p>
      <w:r>
        <w:pict>
          <v:rect style="width:0;height:1.5pt" o:hralign="center" o:hrstd="t" o:hr="t"/>
        </w:pict>
      </w:r>
    </w:p>
    <w:bookmarkEnd w:id="42"/>
    <w:bookmarkEnd w:id="43"/>
    <w:bookmarkStart w:id="51" w:name="rendements-agricoles-tâche-28"/>
    <w:p>
      <w:pPr>
        <w:pStyle w:val="Heading1"/>
      </w:pPr>
      <w:r>
        <w:rPr>
          <w:rStyle w:val="SectionNumber"/>
        </w:rPr>
        <w:t xml:space="preserve">6</w:t>
      </w:r>
      <w:r>
        <w:tab/>
      </w:r>
      <w:r>
        <w:t xml:space="preserve">Rendements agricoles (Tâche 28)</w:t>
      </w:r>
    </w:p>
    <w:bookmarkStart w:id="50" w:name="X31c802db3edc5c5650f4b751895bef335501ce1"/>
    <w:p>
      <w:pPr>
        <w:pStyle w:val="Heading2"/>
      </w:pPr>
      <w:r>
        <w:rPr>
          <w:rStyle w:val="SectionNumber"/>
        </w:rPr>
        <w:t xml:space="preserve">6.1</w:t>
      </w:r>
      <w:r>
        <w:tab/>
      </w:r>
      <w:r>
        <w:t xml:space="preserve">Construction et statistiques des rendements</w:t>
      </w:r>
    </w:p>
    <w:p>
      <w:pPr>
        <w:pStyle w:val="FirstParagraph"/>
      </w:pPr>
      <w:r>
        <w:t xml:space="preserve">Les rendements (kg/ha) ont été calculés en rapportant la production récoltée (convertie en kg via les facteurs de conversion GHS) à la superficie imputée par parcelle. La superficie est estimée à partir de la superficie médiane nationale GHS W4 (0,54 ha) divisée par le nombre de parcelles cultivées par ménage. Les valeurs aberrantes ont été exclues par la méthode IQR×3 sur chaque culture.</w:t>
      </w:r>
    </w:p>
    <w:p>
      <w:pPr>
        <w:pStyle w:val="TableCaption"/>
      </w:pPr>
      <w:r>
        <w:t xml:space="preserve">Statistiques des rendements agricoles &lt;U+2014&gt; Apr&lt;U+00E8&gt;s exclusion outliers IQR&lt;U+00D7&gt;3</w:t>
      </w:r>
    </w:p>
    <w:tbl>
      <w:tblPr>
        <w:tblStyle w:val="Table"/>
        <w:tblW w:type="pct" w:w="5000"/>
        <w:tblLook w:firstRow="1" w:lastRow="0" w:firstColumn="0" w:lastColumn="0" w:noHBand="0" w:noVBand="0" w:val="0020"/>
        <w:jc w:val="start"/>
        <w:tblCaption w:val="Statistiques des rendements agricoles &lt;U+2014&gt; Apr&lt;U+00E8&gt;s exclusion outliers IQR&lt;U+00D7&gt;3"/>
      </w:tblPr>
      <w:tblGrid>
        <w:gridCol w:w="1161"/>
        <w:gridCol w:w="739"/>
        <w:gridCol w:w="1267"/>
        <w:gridCol w:w="422"/>
        <w:gridCol w:w="1584"/>
        <w:gridCol w:w="844"/>
        <w:gridCol w:w="633"/>
        <w:gridCol w:w="1267"/>
      </w:tblGrid>
      <w:tr>
        <w:trPr>
          <w:tblHeader w:val="true"/>
        </w:trPr>
        <w:tc>
          <w:tcPr/>
          <w:p>
            <w:pPr>
              <w:pStyle w:val="Compact"/>
              <w:jc w:val="left"/>
            </w:pPr>
            <w:r>
              <w:t xml:space="preserve">Culture</w:t>
            </w:r>
          </w:p>
        </w:tc>
        <w:tc>
          <w:tcPr/>
          <w:p>
            <w:pPr>
              <w:pStyle w:val="Compact"/>
              <w:jc w:val="right"/>
            </w:pPr>
            <w:r>
              <w:t xml:space="preserve">N obs.</w:t>
            </w:r>
          </w:p>
        </w:tc>
        <w:tc>
          <w:tcPr/>
          <w:p>
            <w:pPr>
              <w:pStyle w:val="Compact"/>
              <w:jc w:val="right"/>
            </w:pPr>
            <w:r>
              <w:t xml:space="preserve">Min (kg/ha)</w:t>
            </w:r>
          </w:p>
        </w:tc>
        <w:tc>
          <w:tcPr/>
          <w:p>
            <w:pPr>
              <w:pStyle w:val="Compact"/>
              <w:jc w:val="right"/>
            </w:pPr>
            <w:r>
              <w:t xml:space="preserve">Q1</w:t>
            </w:r>
          </w:p>
        </w:tc>
        <w:tc>
          <w:tcPr/>
          <w:p>
            <w:pPr>
              <w:pStyle w:val="Compact"/>
              <w:jc w:val="right"/>
            </w:pPr>
            <w:r>
              <w:t xml:space="preserve">M&lt;U+00E9&gt;diane</w:t>
            </w:r>
          </w:p>
        </w:tc>
        <w:tc>
          <w:tcPr/>
          <w:p>
            <w:pPr>
              <w:pStyle w:val="Compact"/>
              <w:jc w:val="right"/>
            </w:pPr>
            <w:r>
              <w:t xml:space="preserve">Moyenne</w:t>
            </w:r>
          </w:p>
        </w:tc>
        <w:tc>
          <w:tcPr/>
          <w:p>
            <w:pPr>
              <w:pStyle w:val="Compact"/>
              <w:jc w:val="right"/>
            </w:pPr>
            <w:r>
              <w:t xml:space="preserve">Q3</w:t>
            </w:r>
          </w:p>
        </w:tc>
        <w:tc>
          <w:tcPr/>
          <w:p>
            <w:pPr>
              <w:pStyle w:val="Compact"/>
              <w:jc w:val="right"/>
            </w:pPr>
            <w:r>
              <w:t xml:space="preserve">Max (kg/ha)</w:t>
            </w:r>
          </w:p>
        </w:tc>
      </w:tr>
      <w:tr>
        <w:tc>
          <w:tcPr/>
          <w:p>
            <w:pPr>
              <w:pStyle w:val="Compact"/>
              <w:jc w:val="left"/>
            </w:pPr>
            <w:r>
              <w:t xml:space="preserve">Ma</w:t>
            </w:r>
            <w:r>
              <w:t xml:space="preserve">s</w:t>
            </w:r>
          </w:p>
        </w:tc>
        <w:tc>
          <w:tcPr/>
          <w:p>
            <w:pPr>
              <w:pStyle w:val="Compact"/>
              <w:jc w:val="right"/>
            </w:pPr>
            <w:r>
              <w:t xml:space="preserve">2 427</w:t>
            </w:r>
          </w:p>
        </w:tc>
        <w:tc>
          <w:tcPr/>
          <w:p>
            <w:pPr>
              <w:pStyle w:val="Compact"/>
              <w:jc w:val="right"/>
            </w:pPr>
            <w:r>
              <w:t xml:space="preserve">3</w:t>
            </w:r>
          </w:p>
        </w:tc>
        <w:tc>
          <w:tcPr/>
          <w:p>
            <w:pPr>
              <w:pStyle w:val="Compact"/>
              <w:jc w:val="right"/>
            </w:pPr>
            <w:r>
              <w:t xml:space="preserve">200</w:t>
            </w:r>
          </w:p>
        </w:tc>
        <w:tc>
          <w:tcPr/>
          <w:p>
            <w:pPr>
              <w:pStyle w:val="Compact"/>
              <w:jc w:val="right"/>
            </w:pPr>
            <w:r>
              <w:t xml:space="preserve">800</w:t>
            </w:r>
          </w:p>
        </w:tc>
        <w:tc>
          <w:tcPr/>
          <w:p>
            <w:pPr>
              <w:pStyle w:val="Compact"/>
              <w:jc w:val="right"/>
            </w:pPr>
            <w:r>
              <w:t xml:space="preserve">2 110</w:t>
            </w:r>
          </w:p>
        </w:tc>
        <w:tc>
          <w:tcPr/>
          <w:p>
            <w:pPr>
              <w:pStyle w:val="Compact"/>
              <w:jc w:val="right"/>
            </w:pPr>
            <w:r>
              <w:t xml:space="preserve">2 963</w:t>
            </w:r>
          </w:p>
        </w:tc>
        <w:tc>
          <w:tcPr/>
          <w:p>
            <w:pPr>
              <w:pStyle w:val="Compact"/>
              <w:jc w:val="right"/>
            </w:pPr>
            <w:r>
              <w:t xml:space="preserve">14 074</w:t>
            </w:r>
          </w:p>
        </w:tc>
      </w:tr>
      <w:tr>
        <w:tc>
          <w:tcPr/>
          <w:p>
            <w:pPr>
              <w:pStyle w:val="Compact"/>
              <w:jc w:val="left"/>
            </w:pPr>
            <w:r>
              <w:t xml:space="preserve">Mil/Millet</w:t>
            </w:r>
          </w:p>
        </w:tc>
        <w:tc>
          <w:tcPr/>
          <w:p>
            <w:pPr>
              <w:pStyle w:val="Compact"/>
              <w:jc w:val="right"/>
            </w:pPr>
            <w:r>
              <w:t xml:space="preserve">951</w:t>
            </w:r>
          </w:p>
        </w:tc>
        <w:tc>
          <w:tcPr/>
          <w:p>
            <w:pPr>
              <w:pStyle w:val="Compact"/>
              <w:jc w:val="right"/>
            </w:pPr>
            <w:r>
              <w:t xml:space="preserve">12</w:t>
            </w:r>
          </w:p>
        </w:tc>
        <w:tc>
          <w:tcPr/>
          <w:p>
            <w:pPr>
              <w:pStyle w:val="Compact"/>
              <w:jc w:val="right"/>
            </w:pPr>
            <w:r>
              <w:t xml:space="preserve">741</w:t>
            </w:r>
          </w:p>
        </w:tc>
        <w:tc>
          <w:tcPr/>
          <w:p>
            <w:pPr>
              <w:pStyle w:val="Compact"/>
              <w:jc w:val="right"/>
            </w:pPr>
            <w:r>
              <w:t xml:space="preserve">1 481</w:t>
            </w:r>
          </w:p>
        </w:tc>
        <w:tc>
          <w:tcPr/>
          <w:p>
            <w:pPr>
              <w:pStyle w:val="Compact"/>
              <w:jc w:val="right"/>
            </w:pPr>
            <w:r>
              <w:t xml:space="preserve">1 992</w:t>
            </w:r>
          </w:p>
        </w:tc>
        <w:tc>
          <w:tcPr/>
          <w:p>
            <w:pPr>
              <w:pStyle w:val="Compact"/>
              <w:jc w:val="right"/>
            </w:pPr>
            <w:r>
              <w:t xml:space="preserve">2 778</w:t>
            </w:r>
          </w:p>
        </w:tc>
        <w:tc>
          <w:tcPr/>
          <w:p>
            <w:pPr>
              <w:pStyle w:val="Compact"/>
              <w:jc w:val="right"/>
            </w:pPr>
            <w:r>
              <w:t xml:space="preserve">8 333</w:t>
            </w:r>
          </w:p>
        </w:tc>
      </w:tr>
      <w:tr>
        <w:tc>
          <w:tcPr/>
          <w:p>
            <w:pPr>
              <w:pStyle w:val="Compact"/>
              <w:jc w:val="left"/>
            </w:pPr>
            <w:r>
              <w:t xml:space="preserve">Sorgho</w:t>
            </w:r>
          </w:p>
        </w:tc>
        <w:tc>
          <w:tcPr/>
          <w:p>
            <w:pPr>
              <w:pStyle w:val="Compact"/>
              <w:jc w:val="right"/>
            </w:pPr>
            <w:r>
              <w:t xml:space="preserve">1 402</w:t>
            </w:r>
          </w:p>
        </w:tc>
        <w:tc>
          <w:tcPr/>
          <w:p>
            <w:pPr>
              <w:pStyle w:val="Compact"/>
              <w:jc w:val="right"/>
            </w:pPr>
            <w:r>
              <w:t xml:space="preserve">10</w:t>
            </w:r>
          </w:p>
        </w:tc>
        <w:tc>
          <w:tcPr/>
          <w:p>
            <w:pPr>
              <w:pStyle w:val="Compact"/>
              <w:jc w:val="right"/>
            </w:pPr>
            <w:r>
              <w:t xml:space="preserve">739</w:t>
            </w:r>
          </w:p>
        </w:tc>
        <w:tc>
          <w:tcPr/>
          <w:p>
            <w:pPr>
              <w:pStyle w:val="Compact"/>
              <w:jc w:val="right"/>
            </w:pPr>
            <w:r>
              <w:t xml:space="preserve">1 481</w:t>
            </w:r>
          </w:p>
        </w:tc>
        <w:tc>
          <w:tcPr/>
          <w:p>
            <w:pPr>
              <w:pStyle w:val="Compact"/>
              <w:jc w:val="right"/>
            </w:pPr>
            <w:r>
              <w:t xml:space="preserve">1 879</w:t>
            </w:r>
          </w:p>
        </w:tc>
        <w:tc>
          <w:tcPr/>
          <w:p>
            <w:pPr>
              <w:pStyle w:val="Compact"/>
              <w:jc w:val="right"/>
            </w:pPr>
            <w:r>
              <w:t xml:space="preserve">2 593</w:t>
            </w:r>
          </w:p>
        </w:tc>
        <w:tc>
          <w:tcPr/>
          <w:p>
            <w:pPr>
              <w:pStyle w:val="Compact"/>
              <w:jc w:val="right"/>
            </w:pPr>
            <w:r>
              <w:t xml:space="preserve">8 333</w:t>
            </w:r>
          </w:p>
        </w:tc>
      </w:tr>
    </w:tbl>
    <w:p>
      <w:pPr>
        <w:pStyle w:val="CaptionedFigure"/>
      </w:pPr>
      <w:r>
        <w:drawing>
          <wp:inline>
            <wp:extent cx="5334000" cy="2872153"/>
            <wp:effectExtent b="0" l="0" r="0" t="0"/>
            <wp:docPr descr="Rendements par culture et zone g&lt;U+00E9&gt;opolitique &lt;U+2014&gt; Boxplots GHS W4" title="" id="45" name="Picture"/>
            <a:graphic>
              <a:graphicData uri="http://schemas.openxmlformats.org/drawingml/2006/picture">
                <pic:pic>
                  <pic:nvPicPr>
                    <pic:cNvPr descr="../outputs/fig06_rendements_zone.png" id="46" name="Picture"/>
                    <pic:cNvPicPr>
                      <a:picLocks noChangeArrowheads="1" noChangeAspect="1"/>
                    </pic:cNvPicPr>
                  </pic:nvPicPr>
                  <pic:blipFill>
                    <a:blip r:embed="rId44"/>
                    <a:stretch>
                      <a:fillRect/>
                    </a:stretch>
                  </pic:blipFill>
                  <pic:spPr bwMode="auto">
                    <a:xfrm>
                      <a:off x="0" y="0"/>
                      <a:ext cx="5334000" cy="2872153"/>
                    </a:xfrm>
                    <a:prstGeom prst="rect">
                      <a:avLst/>
                    </a:prstGeom>
                    <a:noFill/>
                    <a:ln w="9525">
                      <a:noFill/>
                      <a:headEnd/>
                      <a:tailEnd/>
                    </a:ln>
                  </pic:spPr>
                </pic:pic>
              </a:graphicData>
            </a:graphic>
          </wp:inline>
        </w:drawing>
      </w:r>
    </w:p>
    <w:p>
      <w:pPr>
        <w:pStyle w:val="ImageCaption"/>
      </w:pPr>
      <w:r>
        <w:t xml:space="preserve">Rendements par culture et zone g&lt;U+00E9&gt;opolitique &lt;U+2014&gt; Boxplots GHS W4</w:t>
      </w:r>
    </w:p>
    <w:p>
      <w:pPr>
        <w:pStyle w:val="CaptionedFigure"/>
      </w:pPr>
      <w:r>
        <w:drawing>
          <wp:inline>
            <wp:extent cx="5334000" cy="3048000"/>
            <wp:effectExtent b="0" l="0" r="0" t="0"/>
            <wp:docPr descr="Distribution des rendements par zone &lt;U+2014&gt; Ridge plots (&lt;U+00E9&gt;chelle log)" title="" id="48" name="Picture"/>
            <a:graphic>
              <a:graphicData uri="http://schemas.openxmlformats.org/drawingml/2006/picture">
                <pic:pic>
                  <pic:nvPicPr>
                    <pic:cNvPr descr="../outputs/fig07_ridge_rendements.png" id="49" name="Picture"/>
                    <pic:cNvPicPr>
                      <a:picLocks noChangeArrowheads="1" noChangeAspect="1"/>
                    </pic:cNvPicPr>
                  </pic:nvPicPr>
                  <pic:blipFill>
                    <a:blip r:embed="rId47"/>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Distribution des rendements par zone &lt;U+2014&gt; Ridge plots (&lt;U+00E9&gt;chelle log)</w:t>
      </w:r>
    </w:p>
    <w:p>
      <w:pPr>
        <w:pStyle w:val="BodyText"/>
      </w:pPr>
      <w:r>
        <w:t xml:space="preserve">Le rendement médian du maïs ( kg/ha) reste nettement inférieur aux potentiels variétaux (2 000–6 000 kg/ha pour les semences améliorées), confirmant le gap de productivité nigérian. Le mil et le sorgho affichent des rendements similaires (~1 481 kg/ha), cohérents avec les systèmes extensifs des zones semi-arides.</w:t>
      </w:r>
    </w:p>
    <w:p>
      <w:r>
        <w:pict>
          <v:rect style="width:0;height:1.5pt" o:hralign="center" o:hrstd="t" o:hr="t"/>
        </w:pict>
      </w:r>
    </w:p>
    <w:bookmarkEnd w:id="50"/>
    <w:bookmarkEnd w:id="51"/>
    <w:bookmarkStart w:id="56" w:name="engrais-chimique-et-rendements-tâche-29"/>
    <w:p>
      <w:pPr>
        <w:pStyle w:val="Heading1"/>
      </w:pPr>
      <w:r>
        <w:rPr>
          <w:rStyle w:val="SectionNumber"/>
        </w:rPr>
        <w:t xml:space="preserve">7</w:t>
      </w:r>
      <w:r>
        <w:tab/>
      </w:r>
      <w:r>
        <w:t xml:space="preserve">Engrais chimique et rendements (Tâche 29)</w:t>
      </w:r>
    </w:p>
    <w:bookmarkStart w:id="55" w:name="test-de-wilcoxon-avec-vs-sans-engrais"/>
    <w:p>
      <w:pPr>
        <w:pStyle w:val="Heading2"/>
      </w:pPr>
      <w:r>
        <w:rPr>
          <w:rStyle w:val="SectionNumber"/>
        </w:rPr>
        <w:t xml:space="preserve">7.1</w:t>
      </w:r>
      <w:r>
        <w:tab/>
      </w:r>
      <w:r>
        <w:t xml:space="preserve">Test de Wilcoxon : avec vs sans engrais</w:t>
      </w:r>
    </w:p>
    <w:p>
      <w:pPr>
        <w:pStyle w:val="TableCaption"/>
      </w:pPr>
      <w:r>
        <w:t xml:space="preserve">Rendement du ma&lt;U+00EF&gt;s selon l’utilisation d’engrais chimique &lt;U+2014&gt; GHS W4</w:t>
      </w:r>
    </w:p>
    <w:tbl>
      <w:tblPr>
        <w:tblStyle w:val="Table"/>
        <w:tblW w:type="pct" w:w="5000"/>
        <w:tblLook w:firstRow="1" w:lastRow="0" w:firstColumn="0" w:lastColumn="0" w:noHBand="0" w:noVBand="0" w:val="0020"/>
        <w:jc w:val="start"/>
        <w:tblCaption w:val="Rendement du ma&lt;U+00EF&gt;s selon l’utilisation d’engrais chimique &lt;U+2014&gt; GHS W4"/>
      </w:tblPr>
      <w:tblGrid>
        <w:gridCol w:w="1936"/>
        <w:gridCol w:w="1056"/>
        <w:gridCol w:w="2023"/>
        <w:gridCol w:w="1144"/>
        <w:gridCol w:w="1760"/>
      </w:tblGrid>
      <w:tr>
        <w:trPr>
          <w:tblHeader w:val="true"/>
        </w:trPr>
        <w:tc>
          <w:tcPr/>
          <w:p>
            <w:pPr>
              <w:pStyle w:val="Compact"/>
              <w:jc w:val="left"/>
            </w:pPr>
            <w:r>
              <w:t xml:space="preserve">Groupe</w:t>
            </w:r>
          </w:p>
        </w:tc>
        <w:tc>
          <w:tcPr/>
          <w:p>
            <w:pPr>
              <w:pStyle w:val="Compact"/>
              <w:jc w:val="right"/>
            </w:pPr>
            <w:r>
              <w:t xml:space="preserve">N parcelles</w:t>
            </w:r>
          </w:p>
        </w:tc>
        <w:tc>
          <w:tcPr/>
          <w:p>
            <w:pPr>
              <w:pStyle w:val="Compact"/>
              <w:jc w:val="right"/>
            </w:pPr>
            <w:r>
              <w:t xml:space="preserve">M&lt;U+00E9&gt;diane (kg/ha)</w:t>
            </w:r>
          </w:p>
        </w:tc>
        <w:tc>
          <w:tcPr/>
          <w:p>
            <w:pPr>
              <w:pStyle w:val="Compact"/>
              <w:jc w:val="right"/>
            </w:pPr>
            <w:r>
              <w:t xml:space="preserve">Moy. (kg/ha)</w:t>
            </w:r>
          </w:p>
        </w:tc>
        <w:tc>
          <w:tcPr/>
          <w:p>
            <w:pPr>
              <w:pStyle w:val="Compact"/>
              <w:jc w:val="center"/>
            </w:pPr>
            <w:r>
              <w:t xml:space="preserve">Gain m&lt;U+00E9&gt;dian</w:t>
            </w:r>
          </w:p>
        </w:tc>
      </w:tr>
      <w:tr>
        <w:tc>
          <w:tcPr/>
          <w:p>
            <w:pPr>
              <w:pStyle w:val="Compact"/>
              <w:jc w:val="left"/>
            </w:pPr>
            <w:r>
              <w:t xml:space="preserve">Avec engrais chimique</w:t>
            </w:r>
          </w:p>
        </w:tc>
        <w:tc>
          <w:tcPr/>
          <w:p>
            <w:pPr>
              <w:pStyle w:val="Compact"/>
              <w:jc w:val="right"/>
            </w:pPr>
            <w:r>
              <w:t xml:space="preserve">1062</w:t>
            </w:r>
          </w:p>
        </w:tc>
        <w:tc>
          <w:tcPr/>
          <w:p>
            <w:pPr>
              <w:pStyle w:val="Compact"/>
              <w:jc w:val="right"/>
            </w:pPr>
            <w:r>
              <w:t xml:space="preserve">1852</w:t>
            </w:r>
          </w:p>
        </w:tc>
        <w:tc>
          <w:tcPr/>
          <w:p>
            <w:pPr>
              <w:pStyle w:val="Compact"/>
              <w:jc w:val="right"/>
            </w:pPr>
            <w:r>
              <w:t xml:space="preserve">2865</w:t>
            </w:r>
          </w:p>
        </w:tc>
        <w:tc>
          <w:tcPr/>
          <w:p>
            <w:pPr>
              <w:pStyle w:val="Compact"/>
              <w:jc w:val="center"/>
            </w:pPr>
            <w:r>
              <w:t xml:space="preserve">+363%</w:t>
            </w:r>
          </w:p>
        </w:tc>
      </w:tr>
      <w:tr>
        <w:tc>
          <w:tcPr/>
          <w:p>
            <w:pPr>
              <w:pStyle w:val="Compact"/>
              <w:jc w:val="left"/>
            </w:pPr>
            <w:r>
              <w:t xml:space="preserve">Sans engrais chimique</w:t>
            </w:r>
          </w:p>
        </w:tc>
        <w:tc>
          <w:tcPr/>
          <w:p>
            <w:pPr>
              <w:pStyle w:val="Compact"/>
              <w:jc w:val="right"/>
            </w:pPr>
            <w:r>
              <w:t xml:space="preserve">1365</w:t>
            </w:r>
          </w:p>
        </w:tc>
        <w:tc>
          <w:tcPr/>
          <w:p>
            <w:pPr>
              <w:pStyle w:val="Compact"/>
              <w:jc w:val="right"/>
            </w:pPr>
            <w:r>
              <w:t xml:space="preserve">400</w:t>
            </w:r>
          </w:p>
        </w:tc>
        <w:tc>
          <w:tcPr/>
          <w:p>
            <w:pPr>
              <w:pStyle w:val="Compact"/>
              <w:jc w:val="right"/>
            </w:pPr>
            <w:r>
              <w:t xml:space="preserve">1597</w:t>
            </w:r>
          </w:p>
        </w:tc>
        <w:tc>
          <w:tcPr/>
          <w:p>
            <w:pPr>
              <w:pStyle w:val="Compact"/>
              <w:jc w:val="center"/>
            </w:pPr>
            <w:r>
              <w:t xml:space="preserve">&lt;U+2014&gt;</w:t>
            </w:r>
          </w:p>
        </w:tc>
      </w:tr>
    </w:tbl>
    <w:p/>
    <w:p>
      <w:pPr>
        <w:pStyle w:val="TableCaption"/>
      </w:pPr>
      <w:r>
        <w:t xml:space="preserve">R&lt;U+00E9&gt;sultats des tests statistiques &lt;U+2014&gt; TP5 Cultures, Intrants et Rendements</w:t>
      </w:r>
    </w:p>
    <w:tbl>
      <w:tblPr>
        <w:tblStyle w:val="Table"/>
        <w:tblW w:type="pct" w:w="5000"/>
        <w:tblLook w:firstRow="1" w:lastRow="0" w:firstColumn="0" w:lastColumn="0" w:noHBand="0" w:noVBand="0" w:val="0020"/>
        <w:jc w:val="start"/>
        <w:tblCaption w:val="R&lt;U+00E9&gt;sultats des tests statistiques &lt;U+2014&gt; TP5 Cultures, Intrants et Rendements"/>
      </w:tblPr>
      <w:tblGrid>
        <w:gridCol w:w="4257"/>
        <w:gridCol w:w="1188"/>
        <w:gridCol w:w="990"/>
        <w:gridCol w:w="1485"/>
      </w:tblGrid>
      <w:tr>
        <w:trPr>
          <w:tblHeader w:val="true"/>
        </w:trPr>
        <w:tc>
          <w:tcPr/>
          <w:p>
            <w:pPr>
              <w:pStyle w:val="Compact"/>
              <w:jc w:val="left"/>
            </w:pPr>
            <w:r>
              <w:t xml:space="preserve">Test</w:t>
            </w:r>
          </w:p>
        </w:tc>
        <w:tc>
          <w:tcPr/>
          <w:p>
            <w:pPr>
              <w:pStyle w:val="Compact"/>
              <w:jc w:val="right"/>
            </w:pPr>
            <w:r>
              <w:t xml:space="preserve">Statistique</w:t>
            </w:r>
          </w:p>
        </w:tc>
        <w:tc>
          <w:tcPr/>
          <w:p>
            <w:pPr>
              <w:pStyle w:val="Compact"/>
              <w:jc w:val="center"/>
            </w:pPr>
            <w:r>
              <w:t xml:space="preserve">p-value</w:t>
            </w:r>
          </w:p>
        </w:tc>
        <w:tc>
          <w:tcPr/>
          <w:p>
            <w:pPr>
              <w:pStyle w:val="Compact"/>
              <w:jc w:val="right"/>
            </w:pPr>
            <w:r>
              <w:t xml:space="preserve">Taille d’effet</w:t>
            </w:r>
          </w:p>
        </w:tc>
      </w:tr>
      <w:tr>
        <w:tc>
          <w:tcPr/>
          <w:p>
            <w:pPr>
              <w:pStyle w:val="Compact"/>
              <w:jc w:val="left"/>
            </w:pPr>
            <w:r>
              <w:t xml:space="preserve">Wilcoxon div. culturale (Rural vs Urbain)</w:t>
            </w:r>
          </w:p>
        </w:tc>
        <w:tc>
          <w:tcPr/>
          <w:p>
            <w:pPr>
              <w:pStyle w:val="Compact"/>
              <w:jc w:val="right"/>
            </w:pPr>
            <w:r>
              <w:t xml:space="preserve">784210.50</w:t>
            </w:r>
          </w:p>
        </w:tc>
        <w:tc>
          <w:tcPr/>
          <w:p>
            <w:pPr>
              <w:pStyle w:val="Compact"/>
              <w:jc w:val="center"/>
            </w:pPr>
            <w:r>
              <w:t xml:space="preserve">1.55e-13</w:t>
            </w:r>
          </w:p>
        </w:tc>
        <w:tc>
          <w:tcPr/>
          <w:p>
            <w:pPr>
              <w:pStyle w:val="Compact"/>
              <w:jc w:val="right"/>
            </w:pPr>
            <w:r>
              <w:t xml:space="preserve">0.131</w:t>
            </w:r>
          </w:p>
        </w:tc>
      </w:tr>
      <w:tr>
        <w:tc>
          <w:tcPr/>
          <w:p>
            <w:pPr>
              <w:pStyle w:val="Compact"/>
              <w:jc w:val="left"/>
            </w:pPr>
            <w:r>
              <w:t xml:space="preserve">Chi-deux (engrais inorg. ~ milieu)</w:t>
            </w:r>
          </w:p>
        </w:tc>
        <w:tc>
          <w:tcPr/>
          <w:p>
            <w:pPr>
              <w:pStyle w:val="Compact"/>
              <w:jc w:val="right"/>
            </w:pPr>
            <w:r>
              <w:t xml:space="preserve">18.75</w:t>
            </w:r>
          </w:p>
        </w:tc>
        <w:tc>
          <w:tcPr/>
          <w:p>
            <w:pPr>
              <w:pStyle w:val="Compact"/>
              <w:jc w:val="center"/>
            </w:pPr>
            <w:r>
              <w:t xml:space="preserve">8.48e-05</w:t>
            </w:r>
          </w:p>
        </w:tc>
        <w:tc>
          <w:tcPr/>
          <w:p>
            <w:pPr>
              <w:pStyle w:val="Compact"/>
              <w:jc w:val="right"/>
            </w:pPr>
            <w:r>
              <w:t xml:space="preserve">0.048</w:t>
            </w:r>
          </w:p>
        </w:tc>
      </w:tr>
      <w:tr>
        <w:tc>
          <w:tcPr/>
          <w:p>
            <w:pPr>
              <w:pStyle w:val="Compact"/>
              <w:jc w:val="left"/>
            </w:pPr>
            <w:r>
              <w:t xml:space="preserve">Wilcoxon rendement ma</w:t>
            </w:r>
            <w:r>
              <w:t xml:space="preserve">s (engrais vs sans)</w:t>
            </w:r>
          </w:p>
        </w:tc>
        <w:tc>
          <w:tcPr/>
          <w:p>
            <w:pPr>
              <w:pStyle w:val="Compact"/>
              <w:jc w:val="right"/>
            </w:pPr>
            <w:r>
              <w:t xml:space="preserve">1011173.00</w:t>
            </w:r>
          </w:p>
        </w:tc>
        <w:tc>
          <w:tcPr/>
          <w:p>
            <w:pPr>
              <w:pStyle w:val="Compact"/>
              <w:jc w:val="center"/>
            </w:pPr>
            <w:r>
              <w:t xml:space="preserve">&lt;2e-16</w:t>
            </w:r>
          </w:p>
        </w:tc>
        <w:tc>
          <w:tcPr/>
          <w:p>
            <w:pPr>
              <w:pStyle w:val="Compact"/>
              <w:jc w:val="right"/>
            </w:pPr>
            <w:r>
              <w:t xml:space="preserve">0.339</w:t>
            </w:r>
          </w:p>
        </w:tc>
      </w:tr>
    </w:tbl>
    <w:p>
      <w:pPr>
        <w:pStyle w:val="CaptionedFigure"/>
      </w:pPr>
      <w:r>
        <w:drawing>
          <wp:inline>
            <wp:extent cx="5334000" cy="3467100"/>
            <wp:effectExtent b="0" l="0" r="0" t="0"/>
            <wp:docPr descr="Effet de l’engrais chimique sur le rendement du ma&lt;U+00EF&gt;s (+363% m&lt;U+00E9&gt;dian)" title="" id="53" name="Picture"/>
            <a:graphic>
              <a:graphicData uri="http://schemas.openxmlformats.org/drawingml/2006/picture">
                <pic:pic>
                  <pic:nvPicPr>
                    <pic:cNvPr descr="../outputs/fig08_engrais_rendements_mais.png" id="54" name="Picture"/>
                    <pic:cNvPicPr>
                      <a:picLocks noChangeArrowheads="1" noChangeAspect="1"/>
                    </pic:cNvPicPr>
                  </pic:nvPicPr>
                  <pic:blipFill>
                    <a:blip r:embed="rId52"/>
                    <a:stretch>
                      <a:fillRect/>
                    </a:stretch>
                  </pic:blipFill>
                  <pic:spPr bwMode="auto">
                    <a:xfrm>
                      <a:off x="0" y="0"/>
                      <a:ext cx="5334000" cy="3467100"/>
                    </a:xfrm>
                    <a:prstGeom prst="rect">
                      <a:avLst/>
                    </a:prstGeom>
                    <a:noFill/>
                    <a:ln w="9525">
                      <a:noFill/>
                      <a:headEnd/>
                      <a:tailEnd/>
                    </a:ln>
                  </pic:spPr>
                </pic:pic>
              </a:graphicData>
            </a:graphic>
          </wp:inline>
        </w:drawing>
      </w:r>
    </w:p>
    <w:p>
      <w:pPr>
        <w:pStyle w:val="ImageCaption"/>
      </w:pPr>
      <w:r>
        <w:t xml:space="preserve">Effet de l’engrais chimique sur le rendement du ma&lt;U+00EF&gt;s (+363% m&lt;U+00E9&gt;dian)</w:t>
      </w:r>
    </w:p>
    <w:p>
      <w:pPr>
        <w:pStyle w:val="BodyText"/>
      </w:pPr>
      <w:r>
        <w:t xml:space="preserve">L’utilisation d’engrais chimique est associée à un rendement médian</w:t>
      </w:r>
      <w:r>
        <w:t xml:space="preserve"> </w:t>
      </w:r>
      <w:r>
        <w:rPr>
          <w:bCs/>
          <w:b/>
        </w:rPr>
        <w:t xml:space="preserve">4,6 fois supérieur</w:t>
      </w:r>
      <w:r>
        <w:t xml:space="preserve"> </w:t>
      </w:r>
      <w:r>
        <w:t xml:space="preserve">pour le maïs (1 852 vs 400 kg/ha). Ce résultat est statistiquement très robuste (Wilcoxon p&lt;0,001 ; r=0,339 — taille d’effet modérée à forte).</w:t>
      </w:r>
    </w:p>
    <w:p>
      <w:pPr>
        <w:pStyle w:val="BodyText"/>
      </w:pPr>
      <w:r>
        <w:rPr>
          <w:bCs/>
          <w:b/>
        </w:rPr>
        <w:t xml:space="preserve">Mise en garde méthodologique :</w:t>
      </w:r>
      <w:r>
        <w:t xml:space="preserve"> </w:t>
      </w:r>
      <w:r>
        <w:t xml:space="preserve">la relation observée est une association, non une causalité établie. Les ménages utilisant des engrais peuvent avoir d’autres caractéristiques favorables (meilleur accès aux marchés, semences améliorées, expérience agricole plus longue). Des méthodes quasi-expérimentales permettraient d’isoler l’effet propre de la fertilisation.</w:t>
      </w:r>
    </w:p>
    <w:p>
      <w:r>
        <w:pict>
          <v:rect style="width:0;height:1.5pt" o:hralign="center" o:hrstd="t" o:hr="t"/>
        </w:pict>
      </w:r>
    </w:p>
    <w:bookmarkEnd w:id="55"/>
    <w:bookmarkEnd w:id="56"/>
    <w:bookmarkStart w:id="60" w:name="tableau-de-bord-récapitulatif"/>
    <w:p>
      <w:pPr>
        <w:pStyle w:val="Heading1"/>
      </w:pPr>
      <w:r>
        <w:rPr>
          <w:rStyle w:val="SectionNumber"/>
        </w:rPr>
        <w:t xml:space="preserve">8</w:t>
      </w:r>
      <w:r>
        <w:tab/>
      </w:r>
      <w:r>
        <w:t xml:space="preserve">Tableau de bord récapitulatif</w:t>
      </w:r>
    </w:p>
    <w:p>
      <w:pPr>
        <w:pStyle w:val="CaptionedFigure"/>
      </w:pPr>
      <w:r>
        <w:drawing>
          <wp:inline>
            <wp:extent cx="5334000" cy="2667000"/>
            <wp:effectExtent b="0" l="0" r="0" t="0"/>
            <wp:docPr descr="Tableau de bord &lt;U+2014&gt; Cultures, Intrants et Rendements Agricoles du Nigeria" title="" id="58" name="Picture"/>
            <a:graphic>
              <a:graphicData uri="http://schemas.openxmlformats.org/drawingml/2006/picture">
                <pic:pic>
                  <pic:nvPicPr>
                    <pic:cNvPr descr="../outputs/fig10_dashboard_cultures.png" id="59" name="Picture"/>
                    <pic:cNvPicPr>
                      <a:picLocks noChangeArrowheads="1" noChangeAspect="1"/>
                    </pic:cNvPicPr>
                  </pic:nvPicPr>
                  <pic:blipFill>
                    <a:blip r:embed="rId57"/>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Tableau de bord &lt;U+2014&gt; Cultures, Intrants et Rendements Agricoles du Nigeria</w:t>
      </w:r>
    </w:p>
    <w:p>
      <w:r>
        <w:pict>
          <v:rect style="width:0;height:1.5pt" o:hralign="center" o:hrstd="t" o:hr="t"/>
        </w:pict>
      </w:r>
    </w:p>
    <w:bookmarkEnd w:id="60"/>
    <w:bookmarkStart w:id="61" w:name="conclusion"/>
    <w:p>
      <w:pPr>
        <w:pStyle w:val="Heading1"/>
      </w:pPr>
      <w:r>
        <w:rPr>
          <w:rStyle w:val="SectionNumber"/>
        </w:rPr>
        <w:t xml:space="preserve">9</w:t>
      </w:r>
      <w:r>
        <w:tab/>
      </w:r>
      <w:r>
        <w:t xml:space="preserve">Conclusion</w:t>
      </w:r>
    </w:p>
    <w:p>
      <w:pPr>
        <w:pStyle w:val="FirstParagraph"/>
      </w:pPr>
      <w:r>
        <w:t xml:space="preserve">Cette analyse des systèmes de culture, des intrants et des rendements agricoles du GHS W4 dégage quatre enseignements principaux pour la politique agricole nigériane :</w:t>
      </w:r>
    </w:p>
    <w:p>
      <w:pPr>
        <w:pStyle w:val="BodyText"/>
      </w:pPr>
      <w:r>
        <w:rPr>
          <w:bCs/>
          <w:b/>
        </w:rPr>
        <w:t xml:space="preserve">1. Diversité cultivée et sous-intensification.</w:t>
      </w:r>
      <w:r>
        <w:t xml:space="preserve"> </w:t>
      </w:r>
      <w:r>
        <w:t xml:space="preserve">L’agriculture nigériane présente une richesse variétale remarquable (46 cultures identifiées), dominée par les céréales et tubercules. Mais cette diversité coexiste avec une sous-utilisation persistante des intrants productivité-améliorants.</w:t>
      </w:r>
    </w:p>
    <w:p>
      <w:pPr>
        <w:pStyle w:val="BodyText"/>
      </w:pPr>
      <w:r>
        <w:rPr>
          <w:bCs/>
          <w:b/>
        </w:rPr>
        <w:t xml:space="preserve">2. Gap technologique d’intrants.</w:t>
      </w:r>
      <w:r>
        <w:t xml:space="preserve"> </w:t>
      </w:r>
      <w:r>
        <w:t xml:space="preserve">Avec seulement 33,6% des parcelles recevant des engrais inorganiques, l’écart entre pratiques réelles et potentiels agronomiques reste immense. Les contraintes d’accès (coût, distance, information) sont les principaux freins à combler.</w:t>
      </w:r>
    </w:p>
    <w:p>
      <w:pPr>
        <w:pStyle w:val="BodyText"/>
      </w:pPr>
      <w:r>
        <w:rPr>
          <w:bCs/>
          <w:b/>
        </w:rPr>
        <w:t xml:space="preserve">3. Rentabilité prouvée de la fertilisation.</w:t>
      </w:r>
      <w:r>
        <w:t xml:space="preserve"> </w:t>
      </w:r>
      <w:r>
        <w:t xml:space="preserve">Le gain médian de +363% de rendement maïs avec engrais chimique constitue un argument fort pour des politiques de subvention ciblée des fertilisants, accompagnées de conseil agronomique afin d’optimiser doses et calendriers.</w:t>
      </w:r>
    </w:p>
    <w:p>
      <w:pPr>
        <w:pStyle w:val="BodyText"/>
      </w:pPr>
      <w:r>
        <w:rPr>
          <w:bCs/>
          <w:b/>
        </w:rPr>
        <w:t xml:space="preserve">4. Priorités d’investissement.</w:t>
      </w:r>
      <w:r>
        <w:t xml:space="preserve"> </w:t>
      </w:r>
      <w:r>
        <w:t xml:space="preserve">Les interventions les plus prometteuses combinent : (i) approvisionnement rural en intrants de qualité ; (ii) extension agricole de proximité ; (iii) recherche variétale adaptée aux conditions locales ; (iv) mécanisation pour réduire les coûts et valoriser les terres sous-exploitées.</w:t>
      </w:r>
    </w:p>
    <w:p>
      <w:r>
        <w:pict>
          <v:rect style="width:0;height:1.5pt" o:hralign="center" o:hrstd="t" o:hr="t"/>
        </w:pict>
      </w:r>
    </w:p>
    <w:p>
      <w:pPr>
        <w:pStyle w:val="FirstParagraph"/>
      </w:pPr>
      <w:r>
        <w:rPr>
          <w:iCs/>
          <w:i/>
        </w:rPr>
        <w:t xml:space="preserve">Rapport TP5 — ENSAE ISE1 | 2025-2026</w:t>
      </w:r>
      <w:r>
        <w:br/>
      </w:r>
      <w:r>
        <w:rPr>
          <w:iCs/>
          <w:i/>
        </w:rPr>
        <w:t xml:space="preserve">Données : Nigeria GHS Panel W4 (2018-2019) — World Bank LSMS-ISA</w:t>
      </w:r>
      <w:r>
        <w:br/>
      </w:r>
      <w:r>
        <w:rPr>
          <w:iCs/>
          <w:i/>
        </w:rPr>
        <w:t xml:space="preserve">Outils : R R version 4.3.3 (2024-02-29) | rmarkdown, haven, dplyr, ggplot2</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2" Target="media/rId52.png" /><Relationship Type="http://schemas.openxmlformats.org/officeDocument/2006/relationships/image" Id="rId32" Target="media/rId32.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Cultures, Intrants et Rendements Agricoles au Nigeria</dc:title>
  <dc:creator>Étudiant ENSAE ISE1</dc:creator>
  <cp:keywords/>
  <dcterms:created xsi:type="dcterms:W3CDTF">2026-04-08T12:41:40Z</dcterms:created>
  <dcterms:modified xsi:type="dcterms:W3CDTF">2026-04-08T12:41:40Z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08 April 2026</vt:lpwstr>
  </property>
  <property fmtid="{D5CDD505-2E9C-101B-9397-08002B2CF9AE}" pid="3" name="output">
    <vt:lpwstr/>
  </property>
  <property fmtid="{D5CDD505-2E9C-101B-9397-08002B2CF9AE}" pid="4" name="subtitle">
    <vt:lpwstr>GHS Panel Wave 4 (2018-2019) | ENSAE ISE1 | 2025-2026</vt:lpwstr>
  </property>
</Properties>
</file>