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jpg" ContentType="image/jpeg"/>
  <Override PartName="/word/media/rId20.png" ContentType="image/png"/>
  <Override PartName="/word/media/rId52.png" ContentType="image/png"/>
  <Override PartName="/word/media/rId48.png" ContentType="image/png"/>
  <Override PartName="/word/media/rId44.png" ContentType="image/png"/>
  <Override PartName="/word/media/rId32.png" ContentType="image/png"/>
  <Override PartName="/word/media/rId40.png" ContentType="image/png"/>
  <Override PartName="/word/media/rId36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Acces</w:t>
      </w:r>
      <w:r>
        <w:t xml:space="preserve"> </w:t>
      </w:r>
      <w:r>
        <w:t xml:space="preserve">aux</w:t>
      </w:r>
      <w:r>
        <w:t xml:space="preserve"> </w:t>
      </w:r>
      <w:r>
        <w:t xml:space="preserve">services</w:t>
      </w:r>
      <w:r>
        <w:t xml:space="preserve"> </w:t>
      </w:r>
      <w:r>
        <w:t xml:space="preserve">de</w:t>
      </w:r>
      <w:r>
        <w:t xml:space="preserve"> </w:t>
      </w:r>
      <w:r>
        <w:t xml:space="preserve">sante</w:t>
      </w:r>
      <w:r>
        <w:t xml:space="preserve"> </w:t>
      </w:r>
      <w:r>
        <w:t xml:space="preserve">et</w:t>
      </w:r>
      <w:r>
        <w:t xml:space="preserve"> </w:t>
      </w:r>
      <w:r>
        <w:t xml:space="preserve">chocs</w:t>
      </w:r>
      <w:r>
        <w:t xml:space="preserve"> </w:t>
      </w:r>
      <w:r>
        <w:t xml:space="preserve">sanitaires</w:t>
      </w:r>
      <w:r>
        <w:t xml:space="preserve"> </w:t>
      </w:r>
      <w:r>
        <w:t xml:space="preserve">des</w:t>
      </w:r>
      <w:r>
        <w:t xml:space="preserve"> </w:t>
      </w:r>
      <w:r>
        <w:t xml:space="preserve">menages</w:t>
      </w:r>
    </w:p>
    <w:p>
      <w:pPr>
        <w:pStyle w:val="Author"/>
      </w:pPr>
      <w:r>
        <w:t xml:space="preserve">RIRADJIM</w:t>
      </w:r>
      <w:r>
        <w:t xml:space="preserve"> </w:t>
      </w:r>
      <w:r>
        <w:t xml:space="preserve">NGARMOUNDOU</w:t>
      </w:r>
      <w:r>
        <w:t xml:space="preserve"> </w:t>
      </w:r>
      <w:r>
        <w:t xml:space="preserve">Tresor</w:t>
      </w:r>
    </w:p>
    <w:p>
      <w:pPr>
        <w:pStyle w:val="Author"/>
      </w:pPr>
      <w:r>
        <w:t xml:space="preserve">GUEBEDIANG</w:t>
      </w:r>
      <w:r>
        <w:t xml:space="preserve"> </w:t>
      </w:r>
      <w:r>
        <w:t xml:space="preserve">A</w:t>
      </w:r>
      <w:r>
        <w:t xml:space="preserve"> </w:t>
      </w:r>
      <w:r>
        <w:t xml:space="preserve">NKEN</w:t>
      </w:r>
      <w:r>
        <w:t xml:space="preserve"> </w:t>
      </w:r>
      <w:r>
        <w:t xml:space="preserve">Kadidja</w:t>
      </w:r>
    </w:p>
    <w:p>
      <w:pPr>
        <w:pStyle w:val="Date"/>
      </w:pPr>
      <w:r>
        <w:t xml:space="preserve">25</w:t>
      </w:r>
      <w:r>
        <w:t xml:space="preserve"> </w:t>
      </w:r>
      <w:r>
        <w:t xml:space="preserve">March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1368402" cy="138758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logo_stru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02" cy="138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ANSD — Agence Nationale de la Statistique et de la Demographie</w:t>
      </w:r>
    </w:p>
    <w:p>
      <w:pPr>
        <w:pStyle w:val="BodyText"/>
      </w:pPr>
      <w:r>
        <w:drawing>
          <wp:inline>
            <wp:extent cx="2540000" cy="254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logo_ecole.jpe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ENSAE — Ecole Nationale de la Statistique et de l’Analyse Economique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Rapport d’analyse statistique ponderee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 aux services de sante et chocs sanitaires des menages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Donnees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 GHS Panel (W4)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Auteurs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RIRADJIM NGARMOUNDOU Tresor ; GUEBEDIANG A NKEN Kadidja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Annee academique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2025–2026</w:t>
            </w:r>
          </w:p>
        </w:tc>
      </w:tr>
    </w:tbl>
    <w:p>
      <w:r>
        <w:br w:type="page"/>
      </w:r>
    </w:p>
    <w:bookmarkStart w:id="26" w:name="resume"/>
    <w:p>
      <w:pPr>
        <w:pStyle w:val="Titre1"/>
      </w:pPr>
      <w:r>
        <w:rPr>
          <w:rStyle w:val="SectionNumber"/>
        </w:rPr>
        <w:t xml:space="preserve">1</w:t>
      </w:r>
      <w:r>
        <w:tab/>
      </w:r>
      <w:r>
        <w:t xml:space="preserve">Resume</w:t>
      </w:r>
    </w:p>
    <w:p>
      <w:pPr>
        <w:pStyle w:val="FirstParagraph"/>
      </w:pPr>
      <w:r>
        <w:t xml:space="preserve">Ce rapport presente une analyse ponderee de l’acces aux services de sante et des depenses</w:t>
      </w:r>
      <w:r>
        <w:t xml:space="preserve"> </w:t>
      </w:r>
      <w:r>
        <w:t xml:space="preserve">de sante des menages nigerians a partir de la vague 4 du Nigeria GHS Panel.</w:t>
      </w:r>
      <w:r>
        <w:t xml:space="preserve"> </w:t>
      </w:r>
      <w:r>
        <w:t xml:space="preserve">L’objectif est de decrire la morbidite declaree, les types de maladies les plus frequents,</w:t>
      </w:r>
      <w:r>
        <w:t xml:space="preserve"> </w:t>
      </w:r>
      <w:r>
        <w:t xml:space="preserve">les prestataires consultes, la distribution des depenses de sante et les inegalites eventuelles</w:t>
      </w:r>
      <w:r>
        <w:t xml:space="preserve"> </w:t>
      </w:r>
      <w:r>
        <w:t xml:space="preserve">selon le milieu de residence ou le niveau de vie.</w:t>
      </w:r>
    </w:p>
    <w:p>
      <w:pPr>
        <w:pStyle w:val="BodyText"/>
      </w:pPr>
      <w:r>
        <w:t xml:space="preserve">La base analytique a ete construite a partir des fichiers individuels, sante et consommation.</w:t>
      </w:r>
      <w:r>
        <w:t xml:space="preserve"> </w:t>
      </w:r>
      <w:r>
        <w:t xml:space="preserve">Les ponderations d’enquete ont ete integrees a partir de la variable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du fichier de</w:t>
      </w:r>
      <w:r>
        <w:t xml:space="preserve"> </w:t>
      </w:r>
      <w:r>
        <w:t xml:space="preserve">consommation agregee. Les resultats sont presentes en logique ponderee, ce qui permet une</w:t>
      </w:r>
      <w:r>
        <w:t xml:space="preserve"> </w:t>
      </w:r>
      <w:r>
        <w:t xml:space="preserve">lecture plus representative de la population etudiee.</w:t>
      </w:r>
    </w:p>
    <w:p>
      <w:r>
        <w:br w:type="page"/>
      </w:r>
    </w:p>
    <w:bookmarkEnd w:id="26"/>
    <w:bookmarkStart w:id="27" w:name="introduction"/>
    <w:p>
      <w:pPr>
        <w:pStyle w:val="Titre1"/>
      </w:pPr>
      <w:r>
        <w:rPr>
          <w:rStyle w:val="SectionNumber"/>
        </w:rPr>
        <w:t xml:space="preserve">2</w:t>
      </w:r>
      <w:r>
        <w:tab/>
      </w:r>
      <w:r>
        <w:t xml:space="preserve">Introduction</w:t>
      </w:r>
    </w:p>
    <w:p>
      <w:pPr>
        <w:pStyle w:val="FirstParagraph"/>
      </w:pPr>
      <w:r>
        <w:t xml:space="preserve">L’acces aux services de sante constitue une dimension centrale du bien-etre des menages.</w:t>
      </w:r>
      <w:r>
        <w:t xml:space="preserve"> </w:t>
      </w:r>
      <w:r>
        <w:t xml:space="preserve">Dans les enquetes menages, son etude necessite une attention particuliere a la structure de</w:t>
      </w:r>
      <w:r>
        <w:t xml:space="preserve"> </w:t>
      </w:r>
      <w:r>
        <w:t xml:space="preserve">l’echantillon et aux ponderations associees. Une analyse non ponderee risquerait de produire</w:t>
      </w:r>
      <w:r>
        <w:t xml:space="preserve"> </w:t>
      </w:r>
      <w:r>
        <w:t xml:space="preserve">des resultats biaises ou peu representatifs.</w:t>
      </w:r>
    </w:p>
    <w:p>
      <w:pPr>
        <w:pStyle w:val="BodyText"/>
      </w:pPr>
      <w:r>
        <w:t xml:space="preserve">Dans ce travail, nous analysons les episodes de maladie declares, les prestataires de soins</w:t>
      </w:r>
      <w:r>
        <w:t xml:space="preserve"> </w:t>
      </w:r>
      <w:r>
        <w:t xml:space="preserve">mobilises, les depenses de sante ainsi que certaines disparites selon le milieu de residence</w:t>
      </w:r>
      <w:r>
        <w:t xml:space="preserve"> </w:t>
      </w:r>
      <w:r>
        <w:t xml:space="preserve">et le niveau de consommation. L’approche retenue vise a produire des resultats descriptifs</w:t>
      </w:r>
      <w:r>
        <w:t xml:space="preserve"> </w:t>
      </w:r>
      <w:r>
        <w:t xml:space="preserve">solides et statistiquement coherents.</w:t>
      </w:r>
    </w:p>
    <w:bookmarkEnd w:id="27"/>
    <w:bookmarkStart w:id="29" w:name="X945ae6be436606ed3b81b52349758abbcaf2448"/>
    <w:p>
      <w:pPr>
        <w:pStyle w:val="Titre1"/>
      </w:pPr>
      <w:r>
        <w:rPr>
          <w:rStyle w:val="SectionNumber"/>
        </w:rPr>
        <w:t xml:space="preserve">3</w:t>
      </w:r>
      <w:r>
        <w:tab/>
      </w:r>
      <w:r>
        <w:t xml:space="preserve">Source des donnees et construction de la base</w:t>
      </w:r>
    </w:p>
    <w:p>
      <w:pPr>
        <w:pStyle w:val="FirstParagraph"/>
      </w:pPr>
      <w:r>
        <w:t xml:space="preserve">Les donnees proviennent du depot GitHub utilise dans le projet. Les archives ont ete</w:t>
      </w:r>
      <w:r>
        <w:t xml:space="preserve"> </w:t>
      </w:r>
      <w:r>
        <w:t xml:space="preserve">telechargees, decompressees puis explorees automatiquement pour identifier les fichiers</w:t>
      </w:r>
      <w:r>
        <w:t xml:space="preserve"> </w:t>
      </w:r>
      <w:r>
        <w:t xml:space="preserve">utiles de la vague 4.</w:t>
      </w:r>
    </w:p>
    <w:p>
      <w:pPr>
        <w:pStyle w:val="BodyText"/>
      </w:pPr>
      <w:r>
        <w:t xml:space="preserve">Trois fichiers ont ete mobilises :</w:t>
      </w:r>
    </w:p>
    <w:p>
      <w:pPr>
        <w:pStyle w:val="Compact"/>
        <w:numPr>
          <w:ilvl w:val="0"/>
          <w:numId w:val="1001"/>
        </w:numPr>
      </w:pPr>
      <w:r>
        <w:t xml:space="preserve">le fichier individuel ;</w:t>
      </w:r>
    </w:p>
    <w:p>
      <w:pPr>
        <w:pStyle w:val="Compact"/>
        <w:numPr>
          <w:ilvl w:val="0"/>
          <w:numId w:val="1001"/>
        </w:numPr>
      </w:pPr>
      <w:r>
        <w:t xml:space="preserve">le fichier sante ;</w:t>
      </w:r>
    </w:p>
    <w:p>
      <w:pPr>
        <w:pStyle w:val="Compact"/>
        <w:numPr>
          <w:ilvl w:val="0"/>
          <w:numId w:val="1001"/>
        </w:numPr>
      </w:pPr>
      <w:r>
        <w:t xml:space="preserve">le fichier de consommation agregee du menage.</w:t>
      </w:r>
    </w:p>
    <w:p>
      <w:pPr>
        <w:pStyle w:val="FirstParagraph"/>
      </w:pPr>
      <w:r>
        <w:t xml:space="preserve">La ponderation retenue dans l’analyse est le poids menage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, extrait de</w:t>
      </w:r>
      <w:r>
        <w:t xml:space="preserve"> </w:t>
      </w:r>
      <w:r>
        <w:rPr>
          <w:rStyle w:val="VerbatimChar"/>
        </w:rPr>
        <w:t xml:space="preserve">totcons_final.dta</w:t>
      </w:r>
      <w:r>
        <w:t xml:space="preserve">. Apres jointure, ce poids est affecte a chaque individu du menage.</w:t>
      </w:r>
    </w:p>
    <w:bookmarkStart w:id="28" w:name="formulation-mathematique-des-jointures"/>
    <w:p>
      <w:pPr>
        <w:pStyle w:val="Titre2"/>
      </w:pPr>
      <w:r>
        <w:rPr>
          <w:rStyle w:val="SectionNumber"/>
        </w:rPr>
        <w:t xml:space="preserve">3.1</w:t>
      </w:r>
      <w:r>
        <w:tab/>
      </w:r>
      <w:r>
        <w:t xml:space="preserve">Formulation mathematique des jointures</w:t>
      </w:r>
    </w:p>
    <w:p>
      <w:pPr>
        <w:pStyle w:val="FirstParagraph"/>
      </w:pPr>
      <w:r>
        <w:t xml:space="preserve">Soient 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</m:oMath>
      <w:r>
        <w:t xml:space="preserve"> </w:t>
      </w:r>
      <w:r>
        <w:t xml:space="preserve">: la table des individus ;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: la table sante ;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t xml:space="preserve"> </w:t>
      </w:r>
      <w:r>
        <w:t xml:space="preserve">: la table consommation du menage.</w:t>
      </w:r>
    </w:p>
    <w:p>
      <w:pPr>
        <w:pStyle w:val="FirstParagraph"/>
      </w:pPr>
      <w:r>
        <w:t xml:space="preserve">La base analytique finale est definie par 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limUpp>
                <m:e>
                  <m:sSub>
                    <m:e>
                      <m:r>
                        <m:rPr>
                          <m:sty m:val="p"/>
                        </m:rPr>
                        <m:t>⋈</m:t>
                      </m:r>
                    </m:e>
                    <m:sub>
                      <m:r>
                        <m:t>L</m:t>
                      </m:r>
                    </m:sub>
                  </m:sSub>
                </m:e>
                <m:li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  <m:r>
                        <m:t>h</m:t>
                      </m:r>
                      <m:r>
                        <m:t>i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d</m:t>
                      </m:r>
                      <m:r>
                        <m:t>i</m:t>
                      </m:r>
                      <m:r>
                        <m:t>v</m:t>
                      </m:r>
                    </m:e>
                  </m:d>
                </m:lim>
              </m:limUpp>
              <m:r>
                <m:t>I</m:t>
              </m:r>
            </m:e>
          </m:d>
          <m:limUpp>
            <m:e>
              <m:sSub>
                <m:e>
                  <m:r>
                    <m:rPr>
                      <m:sty m:val="p"/>
                    </m:rPr>
                    <m:t>⋈</m:t>
                  </m:r>
                </m:e>
                <m:sub>
                  <m:r>
                    <m:t>L</m:t>
                  </m:r>
                </m:sub>
              </m:sSub>
            </m:e>
            <m:lim>
              <m:r>
                <m:t>h</m:t>
              </m:r>
              <m:r>
                <m:t>h</m:t>
              </m:r>
              <m:r>
                <m:t>i</m:t>
              </m:r>
              <m:r>
                <m:t>d</m:t>
              </m:r>
            </m:lim>
          </m:limUpp>
          <m:r>
            <m:t>C</m:t>
          </m:r>
        </m:oMath>
      </m:oMathPara>
    </w:p>
    <w:p>
      <w:pPr>
        <w:pStyle w:val="FirstParagraph"/>
      </w:pPr>
      <w:r>
        <w:t xml:space="preserve">ou la jointure entre sante et individus se fait par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t>h</m:t>
            </m:r>
            <m:r>
              <m:t>i</m:t>
            </m:r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  <m:r>
              <m:t>d</m:t>
            </m:r>
            <m:r>
              <m:t>i</m:t>
            </m:r>
            <m:r>
              <m:t>v</m:t>
            </m:r>
          </m:e>
        </m:d>
      </m:oMath>
      <w:r>
        <w:t xml:space="preserve">, puis la jointure</w:t>
      </w:r>
      <w:r>
        <w:t xml:space="preserve"> </w:t>
      </w:r>
      <w:r>
        <w:t xml:space="preserve">avec la consommation par</w:t>
      </w:r>
      <w:r>
        <w:t xml:space="preserve"> </w:t>
      </w:r>
      <m:oMath>
        <m:r>
          <m:t>h</m:t>
        </m:r>
        <m:r>
          <m:t>h</m:t>
        </m:r>
        <m:r>
          <m:t>i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Pour chaque individu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du menage</w:t>
      </w:r>
      <w:r>
        <w:t xml:space="preserve"> </w:t>
      </w:r>
      <m:oMath>
        <m:r>
          <m:t>h</m:t>
        </m:r>
      </m:oMath>
      <w:r>
        <w:t xml:space="preserve">, le poids utilise dans l’analyse est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h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t> </m:t>
          </m:r>
          <m:r>
            <m:rPr>
              <m:nor/>
              <m:sty m:val="p"/>
            </m:rPr>
            <m:t>avec</m:t>
          </m:r>
          <m:r>
            <m:t> 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t</m:t>
          </m:r>
          <m:r>
            <m:rPr>
              <m:sty m:val="p"/>
            </m:rPr>
            <m:t>_</m:t>
          </m:r>
          <m:r>
            <m:t>w</m:t>
          </m:r>
          <m:r>
            <m:t>a</m:t>
          </m:r>
          <m:r>
            <m:t>v</m:t>
          </m:r>
          <m:r>
            <m:t>e</m:t>
          </m:r>
          <m:sSub>
            <m:e>
              <m:r>
                <m:t>4</m:t>
              </m:r>
            </m:e>
            <m:sub>
              <m:r>
                <m:t>h</m:t>
              </m:r>
            </m:sub>
          </m:sSub>
        </m:oMath>
      </m:oMathPara>
    </w:p>
    <w:bookmarkEnd w:id="28"/>
    <w:bookmarkEnd w:id="29"/>
    <w:bookmarkStart w:id="30" w:name="methodologie"/>
    <w:p>
      <w:pPr>
        <w:pStyle w:val="Titre1"/>
      </w:pPr>
      <w:r>
        <w:rPr>
          <w:rStyle w:val="SectionNumber"/>
        </w:rPr>
        <w:t xml:space="preserve">4</w:t>
      </w:r>
      <w:r>
        <w:tab/>
      </w:r>
      <w:r>
        <w:t xml:space="preserve">Methodologie</w:t>
      </w:r>
    </w:p>
    <w:p>
      <w:pPr>
        <w:pStyle w:val="FirstParagraph"/>
      </w:pPr>
      <w:r>
        <w:t xml:space="preserve">Les analyses ont ete conduites dans une logique ponderee. Cette approche permet d’estimer</w:t>
      </w:r>
      <w:r>
        <w:t xml:space="preserve"> </w:t>
      </w:r>
      <w:r>
        <w:t xml:space="preserve">des proportions, effectifs et statistiques descriptives plus representatifs de la population etudiee.</w:t>
      </w:r>
    </w:p>
    <w:p>
      <w:pPr>
        <w:pStyle w:val="BodyText"/>
      </w:pPr>
      <w:r>
        <w:t xml:space="preserve">Les resultats comprennent :</w:t>
      </w:r>
    </w:p>
    <w:p>
      <w:pPr>
        <w:pStyle w:val="Compact"/>
        <w:numPr>
          <w:ilvl w:val="0"/>
          <w:numId w:val="1003"/>
        </w:numPr>
      </w:pPr>
      <w:r>
        <w:t xml:space="preserve">la morbidite selon le sexe et l’age ;</w:t>
      </w:r>
    </w:p>
    <w:p>
      <w:pPr>
        <w:pStyle w:val="Compact"/>
        <w:numPr>
          <w:ilvl w:val="0"/>
          <w:numId w:val="1003"/>
        </w:numPr>
      </w:pPr>
      <w:r>
        <w:t xml:space="preserve">les 10 maladies les plus frequentes ;</w:t>
      </w:r>
    </w:p>
    <w:p>
      <w:pPr>
        <w:pStyle w:val="Compact"/>
        <w:numPr>
          <w:ilvl w:val="0"/>
          <w:numId w:val="1003"/>
        </w:numPr>
      </w:pPr>
      <w:r>
        <w:t xml:space="preserve">les prestataires consultes ;</w:t>
      </w:r>
    </w:p>
    <w:p>
      <w:pPr>
        <w:pStyle w:val="Compact"/>
        <w:numPr>
          <w:ilvl w:val="0"/>
          <w:numId w:val="1003"/>
        </w:numPr>
      </w:pPr>
      <w:r>
        <w:t xml:space="preserve">la distribution des depenses de sante ;</w:t>
      </w:r>
    </w:p>
    <w:p>
      <w:pPr>
        <w:pStyle w:val="Compact"/>
        <w:numPr>
          <w:ilvl w:val="0"/>
          <w:numId w:val="1003"/>
        </w:numPr>
      </w:pPr>
      <w:r>
        <w:t xml:space="preserve">le lien entre consultation et quintile de consommation ;</w:t>
      </w:r>
    </w:p>
    <w:p>
      <w:pPr>
        <w:pStyle w:val="Compact"/>
        <w:numPr>
          <w:ilvl w:val="0"/>
          <w:numId w:val="1003"/>
        </w:numPr>
      </w:pPr>
      <w:r>
        <w:t xml:space="preserve">la comparaison des depenses selon le milieu urbain ou rural.</w:t>
      </w:r>
    </w:p>
    <w:p>
      <w:pPr>
        <w:pStyle w:val="FirstParagraph"/>
      </w:pPr>
      <w:r>
        <w:t xml:space="preserve">Lorsque cela est possible, les tests utilises sont coherents avec la logique des enquetes complexes.</w:t>
      </w:r>
    </w:p>
    <w:bookmarkEnd w:id="30"/>
    <w:bookmarkStart w:id="31" w:name="description-de-la-base-analytique"/>
    <w:p>
      <w:pPr>
        <w:pStyle w:val="Titre1"/>
      </w:pPr>
      <w:r>
        <w:rPr>
          <w:rStyle w:val="SectionNumber"/>
        </w:rPr>
        <w:t xml:space="preserve">5</w:t>
      </w:r>
      <w:r>
        <w:tab/>
      </w:r>
      <w:r>
        <w:t xml:space="preserve">Description de la base analytique</w:t>
      </w:r>
    </w:p>
    <w:p>
      <w:pPr>
        <w:pStyle w:val="TableCaption"/>
      </w:pPr>
      <w:r>
        <w:t xml:space="preserve">Effectifs par analyse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ffectifs par analyse"/>
      </w:tblPr>
      <w:tblGrid>
        <w:gridCol w:w="5170"/>
        <w:gridCol w:w="143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n_utilisable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somme_poids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149016938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Morbidité (malade + sexe + âge_groupe + poids)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124753404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 de maladies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35062322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Prestataires consultés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35062322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Dépenses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46736001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Dépenses par 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46736001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x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149016938</w:t>
            </w:r>
          </w:p>
        </w:tc>
      </w:tr>
    </w:tbl>
    <w:p/>
    <w:p>
      <w:pPr>
        <w:pStyle w:val="TableCaption"/>
      </w:pPr>
      <w:r>
        <w:t xml:space="preserve">Resume des valeurs manquantes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e des valeurs manquante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n_non_missing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prestataire_2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dep_hospit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type_maladie_2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dep_transport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lieu_consult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dep_consult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type_maladie_1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prestataire_1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dep_medic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dep_sante_totale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consommation_pc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poids_menage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ea_cons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zone_cons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milieu_cons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quintile_conso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milieu_health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ea_indiv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zone_indiv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26556</w:t>
            </w:r>
          </w:p>
        </w:tc>
      </w:tr>
    </w:tbl>
    <w:bookmarkEnd w:id="31"/>
    <w:bookmarkStart w:id="64" w:name="resultats"/>
    <w:p>
      <w:pPr>
        <w:pStyle w:val="Titre1"/>
      </w:pPr>
      <w:r>
        <w:rPr>
          <w:rStyle w:val="SectionNumber"/>
        </w:rPr>
        <w:t xml:space="preserve">6</w:t>
      </w:r>
      <w:r>
        <w:tab/>
      </w:r>
      <w:r>
        <w:t xml:space="preserve">Resultats</w:t>
      </w:r>
    </w:p>
    <w:bookmarkStart w:id="35" w:name="X1e006a4262ee63470c1c8bc48dcf131a3395fb8"/>
    <w:p>
      <w:pPr>
        <w:pStyle w:val="Titre2"/>
      </w:pPr>
      <w:r>
        <w:rPr>
          <w:rStyle w:val="SectionNumber"/>
        </w:rPr>
        <w:t xml:space="preserve">6.1</w:t>
      </w:r>
      <w:r>
        <w:tab/>
      </w:r>
      <w:r>
        <w:t xml:space="preserve">Morbidite selon le sexe et le groupe d’age</w:t>
      </w:r>
    </w:p>
    <w:p>
      <w:pPr>
        <w:pStyle w:val="FirstParagraph"/>
      </w:pPr>
      <w:r>
        <w:t xml:space="preserve">La morbidite correspond ici a la part des individus ayant declare une maladie ou une blessure.</w:t>
      </w:r>
      <w:r>
        <w:t xml:space="preserve"> </w:t>
      </w:r>
      <w:r>
        <w:t xml:space="preserve">Le tableau suivant presente cette proportion selon le sexe et le groupe d’age.</w:t>
      </w:r>
    </w:p>
    <w:p>
      <w:pPr>
        <w:pStyle w:val="TableCaption"/>
      </w:pPr>
      <w:r>
        <w:t xml:space="preserve">Morbidite selon le sexe et le groupe d’age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rbidite selon le sexe et le groupe d’ag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0.1031868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0.0110524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0.0815244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0.1248491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0.1321806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0.0162327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0.1639962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0.0582067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0.0463702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0.0700432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0.0391749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0.0780611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0.0823571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0.0095635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0.1011013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0.0537826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0.0069738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0.0401141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0.0674511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0.0959705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0.0792634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0.1126776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0.0796231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0.0084835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0.0962504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0.1340464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0.0127028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0.1589434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0.1147967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0.0125132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0.0902713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0.1393222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0.2560641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0.1916304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0.3204979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0.1977787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0.0245899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0.1495834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0.2459741</w:t>
            </w:r>
          </w:p>
        </w:tc>
      </w:tr>
    </w:tbl>
    <w:p>
      <w:pPr>
        <w:pStyle w:val="CaptionedFigure"/>
      </w:pPr>
      <w:r>
        <w:drawing>
          <wp:inline>
            <wp:extent cx="5753100" cy="3661063"/>
            <wp:effectExtent b="0" l="0" r="0" t="0"/>
            <wp:docPr descr="Morbidite selon le sexe et le groupe d’age" title="" id="33" name="Picture"/>
            <a:graphic>
              <a:graphicData uri="http://schemas.openxmlformats.org/drawingml/2006/picture">
                <pic:pic>
                  <pic:nvPicPr>
                    <pic:cNvPr descr="../output/figures/fig_morbidite_sexe_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61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Morbidite selon le sexe et le groupe d’age</w:t>
      </w:r>
    </w:p>
    <w:bookmarkEnd w:id="35"/>
    <w:bookmarkStart w:id="39" w:name="top-10-des-maladies-declarees"/>
    <w:p>
      <w:pPr>
        <w:pStyle w:val="Titre2"/>
      </w:pPr>
      <w:r>
        <w:rPr>
          <w:rStyle w:val="SectionNumber"/>
        </w:rPr>
        <w:t xml:space="preserve">6.2</w:t>
      </w:r>
      <w:r>
        <w:tab/>
      </w:r>
      <w:r>
        <w:t xml:space="preserve">Top 10 des maladies declarees</w:t>
      </w:r>
    </w:p>
    <w:p>
      <w:pPr>
        <w:pStyle w:val="FirstParagraph"/>
      </w:pPr>
      <w:r>
        <w:t xml:space="preserve">Cette section presente les maladies les plus frequemment declarees dans l’echantillon pondere.</w:t>
      </w:r>
    </w:p>
    <w:p>
      <w:pPr>
        <w:pStyle w:val="TableCaption"/>
      </w:pPr>
      <w:r>
        <w:t xml:space="preserve">Top 10 des maladies declarees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10 des maladies declare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maladie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effectif_pondere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Paludisme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14431833.5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Douleurs corporelles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7998947.4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 de 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4394990.4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4347849.1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Rhume / catarrhe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4279620.7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2448480.8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Typhoïde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1883967.1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Ulcère / douleur d’estomac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1690696.1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1102160.4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871359.5</w:t>
            </w:r>
          </w:p>
        </w:tc>
      </w:tr>
    </w:tbl>
    <w:p>
      <w:pPr>
        <w:pStyle w:val="CaptionedFigure"/>
      </w:pPr>
      <w:r>
        <w:drawing>
          <wp:inline>
            <wp:extent cx="5753100" cy="3835400"/>
            <wp:effectExtent b="0" l="0" r="0" t="0"/>
            <wp:docPr descr="Top 10 des maladies declarees" title="" id="37" name="Picture"/>
            <a:graphic>
              <a:graphicData uri="http://schemas.openxmlformats.org/drawingml/2006/picture">
                <pic:pic>
                  <pic:nvPicPr>
                    <pic:cNvPr descr="../output/figures/fig_top10_maladi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10 des maladies declarees</w:t>
      </w:r>
    </w:p>
    <w:bookmarkEnd w:id="39"/>
    <w:bookmarkStart w:id="43" w:name="prestataires-consultes"/>
    <w:p>
      <w:pPr>
        <w:pStyle w:val="Titre2"/>
      </w:pPr>
      <w:r>
        <w:rPr>
          <w:rStyle w:val="SectionNumber"/>
        </w:rPr>
        <w:t xml:space="preserve">6.3</w:t>
      </w:r>
      <w:r>
        <w:tab/>
      </w:r>
      <w:r>
        <w:t xml:space="preserve">Prestataires consultes</w:t>
      </w:r>
    </w:p>
    <w:p>
      <w:pPr>
        <w:pStyle w:val="FirstParagraph"/>
      </w:pPr>
      <w:r>
        <w:t xml:space="preserve">Les prestataires consultes permettent de decrire les formes principales de recours aux soins.</w:t>
      </w:r>
    </w:p>
    <w:p>
      <w:pPr>
        <w:pStyle w:val="TableCaption"/>
      </w:pPr>
      <w:r>
        <w:t xml:space="preserve">Prestataires consultes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stataires consult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prestataire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effectif_pondere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Pharmacie / dépôt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15634986.524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Médecin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6901009.129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4517725.235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Infirmier(ère)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2315835.402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1520537.220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Tradipraticien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1387022.581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 médical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821288.385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de santé communautaire (CHEW)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776708.470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 de médicaments (PMV)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517761.218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de santé communautaire 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419967.293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Sage-femme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133127.986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71856.630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Soignant spirituel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30293.596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12171.541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Accoucheuse traditionnelle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2030.835</w:t>
            </w:r>
          </w:p>
        </w:tc>
      </w:tr>
    </w:tbl>
    <w:p>
      <w:pPr>
        <w:pStyle w:val="CaptionedFigure"/>
      </w:pPr>
      <w:r>
        <w:drawing>
          <wp:inline>
            <wp:extent cx="5753100" cy="3835400"/>
            <wp:effectExtent b="0" l="0" r="0" t="0"/>
            <wp:docPr descr="Distribution des prestataires consultes" title="" id="41" name="Picture"/>
            <a:graphic>
              <a:graphicData uri="http://schemas.openxmlformats.org/drawingml/2006/picture">
                <pic:pic>
                  <pic:nvPicPr>
                    <pic:cNvPr descr="../output/figures/fig_prestatair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des prestataires consultes</w:t>
      </w:r>
    </w:p>
    <w:bookmarkEnd w:id="43"/>
    <w:bookmarkStart w:id="47" w:name="distribution-des-depenses-de-sante"/>
    <w:p>
      <w:pPr>
        <w:pStyle w:val="Titre2"/>
      </w:pPr>
      <w:r>
        <w:rPr>
          <w:rStyle w:val="SectionNumber"/>
        </w:rPr>
        <w:t xml:space="preserve">6.4</w:t>
      </w:r>
      <w:r>
        <w:tab/>
      </w:r>
      <w:r>
        <w:t xml:space="preserve">Distribution des depenses de sante</w:t>
      </w:r>
    </w:p>
    <w:p>
      <w:pPr>
        <w:pStyle w:val="FirstParagraph"/>
      </w:pPr>
      <w:r>
        <w:t xml:space="preserve">Les depenses de sante sont generalement tres dispersees.</w:t>
      </w:r>
      <w:r>
        <w:t xml:space="preserve"> </w:t>
      </w:r>
      <w:r>
        <w:t xml:space="preserve">Une visualisation logarithmique permet d’en ameliorer la lecture.</w:t>
      </w:r>
    </w:p>
    <w:p>
      <w:pPr>
        <w:pStyle w:val="TableCaption"/>
      </w:pPr>
      <w:r>
        <w:t xml:space="preserve">Deciles des depenses de sante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ciles des depenses de sante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</w:t>
            </w:r>
          </w:p>
        </w:tc>
      </w:tr>
    </w:tbl>
    <w:p>
      <w:pPr>
        <w:pStyle w:val="CaptionedFigure"/>
      </w:pPr>
      <w:r>
        <w:drawing>
          <wp:inline>
            <wp:extent cx="5753100" cy="3661063"/>
            <wp:effectExtent b="0" l="0" r="0" t="0"/>
            <wp:docPr descr="Distribution des depenses de sante (echelle logarithmique)" title="" id="45" name="Picture"/>
            <a:graphic>
              <a:graphicData uri="http://schemas.openxmlformats.org/drawingml/2006/picture">
                <pic:pic>
                  <pic:nvPicPr>
                    <pic:cNvPr descr="../output/figures/fig_hist_depenses_lo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61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des depenses de sante (echelle logarithmique)</w:t>
      </w:r>
    </w:p>
    <w:p>
      <w:pPr>
        <w:pStyle w:val="TableCaption"/>
      </w:pPr>
      <w:r>
        <w:t xml:space="preserve">Extrait des valeurs aberrantes des depenses (20 premieres observations)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xtrait des valeurs aberrantes des depenses (20 premieres observations)"/>
      </w:tblPr>
      <w:tblGrid>
        <w:gridCol w:w="143"/>
        <w:gridCol w:w="123"/>
        <w:gridCol w:w="205"/>
        <w:gridCol w:w="246"/>
        <w:gridCol w:w="287"/>
        <w:gridCol w:w="185"/>
        <w:gridCol w:w="143"/>
        <w:gridCol w:w="390"/>
        <w:gridCol w:w="473"/>
        <w:gridCol w:w="452"/>
        <w:gridCol w:w="287"/>
        <w:gridCol w:w="617"/>
        <w:gridCol w:w="329"/>
        <w:gridCol w:w="246"/>
        <w:gridCol w:w="287"/>
        <w:gridCol w:w="205"/>
        <w:gridCol w:w="226"/>
        <w:gridCol w:w="349"/>
        <w:gridCol w:w="123"/>
        <w:gridCol w:w="82"/>
        <w:gridCol w:w="226"/>
        <w:gridCol w:w="143"/>
        <w:gridCol w:w="185"/>
        <w:gridCol w:w="226"/>
        <w:gridCol w:w="329"/>
        <w:gridCol w:w="267"/>
        <w:gridCol w:w="164"/>
        <w:gridCol w:w="205"/>
        <w:gridCol w:w="246"/>
        <w:gridCol w:w="308"/>
        <w:gridCol w:w="102"/>
        <w:gridCol w:w="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milieu_health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type_maladie_1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type_maladie_2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lieu_consult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dep_consult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dep_transport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dep_medic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dep_hospit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dep_sante_totale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ea_indiv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zone_indiv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consommation_pc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poids_menage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ea_cons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milieu_cons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quintile_conso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379154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2139103.23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970.9754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MALARIA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1045689.63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832.9466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 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262626.35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2997.7085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706735.63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3287.2539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 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OTHER(SPECIFY)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290082.26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3745.6069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280862.33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1315.0228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329023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 BODY PAINS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OTHER(SPECIFY)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FEDERAL GOVT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350089.04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5700.7007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129190.11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2473.0972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351391.68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1301.5582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 COUGH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205157.25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9337.6035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OTHER(SPECIFY)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TYPHOID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TRADITIONAL HEALER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TRADITIONAL HEALER’S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562420.59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2860.3599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213452.03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6957.1367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 BODY PAINS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MALARIA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310747.12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5379.6255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OTHER(SPECIFY)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649849.05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9077.7705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OTHER(SPECIFY)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TRADITIONAL HEALER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TRADITIONAL HEALER’S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300966.30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2602.4412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 BODY PAINS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TRADITIONAL HEALER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TRADITIONAL HEALER’S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81006.82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1335.1541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FEDERAL GOVT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896530.21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1277.5345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MALARIA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 ULCER/STOMACH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PATIENT’S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338595.44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3215.6870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239124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141271.58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467.0677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379089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YELLOW 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MALARIA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STATE GOVT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144744.30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1277.5345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7"/>
    <w:bookmarkStart w:id="51" w:name="depenses-de-sante-par-prestataire"/>
    <w:p>
      <w:pPr>
        <w:pStyle w:val="Titre2"/>
      </w:pPr>
      <w:r>
        <w:rPr>
          <w:rStyle w:val="SectionNumber"/>
        </w:rPr>
        <w:t xml:space="preserve">6.5</w:t>
      </w:r>
      <w:r>
        <w:tab/>
      </w:r>
      <w:r>
        <w:t xml:space="preserve">Depenses de sante par prestataire</w:t>
      </w:r>
    </w:p>
    <w:p>
      <w:pPr>
        <w:pStyle w:val="FirstParagraph"/>
      </w:pPr>
      <w:r>
        <w:t xml:space="preserve">Le boxplot suivant permet de visualiser la dispersion des depenses selon le type de prestataire consulte.</w:t>
      </w:r>
    </w:p>
    <w:p>
      <w:pPr>
        <w:pStyle w:val="CaptionedFigure"/>
      </w:pPr>
      <w:r>
        <w:drawing>
          <wp:inline>
            <wp:extent cx="5753100" cy="3982915"/>
            <wp:effectExtent b="0" l="0" r="0" t="0"/>
            <wp:docPr descr="Depenses de sante selon le prestataire consulte" title="" id="49" name="Picture"/>
            <a:graphic>
              <a:graphicData uri="http://schemas.openxmlformats.org/drawingml/2006/picture">
                <pic:pic>
                  <pic:nvPicPr>
                    <pic:cNvPr descr="../output/figures/fig_boxplot_depenses_prestatair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8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Depenses de sante selon le prestataire consulte</w:t>
      </w:r>
    </w:p>
    <w:bookmarkEnd w:id="51"/>
    <w:bookmarkStart w:id="55" w:name="consultation-et-quintile-de-consommation"/>
    <w:p>
      <w:pPr>
        <w:pStyle w:val="Titre2"/>
      </w:pPr>
      <w:r>
        <w:rPr>
          <w:rStyle w:val="SectionNumber"/>
        </w:rPr>
        <w:t xml:space="preserve">6.6</w:t>
      </w:r>
      <w:r>
        <w:tab/>
      </w:r>
      <w:r>
        <w:t xml:space="preserve">Consultation et quintile de consommation</w:t>
      </w:r>
    </w:p>
    <w:p>
      <w:pPr>
        <w:pStyle w:val="FirstParagraph"/>
      </w:pPr>
      <w:r>
        <w:t xml:space="preserve">L’objectif ici est d’examiner si le recours aux soins varie selon le niveau de consommation du menage.</w:t>
      </w:r>
    </w:p>
    <w:p>
      <w:pPr>
        <w:pStyle w:val="TableCaption"/>
      </w:pPr>
      <w:r>
        <w:t xml:space="preserve">Table de contingence : consultation x quintile de consommation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de contingence : consultation x quintile de consomm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consulte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quintile_conso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effectif_pondere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39749115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5489701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28717778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24087015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5677074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18738043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5364448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11751148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3939282</w:t>
            </w:r>
          </w:p>
        </w:tc>
      </w:tr>
    </w:tbl>
    <w:p/>
    <w:p>
      <w:pPr>
        <w:pStyle w:val="TableCaption"/>
      </w:pPr>
      <w:r>
        <w:t xml:space="preserve">Proportions de consultation par quintile de consommation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portions de consultation par quintile de consomm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consulte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quintile_conso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0.8786506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0.1213494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0.8391831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0.1608169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0.8092643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0.1907357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0.7774318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0.2225682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0.7489373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0.2510627</w:t>
            </w:r>
          </w:p>
        </w:tc>
      </w:tr>
    </w:tbl>
    <w:p>
      <w:pPr>
        <w:pStyle w:val="CaptionedFigure"/>
      </w:pPr>
      <w:r>
        <w:drawing>
          <wp:inline>
            <wp:extent cx="5753100" cy="3739514"/>
            <wp:effectExtent b="0" l="0" r="0" t="0"/>
            <wp:docPr descr="Proportions de consultation selon le quintile de consommation" title="" id="53" name="Picture"/>
            <a:graphic>
              <a:graphicData uri="http://schemas.openxmlformats.org/drawingml/2006/picture">
                <pic:pic>
                  <pic:nvPicPr>
                    <pic:cNvPr descr="../output/figures/fig_barplot100_consultation_quintil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3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Proportions de consultation selon le quintile de consommation</w:t>
      </w:r>
    </w:p>
    <w:p>
      <w:pPr>
        <w:pStyle w:val="BodyText"/>
      </w:pPr>
      <w:r>
        <w:t xml:space="preserve">Le test d’association entre consultation et quintile donne une p-valeur de &lt; 0,001 . On rejette l’hypothese d’independance au seuil de 5 % : association significative.</w:t>
      </w:r>
    </w:p>
    <w:bookmarkEnd w:id="55"/>
    <w:bookmarkStart w:id="59" w:name="X17fb6633b5e527eb2e02e23ca44f81e3a7bdef9"/>
    <w:p>
      <w:pPr>
        <w:pStyle w:val="Titre2"/>
      </w:pPr>
      <w:r>
        <w:rPr>
          <w:rStyle w:val="SectionNumber"/>
        </w:rPr>
        <w:t xml:space="preserve">6.7</w:t>
      </w:r>
      <w:r>
        <w:tab/>
      </w:r>
      <w:r>
        <w:t xml:space="preserve">Depenses de sante selon le quintile de consommation</w:t>
      </w:r>
    </w:p>
    <w:p>
      <w:pPr>
        <w:pStyle w:val="FirstParagraph"/>
      </w:pPr>
      <w:r>
        <w:t xml:space="preserve">Le graphique suivant compare la distribution des depenses de sante selon les quintiles de consommation.</w:t>
      </w:r>
    </w:p>
    <w:p>
      <w:pPr>
        <w:pStyle w:val="CaptionedFigure"/>
      </w:pPr>
      <w:r>
        <w:drawing>
          <wp:inline>
            <wp:extent cx="5753100" cy="3661063"/>
            <wp:effectExtent b="0" l="0" r="0" t="0"/>
            <wp:docPr descr="Distribution des depenses de sante selon le quintile de consommation" title="" id="57" name="Picture"/>
            <a:graphic>
              <a:graphicData uri="http://schemas.openxmlformats.org/drawingml/2006/picture">
                <pic:pic>
                  <pic:nvPicPr>
                    <pic:cNvPr descr="../output/figures/fig_violin_depenses_quinti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61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des depenses de sante selon le quintile de consommation</w:t>
      </w:r>
    </w:p>
    <w:bookmarkEnd w:id="59"/>
    <w:bookmarkStart w:id="63" w:name="X5c029d3afa38d174ef79ef1de23f441c20ce1cb"/>
    <w:p>
      <w:pPr>
        <w:pStyle w:val="Titre2"/>
      </w:pPr>
      <w:r>
        <w:rPr>
          <w:rStyle w:val="SectionNumber"/>
        </w:rPr>
        <w:t xml:space="preserve">6.8</w:t>
      </w:r>
      <w:r>
        <w:tab/>
      </w:r>
      <w:r>
        <w:t xml:space="preserve">Depenses de sante selon le milieu de residence</w:t>
      </w:r>
    </w:p>
    <w:p>
      <w:pPr>
        <w:pStyle w:val="FirstParagraph"/>
      </w:pPr>
      <w:r>
        <w:t xml:space="preserve">Cette section compare les depenses de sante entre menages urbains et ruraux.</w:t>
      </w:r>
    </w:p>
    <w:p>
      <w:pPr>
        <w:pStyle w:val="TableCaption"/>
      </w:pPr>
      <w:r>
        <w:t xml:space="preserve">Medianes des depenses de sante selon le milieu de residence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dianes des depenses de sante selon le milieu de residenc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</w:tr>
    </w:tbl>
    <w:p>
      <w:pPr>
        <w:pStyle w:val="CaptionedFigure"/>
      </w:pPr>
      <w:r>
        <w:drawing>
          <wp:inline>
            <wp:extent cx="5753100" cy="4027169"/>
            <wp:effectExtent b="0" l="0" r="0" t="0"/>
            <wp:docPr descr="Distribution des depenses de sante selon le milieu de residence" title="" id="61" name="Picture"/>
            <a:graphic>
              <a:graphicData uri="http://schemas.openxmlformats.org/drawingml/2006/picture">
                <pic:pic>
                  <pic:nvPicPr>
                    <pic:cNvPr descr="../output/figures/fig_violin_depenses_urbain_rur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des depenses de sante selon le milieu de residence</w:t>
      </w:r>
    </w:p>
    <w:p>
      <w:pPr>
        <w:pStyle w:val="BodyText"/>
      </w:pPr>
      <w:r>
        <w:t xml:space="preserve">Le test de comparaison des depenses urbain/rural donne une p-valeur de 0,931 . La difference observee n’est pas statistiquement significative au seuil de 5 %.</w:t>
      </w:r>
    </w:p>
    <w:bookmarkEnd w:id="63"/>
    <w:bookmarkEnd w:id="64"/>
    <w:bookmarkStart w:id="65" w:name="discussion"/>
    <w:p>
      <w:pPr>
        <w:pStyle w:val="Titre1"/>
      </w:pPr>
      <w:r>
        <w:rPr>
          <w:rStyle w:val="SectionNumber"/>
        </w:rPr>
        <w:t xml:space="preserve">7</w:t>
      </w:r>
      <w:r>
        <w:tab/>
      </w:r>
      <w:r>
        <w:t xml:space="preserve">Discussion</w:t>
      </w:r>
    </w:p>
    <w:p>
      <w:pPr>
        <w:pStyle w:val="FirstParagraph"/>
      </w:pPr>
      <w:r>
        <w:t xml:space="preserve">Les resultats obtenus mettent en evidence la diversite des situations sanitaires et des</w:t>
      </w:r>
      <w:r>
        <w:t xml:space="preserve"> </w:t>
      </w:r>
      <w:r>
        <w:t xml:space="preserve">comportements de recours aux soins. L’analyse des maladies declarees permet d’identifier</w:t>
      </w:r>
      <w:r>
        <w:t xml:space="preserve"> </w:t>
      </w:r>
      <w:r>
        <w:t xml:space="preserve">les affections dominantes, tandis que la distribution des prestataires renseigne sur les</w:t>
      </w:r>
      <w:r>
        <w:t xml:space="preserve"> </w:t>
      </w:r>
      <w:r>
        <w:t xml:space="preserve">formes de prise en charge privilegiees.</w:t>
      </w:r>
    </w:p>
    <w:p>
      <w:pPr>
        <w:pStyle w:val="BodyText"/>
      </w:pPr>
      <w:r>
        <w:t xml:space="preserve">L’etude des depenses montre egalement une forte heterogeneite, avec presence de valeurs</w:t>
      </w:r>
      <w:r>
        <w:t xml:space="preserve"> </w:t>
      </w:r>
      <w:r>
        <w:t xml:space="preserve">extremes et de fortes differences de dispersion selon les groupes. L’introduction des</w:t>
      </w:r>
      <w:r>
        <w:t xml:space="preserve"> </w:t>
      </w:r>
      <w:r>
        <w:t xml:space="preserve">ponderations renforce la validite descriptive des resultats, en les replacant dans une</w:t>
      </w:r>
      <w:r>
        <w:t xml:space="preserve"> </w:t>
      </w:r>
      <w:r>
        <w:t xml:space="preserve">logique de representativite.</w:t>
      </w:r>
    </w:p>
    <w:p>
      <w:pPr>
        <w:pStyle w:val="BodyText"/>
      </w:pPr>
      <w:r>
        <w:t xml:space="preserve">L’association eventuelle entre recours aux soins et niveau de vie doit etre interpretee</w:t>
      </w:r>
      <w:r>
        <w:t xml:space="preserve"> </w:t>
      </w:r>
      <w:r>
        <w:t xml:space="preserve">avec prudence mais constitue un axe important pour comprendre les inegalites d’acces</w:t>
      </w:r>
      <w:r>
        <w:t xml:space="preserve"> </w:t>
      </w:r>
      <w:r>
        <w:t xml:space="preserve">aux services de sante.</w:t>
      </w:r>
    </w:p>
    <w:bookmarkEnd w:id="65"/>
    <w:bookmarkStart w:id="66" w:name="limites"/>
    <w:p>
      <w:pPr>
        <w:pStyle w:val="Titre1"/>
      </w:pPr>
      <w:r>
        <w:rPr>
          <w:rStyle w:val="SectionNumber"/>
        </w:rPr>
        <w:t xml:space="preserve">8</w:t>
      </w:r>
      <w:r>
        <w:tab/>
      </w:r>
      <w:r>
        <w:t xml:space="preserve">Limites</w:t>
      </w:r>
    </w:p>
    <w:p>
      <w:pPr>
        <w:pStyle w:val="FirstParagraph"/>
      </w:pPr>
      <w:r>
        <w:t xml:space="preserve">Ce travail presente plusieurs limites. D’abord, les variables de sante peuvent etre</w:t>
      </w:r>
      <w:r>
        <w:t xml:space="preserve"> </w:t>
      </w:r>
      <w:r>
        <w:t xml:space="preserve">affectees par des biais de memoire ou de declaration. Ensuite, le poids utilise est un</w:t>
      </w:r>
      <w:r>
        <w:t xml:space="preserve"> </w:t>
      </w:r>
      <w:r>
        <w:t xml:space="preserve">poids menage projete au niveau individuel apres jointure. Enfin, la qualite du rapport</w:t>
      </w:r>
      <w:r>
        <w:t xml:space="preserve"> </w:t>
      </w:r>
      <w:r>
        <w:t xml:space="preserve">depend de la bonne generation prealable des tableaux et figures produits par les scripts d’analyse.</w:t>
      </w:r>
    </w:p>
    <w:bookmarkEnd w:id="66"/>
    <w:bookmarkStart w:id="67" w:name="conclusion"/>
    <w:p>
      <w:pPr>
        <w:pStyle w:val="Titre1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p>
      <w:pPr>
        <w:pStyle w:val="FirstParagraph"/>
      </w:pPr>
      <w:r>
        <w:t xml:space="preserve">Ce rapport met en evidence l’interet d’une approche ponderee pour l’etude de l’acces aux</w:t>
      </w:r>
      <w:r>
        <w:t xml:space="preserve"> </w:t>
      </w:r>
      <w:r>
        <w:t xml:space="preserve">services de sante et des depenses de sante. La prise en compte du poids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permet</w:t>
      </w:r>
      <w:r>
        <w:t xml:space="preserve"> </w:t>
      </w:r>
      <w:r>
        <w:t xml:space="preserve">de produire des resultats plus coherents avec la structure reelle de la population couverte</w:t>
      </w:r>
      <w:r>
        <w:t xml:space="preserve"> </w:t>
      </w:r>
      <w:r>
        <w:t xml:space="preserve">par l’enquete.</w:t>
      </w:r>
    </w:p>
    <w:p>
      <w:pPr>
        <w:pStyle w:val="BodyText"/>
      </w:pPr>
      <w:r>
        <w:t xml:space="preserve">Sur le plan analytique, le travail decrit la morbidite, les maladies les plus frequentes,</w:t>
      </w:r>
      <w:r>
        <w:t xml:space="preserve"> </w:t>
      </w:r>
      <w:r>
        <w:t xml:space="preserve">les prestataires consultes et les ecarts de depenses observes selon differentes dimensions</w:t>
      </w:r>
      <w:r>
        <w:t xml:space="preserve"> </w:t>
      </w:r>
      <w:r>
        <w:t xml:space="preserve">socio-economiques. Sur le plan methodologique, il montre l’importance d’integrer les</w:t>
      </w:r>
      <w:r>
        <w:t xml:space="preserve"> </w:t>
      </w:r>
      <w:r>
        <w:t xml:space="preserve">ponderations et d’utiliser des sorties bien structurees pour construire un rapport final reproductible.</w:t>
      </w:r>
    </w:p>
    <w:p>
      <w:r>
        <w:br w:type="page"/>
      </w:r>
    </w:p>
    <w:bookmarkEnd w:id="67"/>
    <w:bookmarkStart w:id="71" w:name="annexes"/>
    <w:p>
      <w:pPr>
        <w:pStyle w:val="Titre1"/>
      </w:pPr>
      <w:r>
        <w:t xml:space="preserve">Annexes</w:t>
      </w:r>
    </w:p>
    <w:bookmarkStart w:id="68" w:name="tests-statistiques"/>
    <w:p>
      <w:pPr>
        <w:pStyle w:val="Titre2"/>
      </w:pPr>
      <w:r>
        <w:t xml:space="preserve">Tests statistiques</w:t>
      </w:r>
    </w:p>
    <w:p>
      <w:pPr>
        <w:pStyle w:val="TableCaption"/>
      </w:pPr>
      <w:r>
        <w:t xml:space="preserve">Resultats des tests statistiques : consultation x quintile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ltats des tests statistiques : consultation x quintile"/>
      </w:tblPr>
      <w:tblGrid>
        <w:gridCol w:w="1936"/>
        <w:gridCol w:w="880"/>
        <w:gridCol w:w="792"/>
        <w:gridCol w:w="880"/>
        <w:gridCol w:w="704"/>
        <w:gridCol w:w="2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ddl_denom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Chi-deux de Rao-Scott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24.14405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3.484161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1397.149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ajusté au plan de sondage</w:t>
            </w:r>
          </w:p>
        </w:tc>
      </w:tr>
    </w:tbl>
    <w:p/>
    <w:p>
      <w:pPr>
        <w:pStyle w:val="TableCaption"/>
      </w:pPr>
      <w:r>
        <w:t xml:space="preserve">Resultat du test de Wilcoxon : depenses de sante urbain/rural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ltat du test de Wilcoxon : depenses de sante urbain/rural"/>
      </w:tblPr>
      <w:tblGrid>
        <w:gridCol w:w="2698"/>
        <w:gridCol w:w="957"/>
        <w:gridCol w:w="870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Wilcoxon pondéré (svyranktest)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-0.0865412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0.9310795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Comparaison ajustée au plan de sondage</w:t>
            </w:r>
          </w:p>
        </w:tc>
      </w:tr>
    </w:tbl>
    <w:bookmarkEnd w:id="68"/>
    <w:bookmarkStart w:id="69" w:name="X7e78ba171b3531760d25e405d021aaee980ca06"/>
    <w:p>
      <w:pPr>
        <w:pStyle w:val="Titre2"/>
      </w:pPr>
      <w:r>
        <w:t xml:space="preserve">Controle de presence des fichiers utilises</w:t>
      </w:r>
    </w:p>
    <w:p>
      <w:pPr>
        <w:pStyle w:val="TableCaption"/>
      </w:pPr>
      <w:r>
        <w:t xml:space="preserve">Verification des fichiers utilises dans le rapport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ification des fichiers utilises dans le rappor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output/tables/table_effectifs_par_analyse.csv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output/tables/table_missing_summary.csv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output/tables/table_morbidite_sexe_age.csv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output/tables/table_top10_maladies.csv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output/tables/table_prestataires.csv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output/tables/table_deciles_depenses_sante.csv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output/tables/table_medianes_depenses_milieu.csv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output/tables/table_outliers_depenses_sante.csv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output/tables/table_contingence_consultation_quintile.csv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output/tables/table_proportions_consultation_quintile.csv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output/tables/table_tests_consultation_quintile.csv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output/tables/table_wilcoxon_urbain_rural.csv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output/figures/fig_morbidite_sexe_age.png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output/figures/fig_top10_maladies.png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output/figures/fig_prestataires.png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output/figures/fig_hist_depenses_log.png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output/figures/fig_boxplot_depenses_prestataire.png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output/figures/fig_barplot100_consultation_quintile.png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output/figures/fig_violin_depenses_quintile.png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output/figures/fig_violin_depenses_urbain_rural.png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bookmarkEnd w:id="69"/>
    <w:bookmarkStart w:id="70" w:name="informations-de-session"/>
    <w:p>
      <w:pPr>
        <w:pStyle w:val="Titre2"/>
      </w:pPr>
      <w:r>
        <w:t xml:space="preserve">Informations de session</w:t>
      </w:r>
    </w:p>
    <w:p>
      <w:pPr>
        <w:pStyle w:val="SourceCode"/>
      </w:pPr>
      <w:r>
        <w:rPr>
          <w:rStyle w:val="VerbatimChar"/>
        </w:rPr>
        <w:t xml:space="preserve">## R version 4.5.2 (2025-10-31)</w:t>
      </w:r>
      <w:r>
        <w:br/>
      </w:r>
      <w:r>
        <w:rPr>
          <w:rStyle w:val="VerbatimChar"/>
        </w:rPr>
        <w:t xml:space="preserve">## Platform: aarch64-apple-darwin20</w:t>
      </w:r>
      <w:r>
        <w:br/>
      </w:r>
      <w:r>
        <w:rPr>
          <w:rStyle w:val="VerbatimChar"/>
        </w:rPr>
        <w:t xml:space="preserve">## Running under: macOS Sonoma 14.5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BLAS:   /System/Library/Frameworks/Accelerate.framework/Versions/A/Frameworks/vecLib.framework/Versions/A/libBLAS.dylib </w:t>
      </w:r>
      <w:r>
        <w:br/>
      </w:r>
      <w:r>
        <w:rPr>
          <w:rStyle w:val="VerbatimChar"/>
        </w:rPr>
        <w:t xml:space="preserve">## LAPACK: /Library/Frameworks/R.framework/Versions/4.5-arm64/Resources/lib/libRlapack.dylib;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en_US.UTF-8/en_US.UTF-8/en_US.UTF-8/C/en_US.UTF-8/en_US.UTF-8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Africa/Dakar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grid      stats     graphics  grDevices utils     datasets  methods  </w:t>
      </w:r>
      <w:r>
        <w:br/>
      </w:r>
      <w:r>
        <w:rPr>
          <w:rStyle w:val="VerbatimChar"/>
        </w:rPr>
        <w:t xml:space="preserve">## [8]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 [1] officer_0.7.3    flextable_0.9.11 knitr_1.51       rmarkdown_2.30  </w:t>
      </w:r>
      <w:r>
        <w:br/>
      </w:r>
      <w:r>
        <w:rPr>
          <w:rStyle w:val="VerbatimChar"/>
        </w:rPr>
        <w:t xml:space="preserve">##  [5] survey_4.5       survival_3.8-3   Matrix_1.7-4     scales_1.4.0    </w:t>
      </w:r>
      <w:r>
        <w:br/>
      </w:r>
      <w:r>
        <w:rPr>
          <w:rStyle w:val="VerbatimChar"/>
        </w:rPr>
        <w:t xml:space="preserve">##  [9] glue_1.8.0       fs_1.6.7         janitor_2.2.1    forcats_1.0.1   </w:t>
      </w:r>
      <w:r>
        <w:br/>
      </w:r>
      <w:r>
        <w:rPr>
          <w:rStyle w:val="VerbatimChar"/>
        </w:rPr>
        <w:t xml:space="preserve">## [13] readr_2.2.0      ggplot2_4.0.2    purrr_1.2.1      stringr_1.6.0   </w:t>
      </w:r>
      <w:r>
        <w:br/>
      </w:r>
      <w:r>
        <w:rPr>
          <w:rStyle w:val="VerbatimChar"/>
        </w:rPr>
        <w:t xml:space="preserve">## [17] tidyr_1.3.2      dplyr_1.2.0      haven_2.5.5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gtable_0.3.6            xfun_0.56              </w:t>
      </w:r>
      <w:r>
        <w:br/>
      </w:r>
      <w:r>
        <w:rPr>
          <w:rStyle w:val="VerbatimChar"/>
        </w:rPr>
        <w:t xml:space="preserve">##  [3] lattice_0.22-7          tzdb_0.5.0             </w:t>
      </w:r>
      <w:r>
        <w:br/>
      </w:r>
      <w:r>
        <w:rPr>
          <w:rStyle w:val="VerbatimChar"/>
        </w:rPr>
        <w:t xml:space="preserve">##  [5] vctrs_0.7.1             tools_4.5.2            </w:t>
      </w:r>
      <w:r>
        <w:br/>
      </w:r>
      <w:r>
        <w:rPr>
          <w:rStyle w:val="VerbatimChar"/>
        </w:rPr>
        <w:t xml:space="preserve">##  [7] generics_0.1.4          parallel_4.5.2         </w:t>
      </w:r>
      <w:r>
        <w:br/>
      </w:r>
      <w:r>
        <w:rPr>
          <w:rStyle w:val="VerbatimChar"/>
        </w:rPr>
        <w:t xml:space="preserve">##  [9] tibble_3.3.1            pkgconfig_2.0.3        </w:t>
      </w:r>
      <w:r>
        <w:br/>
      </w:r>
      <w:r>
        <w:rPr>
          <w:rStyle w:val="VerbatimChar"/>
        </w:rPr>
        <w:t xml:space="preserve">## [11] data.table_1.18.2.1     RColorBrewer_1.1-3     </w:t>
      </w:r>
      <w:r>
        <w:br/>
      </w:r>
      <w:r>
        <w:rPr>
          <w:rStyle w:val="VerbatimChar"/>
        </w:rPr>
        <w:t xml:space="preserve">## [13] S7_0.2.1                uuid_1.2-2             </w:t>
      </w:r>
      <w:r>
        <w:br/>
      </w:r>
      <w:r>
        <w:rPr>
          <w:rStyle w:val="VerbatimChar"/>
        </w:rPr>
        <w:t xml:space="preserve">## [15] lifecycle_1.0.5         compiler_4.5.2         </w:t>
      </w:r>
      <w:r>
        <w:br/>
      </w:r>
      <w:r>
        <w:rPr>
          <w:rStyle w:val="VerbatimChar"/>
        </w:rPr>
        <w:t xml:space="preserve">## [17] farver_2.1.2            MatrixModels_0.5-4     </w:t>
      </w:r>
      <w:r>
        <w:br/>
      </w:r>
      <w:r>
        <w:rPr>
          <w:rStyle w:val="VerbatimChar"/>
        </w:rPr>
        <w:t xml:space="preserve">## [19] textshaping_1.0.5       mitools_2.4            </w:t>
      </w:r>
      <w:r>
        <w:br/>
      </w:r>
      <w:r>
        <w:rPr>
          <w:rStyle w:val="VerbatimChar"/>
        </w:rPr>
        <w:t xml:space="preserve">## [21] SparseM_1.84-2          snakecase_0.11.1       </w:t>
      </w:r>
      <w:r>
        <w:br/>
      </w:r>
      <w:r>
        <w:rPr>
          <w:rStyle w:val="VerbatimChar"/>
        </w:rPr>
        <w:t xml:space="preserve">## [23] fontquiver_0.2.1        fontLiberation_0.1.0   </w:t>
      </w:r>
      <w:r>
        <w:br/>
      </w:r>
      <w:r>
        <w:rPr>
          <w:rStyle w:val="VerbatimChar"/>
        </w:rPr>
        <w:t xml:space="preserve">## [25] quantreg_6.1            htmltools_0.5.9        </w:t>
      </w:r>
      <w:r>
        <w:br/>
      </w:r>
      <w:r>
        <w:rPr>
          <w:rStyle w:val="VerbatimChar"/>
        </w:rPr>
        <w:t xml:space="preserve">## [27] yaml_2.3.12             crayon_1.5.3           </w:t>
      </w:r>
      <w:r>
        <w:br/>
      </w:r>
      <w:r>
        <w:rPr>
          <w:rStyle w:val="VerbatimChar"/>
        </w:rPr>
        <w:t xml:space="preserve">## [29] pillar_1.11.1           MASS_7.3-65            </w:t>
      </w:r>
      <w:r>
        <w:br/>
      </w:r>
      <w:r>
        <w:rPr>
          <w:rStyle w:val="VerbatimChar"/>
        </w:rPr>
        <w:t xml:space="preserve">## [31] openssl_2.3.5           fontBitstreamVera_0.1.1</w:t>
      </w:r>
      <w:r>
        <w:br/>
      </w:r>
      <w:r>
        <w:rPr>
          <w:rStyle w:val="VerbatimChar"/>
        </w:rPr>
        <w:t xml:space="preserve">## [33] tidyselect_1.2.1        zip_2.3.3              </w:t>
      </w:r>
      <w:r>
        <w:br/>
      </w:r>
      <w:r>
        <w:rPr>
          <w:rStyle w:val="VerbatimChar"/>
        </w:rPr>
        <w:t xml:space="preserve">## [35] digest_0.6.39           stringi_1.8.7          </w:t>
      </w:r>
      <w:r>
        <w:br/>
      </w:r>
      <w:r>
        <w:rPr>
          <w:rStyle w:val="VerbatimChar"/>
        </w:rPr>
        <w:t xml:space="preserve">## [37] labeling_0.4.3          splines_4.5.2          </w:t>
      </w:r>
      <w:r>
        <w:br/>
      </w:r>
      <w:r>
        <w:rPr>
          <w:rStyle w:val="VerbatimChar"/>
        </w:rPr>
        <w:t xml:space="preserve">## [39] fastmap_1.2.0           cli_3.6.5              </w:t>
      </w:r>
      <w:r>
        <w:br/>
      </w:r>
      <w:r>
        <w:rPr>
          <w:rStyle w:val="VerbatimChar"/>
        </w:rPr>
        <w:t xml:space="preserve">## [41] magrittr_2.0.4          patchwork_1.3.2        </w:t>
      </w:r>
      <w:r>
        <w:br/>
      </w:r>
      <w:r>
        <w:rPr>
          <w:rStyle w:val="VerbatimChar"/>
        </w:rPr>
        <w:t xml:space="preserve">## [43] utf8_1.2.6              withr_3.0.2            </w:t>
      </w:r>
      <w:r>
        <w:br/>
      </w:r>
      <w:r>
        <w:rPr>
          <w:rStyle w:val="VerbatimChar"/>
        </w:rPr>
        <w:t xml:space="preserve">## [45] gdtools_0.5.0           bit64_4.6.0-1          </w:t>
      </w:r>
      <w:r>
        <w:br/>
      </w:r>
      <w:r>
        <w:rPr>
          <w:rStyle w:val="VerbatimChar"/>
        </w:rPr>
        <w:t xml:space="preserve">## [47] lubridate_1.9.5         timechange_0.4.0       </w:t>
      </w:r>
      <w:r>
        <w:br/>
      </w:r>
      <w:r>
        <w:rPr>
          <w:rStyle w:val="VerbatimChar"/>
        </w:rPr>
        <w:t xml:space="preserve">## [49] bit_4.6.0               otel_0.2.0             </w:t>
      </w:r>
      <w:r>
        <w:br/>
      </w:r>
      <w:r>
        <w:rPr>
          <w:rStyle w:val="VerbatimChar"/>
        </w:rPr>
        <w:t xml:space="preserve">## [51] askpass_1.2.1           ragg_1.5.1             </w:t>
      </w:r>
      <w:r>
        <w:br/>
      </w:r>
      <w:r>
        <w:rPr>
          <w:rStyle w:val="VerbatimChar"/>
        </w:rPr>
        <w:t xml:space="preserve">## [53] hms_1.1.4               evaluate_1.0.5         </w:t>
      </w:r>
      <w:r>
        <w:br/>
      </w:r>
      <w:r>
        <w:rPr>
          <w:rStyle w:val="VerbatimChar"/>
        </w:rPr>
        <w:t xml:space="preserve">## [55] rlang_1.1.7             Rcpp_1.1.1             </w:t>
      </w:r>
      <w:r>
        <w:br/>
      </w:r>
      <w:r>
        <w:rPr>
          <w:rStyle w:val="VerbatimChar"/>
        </w:rPr>
        <w:t xml:space="preserve">## [57] DBI_1.3.0               xml2_1.5.2             </w:t>
      </w:r>
      <w:r>
        <w:br/>
      </w:r>
      <w:r>
        <w:rPr>
          <w:rStyle w:val="VerbatimChar"/>
        </w:rPr>
        <w:t xml:space="preserve">## [59] vroom_1.7.0             rstudioapi_0.18.0      </w:t>
      </w:r>
      <w:r>
        <w:br/>
      </w:r>
      <w:r>
        <w:rPr>
          <w:rStyle w:val="VerbatimChar"/>
        </w:rPr>
        <w:t xml:space="preserve">## [61] R6_2.6.1                systemfonts_1.3.2</w:t>
      </w:r>
    </w:p>
    <w:bookmarkEnd w:id="70"/>
    <w:bookmarkEnd w:id="71"/>
    <w:sectPr>
      <w:footerReference r:id="rId9" w:officer="true" w:type="default">
</w:footerReference>
      <w:pgMar w:bottom="1440" w:footer="720" w:gutter="0" w:header="720" w:left="1699" w:right="1138" w:top="1440"/>
      <w:pgSz w:h="16834" w:orient="portrait" w:w="11909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80" w:line="240"/>
      <w:ind w:left="0" w:right="0" w:firstLine="0" w:firstLineChars="0"/>
    </w:pPr>
    <w:r>
      <w:rPr>
        <w:rFonts w:ascii="Calibri" w:hAnsi="Calibri" w:eastAsia="Calibri" w:cs="Calibri"/>
        <w:i w:val="false"/>
        <w:b w:val="false"/>
        <w:u w:val="none"/>
        <w:strike w:val="false"/>
        <w:sz w:val="20"/>
        <w:szCs w:val="20"/>
        <w:color w:val="444444"/>
      </w:rPr>
      <w:t xml:space="preserve">Page </w:t>
    </w: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  <w:r>
      <w:rPr>
        <w:rFonts w:ascii="Calibri" w:hAnsi="Calibri" w:eastAsia="Calibri" w:cs="Calibri"/>
        <w:i w:val="false"/>
        <w:b w:val="false"/>
        <w:u w:val="none"/>
        <w:strike w:val="false"/>
        <w:sz w:val="20"/>
        <w:szCs w:val="20"/>
        <w:color w:val="444444"/>
      </w:rPr>
      <w:t xml:space="preserve"> / </w:t>
    </w:r>
    <w:r>
      <w:rPr/>
      <w:fldChar w:fldCharType="begin" w:dirty="true"/>
    </w:r>
    <w:r>
      <w:rPr/>
      <w:instrText xml:space="preserve" w:dirty="true">NUMPAGES</w:instrText>
    </w:r>
    <w:r>
      <w:rPr/>
      <w:fldChar w:fldCharType="end" w:dirty="tru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proofState w:grammar="clean" w:spelling="clean"/>
  <w:stylePaneFormatFilter w:val="0004"/>
  <w:doNotTrackMoves/>
  <w:defaultTabStop w:val="708"/>
  <w:hyphenationZone w:val="425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color="auto" w:space="1" w:sz="4" w:val="single"/>
      </w:pBdr>
      <w:spacing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cstheme="majorBidi" w:eastAsiaTheme="majorEastAsia" w:hAnsiTheme="majorHAnsi"/>
      <w:b/>
      <w:bCs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strong" w:type="character">
    <w:name w:val="strong"/>
    <w:basedOn w:val="Policepardfaut"/>
    <w:uiPriority w:val="1"/>
    <w:qFormat/>
    <w:rsid w:val="007B3E96"/>
    <w:rPr>
      <w:b/>
    </w:rPr>
  </w:style>
  <w:style w:customStyle="1" w:styleId="centered" w:type="paragraph">
    <w:name w:val="centered"/>
    <w:basedOn w:val="Normal"/>
    <w:qFormat/>
    <w:rsid w:val="001D75AB"/>
    <w:pPr>
      <w:jc w:val="center"/>
    </w:pPr>
  </w:style>
  <w:style w:customStyle="1" w:styleId="tabletemplate" w:type="table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  <w:tl2br w:val="nil"/>
          <w:tr2bl w:val="nil"/>
        </w:tcBorders>
      </w:tcPr>
    </w:tblStylePr>
  </w:style>
  <w:style w:styleId="Listeclaire-Accent2" w:type="table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customStyle="1" w:styleId="Titre1Car" w:type="character">
    <w:name w:val="Titre 1 Car"/>
    <w:basedOn w:val="Policepardfaut"/>
    <w:link w:val="Titre1"/>
    <w:uiPriority w:val="9"/>
    <w:rsid w:val="00362E65"/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semiHidden/>
    <w:rsid w:val="00362E65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Titre3Car" w:type="character">
    <w:name w:val="Titre 3 Car"/>
    <w:basedOn w:val="Policepardfaut"/>
    <w:link w:val="Titre3"/>
    <w:uiPriority w:val="9"/>
    <w:semiHidden/>
    <w:rsid w:val="00362E65"/>
    <w:rPr>
      <w:rFonts w:asciiTheme="majorHAnsi" w:cstheme="majorBidi" w:eastAsiaTheme="majorEastAsia" w:hAnsiTheme="majorHAnsi"/>
      <w:b/>
      <w:bCs/>
    </w:rPr>
  </w:style>
  <w:style w:customStyle="1" w:styleId="ImageCaption" w:type="paragraph">
    <w:name w:val="Image Caption"/>
    <w:basedOn w:val="Normal"/>
    <w:qFormat/>
    <w:rsid w:val="00AE18EF"/>
    <w:pPr>
      <w:jc w:val="center"/>
    </w:pPr>
    <w:rPr>
      <w:b/>
      <w:i/>
    </w:rPr>
  </w:style>
  <w:style w:customStyle="1" w:styleId="TableCaption" w:type="paragraph">
    <w:name w:val="Table Caption"/>
    <w:basedOn w:val="ImageCaption"/>
    <w:qFormat/>
    <w:rsid w:val="00AE18EF"/>
  </w:style>
  <w:style w:styleId="Tableauprofessionnel" w:type="table">
    <w:name w:val="Table Professional"/>
    <w:basedOn w:val="TableauNormal"/>
    <w:uiPriority w:val="99"/>
    <w:semiHidden/>
    <w:unhideWhenUsed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shd w:color="000000" w:fill="FFFFFF" w:val="solid"/>
      </w:tcPr>
    </w:tblStylePr>
  </w:style>
  <w:style w:styleId="TM1" w:type="paragraph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customStyle="1" w:styleId="referenceid" w:type="character">
    <w:name w:val="reference_id"/>
    <w:basedOn w:val="Policepardfaut"/>
    <w:uiPriority w:val="1"/>
    <w:rsid w:val="00457CF1"/>
    <w:rPr>
      <w:vertAlign w:val="superscript"/>
    </w:rPr>
  </w:style>
  <w:style w:customStyle="1" w:styleId="graphictitle" w:type="paragraph">
    <w:name w:val="graphic title"/>
    <w:basedOn w:val="ImageCaption"/>
    <w:next w:val="Normal"/>
    <w:rsid w:val="0035500D"/>
  </w:style>
  <w:style w:customStyle="1" w:styleId="tabletitle" w:type="paragraph">
    <w:name w:val="table title"/>
    <w:basedOn w:val="TableCaption"/>
    <w:next w:val="Normal"/>
    <w:rsid w:val="00901463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jpg" /><Relationship Type="http://schemas.openxmlformats.org/officeDocument/2006/relationships/image" Id="rId20" Target="media/rId20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3 - Acces aux services de sante et chocs sanitaires des menages</dc:title>
  <dc:creator>RIRADJIM NGARMOUNDOU Tresor; GUEBEDIANG A NKEN Kadidja</dc:creator>
  <dc:language>fr-FR</dc:language>
  <cp:keywords/>
  <dcterms:created xsi:type="dcterms:W3CDTF">2026-03-25T07:22:14Z</dcterms:created>
  <dcterms:modified xsi:type="dcterms:W3CDTF">2026-03-25T07:22:14Z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March 2026</vt:lpwstr>
  </property>
  <property fmtid="{D5CDD505-2E9C-101B-9397-08002B2CF9AE}" pid="3" name="output">
    <vt:lpwstr/>
  </property>
</Properties>
</file>