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8"/>
        <w:gridCol w:w="2706"/>
        <w:gridCol w:w="2706"/>
        <w:gridCol w:w="2706"/>
        <w:gridCol w:w="1181"/>
      </w:tblGrid>
      <w:tr>
        <w:trPr>
          <w:trHeight w:val="76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30,337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Urbain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8,719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21,618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(annees)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(20) | Med: 18 [8-36]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(19) | Med: 19 [9-38]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(20) | Med: 17 [8-35]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13,189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3,730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9,459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3,837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Manquantes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Taille du menage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(4) | Med: 7 [5-10]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(4) | Med: 7 [5-9]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(4) | Med: 8 [6-11]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 | Med: Median [Q1-Q3];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2026-03-17T11:03:23Z</dcterms:modified>
  <cp:category/>
</cp:coreProperties>
</file>