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80624" w14:textId="77777777" w:rsidR="003C471F" w:rsidRDefault="0075711C">
      <w:pPr>
        <w:pStyle w:val="Titre"/>
      </w:pPr>
      <w:r>
        <w:t>Parcelles agricoles, superficie et tenure foncière</w:t>
      </w:r>
    </w:p>
    <w:p w14:paraId="08603CD1" w14:textId="77777777" w:rsidR="003C471F" w:rsidRPr="00E3239C" w:rsidRDefault="0075711C">
      <w:pPr>
        <w:pStyle w:val="Sous-titre"/>
        <w:rPr>
          <w:lang w:val="en-US"/>
        </w:rPr>
      </w:pPr>
      <w:r w:rsidRPr="00E3239C">
        <w:rPr>
          <w:lang w:val="en-US"/>
        </w:rPr>
        <w:t>Nigeria General Household Survey Panel Wave 4 (2018-2019)</w:t>
      </w:r>
    </w:p>
    <w:p w14:paraId="6F09D811" w14:textId="77777777" w:rsidR="003C471F" w:rsidRDefault="0075711C">
      <w:pPr>
        <w:pStyle w:val="Author"/>
      </w:pPr>
      <w:r>
        <w:t>Nkwa T. Leslye &amp; Ouattara Ousmane</w:t>
      </w:r>
    </w:p>
    <w:p w14:paraId="67B30294" w14:textId="77777777" w:rsidR="003C471F" w:rsidRDefault="0075711C">
      <w:pPr>
        <w:pStyle w:val="Date"/>
      </w:pPr>
      <w:r>
        <w:t>19 avril 2026</w:t>
      </w:r>
    </w:p>
    <w:sdt>
      <w:sdtPr>
        <w:rPr>
          <w:rFonts w:eastAsiaTheme="minorHAnsi" w:cstheme="minorBidi"/>
          <w:b w:val="0"/>
          <w:color w:val="auto"/>
          <w:sz w:val="24"/>
          <w:szCs w:val="24"/>
        </w:rPr>
        <w:id w:val="1772362571"/>
        <w:docPartObj>
          <w:docPartGallery w:val="Table of Contents"/>
          <w:docPartUnique/>
        </w:docPartObj>
      </w:sdtPr>
      <w:sdtEndPr/>
      <w:sdtContent>
        <w:p w14:paraId="5976D216" w14:textId="77777777" w:rsidR="003C471F" w:rsidRDefault="0075711C">
          <w:pPr>
            <w:pStyle w:val="En-ttedetabledesmatires"/>
          </w:pPr>
          <w:r>
            <w:t>Table of Contents</w:t>
          </w:r>
        </w:p>
        <w:p w14:paraId="3E668C87" w14:textId="77777777" w:rsidR="00E3239C" w:rsidRDefault="0075711C">
          <w:pPr>
            <w:pStyle w:val="TM1"/>
            <w:tabs>
              <w:tab w:val="left" w:pos="440"/>
              <w:tab w:val="right" w:leader="dot" w:pos="9350"/>
            </w:tabs>
            <w:rPr>
              <w:rFonts w:asciiTheme="minorHAnsi" w:eastAsiaTheme="minorEastAsia" w:hAnsiTheme="minorHAnsi"/>
              <w:noProof/>
              <w:sz w:val="22"/>
              <w:szCs w:val="22"/>
              <w:lang w:val="fr-FR" w:eastAsia="fr-FR"/>
            </w:rPr>
          </w:pPr>
          <w:r>
            <w:fldChar w:fldCharType="begin"/>
          </w:r>
          <w:r>
            <w:instrText>TOC \o "1-2" \h \z \u</w:instrText>
          </w:r>
          <w:r>
            <w:fldChar w:fldCharType="separate"/>
          </w:r>
          <w:hyperlink w:anchor="_Toc227515542" w:history="1">
            <w:r w:rsidR="00E3239C" w:rsidRPr="0015110A">
              <w:rPr>
                <w:rStyle w:val="Lienhypertexte"/>
                <w:noProof/>
              </w:rPr>
              <w:t>1</w:t>
            </w:r>
            <w:r w:rsidR="00E3239C">
              <w:rPr>
                <w:rFonts w:asciiTheme="minorHAnsi" w:eastAsiaTheme="minorEastAsia" w:hAnsiTheme="minorHAnsi"/>
                <w:noProof/>
                <w:sz w:val="22"/>
                <w:szCs w:val="22"/>
                <w:lang w:val="fr-FR" w:eastAsia="fr-FR"/>
              </w:rPr>
              <w:tab/>
            </w:r>
            <w:r w:rsidR="00E3239C" w:rsidRPr="0015110A">
              <w:rPr>
                <w:rStyle w:val="Lienhypertexte"/>
                <w:noProof/>
              </w:rPr>
              <w:t>Messages clés</w:t>
            </w:r>
            <w:r w:rsidR="00E3239C">
              <w:rPr>
                <w:noProof/>
                <w:webHidden/>
              </w:rPr>
              <w:tab/>
            </w:r>
            <w:r w:rsidR="00E3239C">
              <w:rPr>
                <w:noProof/>
                <w:webHidden/>
              </w:rPr>
              <w:fldChar w:fldCharType="begin"/>
            </w:r>
            <w:r w:rsidR="00E3239C">
              <w:rPr>
                <w:noProof/>
                <w:webHidden/>
              </w:rPr>
              <w:instrText xml:space="preserve"> PAGEREF _Toc227515542 \h </w:instrText>
            </w:r>
            <w:r w:rsidR="00E3239C">
              <w:rPr>
                <w:noProof/>
                <w:webHidden/>
              </w:rPr>
            </w:r>
            <w:r w:rsidR="00E3239C">
              <w:rPr>
                <w:noProof/>
                <w:webHidden/>
              </w:rPr>
              <w:fldChar w:fldCharType="separate"/>
            </w:r>
            <w:r w:rsidR="00E3239C">
              <w:rPr>
                <w:noProof/>
                <w:webHidden/>
              </w:rPr>
              <w:t>2</w:t>
            </w:r>
            <w:r w:rsidR="00E3239C">
              <w:rPr>
                <w:noProof/>
                <w:webHidden/>
              </w:rPr>
              <w:fldChar w:fldCharType="end"/>
            </w:r>
          </w:hyperlink>
        </w:p>
        <w:p w14:paraId="7F29FE84"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43" w:history="1">
            <w:r w:rsidRPr="0015110A">
              <w:rPr>
                <w:rStyle w:val="Lienhypertexte"/>
                <w:noProof/>
              </w:rPr>
              <w:t>2</w:t>
            </w:r>
            <w:r>
              <w:rPr>
                <w:rFonts w:asciiTheme="minorHAnsi" w:eastAsiaTheme="minorEastAsia" w:hAnsiTheme="minorHAnsi"/>
                <w:noProof/>
                <w:sz w:val="22"/>
                <w:szCs w:val="22"/>
                <w:lang w:val="fr-FR" w:eastAsia="fr-FR"/>
              </w:rPr>
              <w:tab/>
            </w:r>
            <w:r w:rsidRPr="0015110A">
              <w:rPr>
                <w:rStyle w:val="Lienhypertexte"/>
                <w:noProof/>
              </w:rPr>
              <w:t>Introduction</w:t>
            </w:r>
            <w:r>
              <w:rPr>
                <w:noProof/>
                <w:webHidden/>
              </w:rPr>
              <w:tab/>
            </w:r>
            <w:r>
              <w:rPr>
                <w:noProof/>
                <w:webHidden/>
              </w:rPr>
              <w:fldChar w:fldCharType="begin"/>
            </w:r>
            <w:r>
              <w:rPr>
                <w:noProof/>
                <w:webHidden/>
              </w:rPr>
              <w:instrText xml:space="preserve"> PAGEREF _Toc227515543 \h </w:instrText>
            </w:r>
            <w:r>
              <w:rPr>
                <w:noProof/>
                <w:webHidden/>
              </w:rPr>
            </w:r>
            <w:r>
              <w:rPr>
                <w:noProof/>
                <w:webHidden/>
              </w:rPr>
              <w:fldChar w:fldCharType="separate"/>
            </w:r>
            <w:r>
              <w:rPr>
                <w:noProof/>
                <w:webHidden/>
              </w:rPr>
              <w:t>3</w:t>
            </w:r>
            <w:r>
              <w:rPr>
                <w:noProof/>
                <w:webHidden/>
              </w:rPr>
              <w:fldChar w:fldCharType="end"/>
            </w:r>
          </w:hyperlink>
        </w:p>
        <w:p w14:paraId="0916083D"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44" w:history="1">
            <w:r w:rsidRPr="0015110A">
              <w:rPr>
                <w:rStyle w:val="Lienhypertexte"/>
                <w:noProof/>
              </w:rPr>
              <w:t>3</w:t>
            </w:r>
            <w:r>
              <w:rPr>
                <w:rFonts w:asciiTheme="minorHAnsi" w:eastAsiaTheme="minorEastAsia" w:hAnsiTheme="minorHAnsi"/>
                <w:noProof/>
                <w:sz w:val="22"/>
                <w:szCs w:val="22"/>
                <w:lang w:val="fr-FR" w:eastAsia="fr-FR"/>
              </w:rPr>
              <w:tab/>
            </w:r>
            <w:r w:rsidRPr="0015110A">
              <w:rPr>
                <w:rStyle w:val="Lienhypertexte"/>
                <w:noProof/>
              </w:rPr>
              <w:t>Exploration et qualité des données</w:t>
            </w:r>
            <w:r>
              <w:rPr>
                <w:noProof/>
                <w:webHidden/>
              </w:rPr>
              <w:tab/>
            </w:r>
            <w:r>
              <w:rPr>
                <w:noProof/>
                <w:webHidden/>
              </w:rPr>
              <w:fldChar w:fldCharType="begin"/>
            </w:r>
            <w:r>
              <w:rPr>
                <w:noProof/>
                <w:webHidden/>
              </w:rPr>
              <w:instrText xml:space="preserve"> PAGEREF _Toc227515544 \h </w:instrText>
            </w:r>
            <w:r>
              <w:rPr>
                <w:noProof/>
                <w:webHidden/>
              </w:rPr>
            </w:r>
            <w:r>
              <w:rPr>
                <w:noProof/>
                <w:webHidden/>
              </w:rPr>
              <w:fldChar w:fldCharType="separate"/>
            </w:r>
            <w:r>
              <w:rPr>
                <w:noProof/>
                <w:webHidden/>
              </w:rPr>
              <w:t>3</w:t>
            </w:r>
            <w:r>
              <w:rPr>
                <w:noProof/>
                <w:webHidden/>
              </w:rPr>
              <w:fldChar w:fldCharType="end"/>
            </w:r>
          </w:hyperlink>
        </w:p>
        <w:p w14:paraId="2D46D06C"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45" w:history="1">
            <w:r w:rsidRPr="0015110A">
              <w:rPr>
                <w:rStyle w:val="Lienhypertexte"/>
                <w:noProof/>
              </w:rPr>
              <w:t>4</w:t>
            </w:r>
            <w:r>
              <w:rPr>
                <w:rFonts w:asciiTheme="minorHAnsi" w:eastAsiaTheme="minorEastAsia" w:hAnsiTheme="minorHAnsi"/>
                <w:noProof/>
                <w:sz w:val="22"/>
                <w:szCs w:val="22"/>
                <w:lang w:val="fr-FR" w:eastAsia="fr-FR"/>
              </w:rPr>
              <w:tab/>
            </w:r>
            <w:r w:rsidRPr="0015110A">
              <w:rPr>
                <w:rStyle w:val="Lienhypertexte"/>
                <w:noProof/>
              </w:rPr>
              <w:t>Distribution de la superficie des parcelles</w:t>
            </w:r>
            <w:r>
              <w:rPr>
                <w:noProof/>
                <w:webHidden/>
              </w:rPr>
              <w:tab/>
            </w:r>
            <w:r>
              <w:rPr>
                <w:noProof/>
                <w:webHidden/>
              </w:rPr>
              <w:fldChar w:fldCharType="begin"/>
            </w:r>
            <w:r>
              <w:rPr>
                <w:noProof/>
                <w:webHidden/>
              </w:rPr>
              <w:instrText xml:space="preserve"> PAGEREF _Toc227515545 \h </w:instrText>
            </w:r>
            <w:r>
              <w:rPr>
                <w:noProof/>
                <w:webHidden/>
              </w:rPr>
            </w:r>
            <w:r>
              <w:rPr>
                <w:noProof/>
                <w:webHidden/>
              </w:rPr>
              <w:fldChar w:fldCharType="separate"/>
            </w:r>
            <w:r>
              <w:rPr>
                <w:noProof/>
                <w:webHidden/>
              </w:rPr>
              <w:t>4</w:t>
            </w:r>
            <w:r>
              <w:rPr>
                <w:noProof/>
                <w:webHidden/>
              </w:rPr>
              <w:fldChar w:fldCharType="end"/>
            </w:r>
          </w:hyperlink>
        </w:p>
        <w:p w14:paraId="10B684EC"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46" w:history="1">
            <w:r w:rsidRPr="0015110A">
              <w:rPr>
                <w:rStyle w:val="Lienhypertexte"/>
                <w:noProof/>
              </w:rPr>
              <w:t>5</w:t>
            </w:r>
            <w:r>
              <w:rPr>
                <w:rFonts w:asciiTheme="minorHAnsi" w:eastAsiaTheme="minorEastAsia" w:hAnsiTheme="minorHAnsi"/>
                <w:noProof/>
                <w:sz w:val="22"/>
                <w:szCs w:val="22"/>
                <w:lang w:val="fr-FR" w:eastAsia="fr-FR"/>
              </w:rPr>
              <w:tab/>
            </w:r>
            <w:r w:rsidRPr="0015110A">
              <w:rPr>
                <w:rStyle w:val="Lienhypertexte"/>
                <w:noProof/>
              </w:rPr>
              <w:t>Comparaison superficie GPS vs déclarée</w:t>
            </w:r>
            <w:r>
              <w:rPr>
                <w:noProof/>
                <w:webHidden/>
              </w:rPr>
              <w:tab/>
            </w:r>
            <w:r>
              <w:rPr>
                <w:noProof/>
                <w:webHidden/>
              </w:rPr>
              <w:fldChar w:fldCharType="begin"/>
            </w:r>
            <w:r>
              <w:rPr>
                <w:noProof/>
                <w:webHidden/>
              </w:rPr>
              <w:instrText xml:space="preserve"> PAGEREF _Toc227515546 \h </w:instrText>
            </w:r>
            <w:r>
              <w:rPr>
                <w:noProof/>
                <w:webHidden/>
              </w:rPr>
            </w:r>
            <w:r>
              <w:rPr>
                <w:noProof/>
                <w:webHidden/>
              </w:rPr>
              <w:fldChar w:fldCharType="separate"/>
            </w:r>
            <w:r>
              <w:rPr>
                <w:noProof/>
                <w:webHidden/>
              </w:rPr>
              <w:t>8</w:t>
            </w:r>
            <w:r>
              <w:rPr>
                <w:noProof/>
                <w:webHidden/>
              </w:rPr>
              <w:fldChar w:fldCharType="end"/>
            </w:r>
          </w:hyperlink>
        </w:p>
        <w:p w14:paraId="4516025D"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47" w:history="1">
            <w:r w:rsidRPr="0015110A">
              <w:rPr>
                <w:rStyle w:val="Lienhypertexte"/>
                <w:noProof/>
              </w:rPr>
              <w:t>6</w:t>
            </w:r>
            <w:r>
              <w:rPr>
                <w:rFonts w:asciiTheme="minorHAnsi" w:eastAsiaTheme="minorEastAsia" w:hAnsiTheme="minorHAnsi"/>
                <w:noProof/>
                <w:sz w:val="22"/>
                <w:szCs w:val="22"/>
                <w:lang w:val="fr-FR" w:eastAsia="fr-FR"/>
              </w:rPr>
              <w:tab/>
            </w:r>
            <w:r w:rsidRPr="0015110A">
              <w:rPr>
                <w:rStyle w:val="Lienhypertexte"/>
                <w:noProof/>
              </w:rPr>
              <w:t>Analyse de la tenure foncière</w:t>
            </w:r>
            <w:r>
              <w:rPr>
                <w:noProof/>
                <w:webHidden/>
              </w:rPr>
              <w:tab/>
            </w:r>
            <w:r>
              <w:rPr>
                <w:noProof/>
                <w:webHidden/>
              </w:rPr>
              <w:fldChar w:fldCharType="begin"/>
            </w:r>
            <w:r>
              <w:rPr>
                <w:noProof/>
                <w:webHidden/>
              </w:rPr>
              <w:instrText xml:space="preserve"> PAGEREF _Toc227515547 \h </w:instrText>
            </w:r>
            <w:r>
              <w:rPr>
                <w:noProof/>
                <w:webHidden/>
              </w:rPr>
            </w:r>
            <w:r>
              <w:rPr>
                <w:noProof/>
                <w:webHidden/>
              </w:rPr>
              <w:fldChar w:fldCharType="separate"/>
            </w:r>
            <w:r>
              <w:rPr>
                <w:noProof/>
                <w:webHidden/>
              </w:rPr>
              <w:t>9</w:t>
            </w:r>
            <w:r>
              <w:rPr>
                <w:noProof/>
                <w:webHidden/>
              </w:rPr>
              <w:fldChar w:fldCharType="end"/>
            </w:r>
          </w:hyperlink>
        </w:p>
        <w:p w14:paraId="78657F33" w14:textId="77777777" w:rsidR="00E3239C" w:rsidRDefault="00E3239C">
          <w:pPr>
            <w:pStyle w:val="TM2"/>
            <w:tabs>
              <w:tab w:val="left" w:pos="880"/>
              <w:tab w:val="right" w:leader="dot" w:pos="9350"/>
            </w:tabs>
            <w:rPr>
              <w:rFonts w:asciiTheme="minorHAnsi" w:eastAsiaTheme="minorEastAsia" w:hAnsiTheme="minorHAnsi"/>
              <w:noProof/>
              <w:sz w:val="22"/>
              <w:szCs w:val="22"/>
              <w:lang w:val="fr-FR" w:eastAsia="fr-FR"/>
            </w:rPr>
          </w:pPr>
          <w:hyperlink w:anchor="_Toc227515548" w:history="1">
            <w:r w:rsidRPr="0015110A">
              <w:rPr>
                <w:rStyle w:val="Lienhypertexte"/>
                <w:noProof/>
              </w:rPr>
              <w:t>6.1</w:t>
            </w:r>
            <w:r>
              <w:rPr>
                <w:rFonts w:asciiTheme="minorHAnsi" w:eastAsiaTheme="minorEastAsia" w:hAnsiTheme="minorHAnsi"/>
                <w:noProof/>
                <w:sz w:val="22"/>
                <w:szCs w:val="22"/>
                <w:lang w:val="fr-FR" w:eastAsia="fr-FR"/>
              </w:rPr>
              <w:tab/>
            </w:r>
            <w:r w:rsidRPr="0015110A">
              <w:rPr>
                <w:rStyle w:val="Lienhypertexte"/>
                <w:noProof/>
              </w:rPr>
              <w:t>Désagrégation par sexe du gestionnaire</w:t>
            </w:r>
            <w:r>
              <w:rPr>
                <w:noProof/>
                <w:webHidden/>
              </w:rPr>
              <w:tab/>
            </w:r>
            <w:r>
              <w:rPr>
                <w:noProof/>
                <w:webHidden/>
              </w:rPr>
              <w:fldChar w:fldCharType="begin"/>
            </w:r>
            <w:r>
              <w:rPr>
                <w:noProof/>
                <w:webHidden/>
              </w:rPr>
              <w:instrText xml:space="preserve"> PAGEREF _Toc227515548 \h </w:instrText>
            </w:r>
            <w:r>
              <w:rPr>
                <w:noProof/>
                <w:webHidden/>
              </w:rPr>
            </w:r>
            <w:r>
              <w:rPr>
                <w:noProof/>
                <w:webHidden/>
              </w:rPr>
              <w:fldChar w:fldCharType="separate"/>
            </w:r>
            <w:r>
              <w:rPr>
                <w:noProof/>
                <w:webHidden/>
              </w:rPr>
              <w:t>10</w:t>
            </w:r>
            <w:r>
              <w:rPr>
                <w:noProof/>
                <w:webHidden/>
              </w:rPr>
              <w:fldChar w:fldCharType="end"/>
            </w:r>
          </w:hyperlink>
        </w:p>
        <w:p w14:paraId="68CDCA6D" w14:textId="77777777" w:rsidR="00E3239C" w:rsidRDefault="00E3239C">
          <w:pPr>
            <w:pStyle w:val="TM2"/>
            <w:tabs>
              <w:tab w:val="left" w:pos="880"/>
              <w:tab w:val="right" w:leader="dot" w:pos="9350"/>
            </w:tabs>
            <w:rPr>
              <w:rFonts w:asciiTheme="minorHAnsi" w:eastAsiaTheme="minorEastAsia" w:hAnsiTheme="minorHAnsi"/>
              <w:noProof/>
              <w:sz w:val="22"/>
              <w:szCs w:val="22"/>
              <w:lang w:val="fr-FR" w:eastAsia="fr-FR"/>
            </w:rPr>
          </w:pPr>
          <w:hyperlink w:anchor="_Toc227515549" w:history="1">
            <w:r w:rsidRPr="0015110A">
              <w:rPr>
                <w:rStyle w:val="Lienhypertexte"/>
                <w:noProof/>
              </w:rPr>
              <w:t>6.2</w:t>
            </w:r>
            <w:r>
              <w:rPr>
                <w:rFonts w:asciiTheme="minorHAnsi" w:eastAsiaTheme="minorEastAsia" w:hAnsiTheme="minorHAnsi"/>
                <w:noProof/>
                <w:sz w:val="22"/>
                <w:szCs w:val="22"/>
                <w:lang w:val="fr-FR" w:eastAsia="fr-FR"/>
              </w:rPr>
              <w:tab/>
            </w:r>
            <w:r w:rsidRPr="0015110A">
              <w:rPr>
                <w:rStyle w:val="Lienhypertexte"/>
                <w:noProof/>
              </w:rPr>
              <w:t>Désagrégation par sexe du chef de ménage</w:t>
            </w:r>
            <w:r>
              <w:rPr>
                <w:noProof/>
                <w:webHidden/>
              </w:rPr>
              <w:tab/>
            </w:r>
            <w:r>
              <w:rPr>
                <w:noProof/>
                <w:webHidden/>
              </w:rPr>
              <w:fldChar w:fldCharType="begin"/>
            </w:r>
            <w:r>
              <w:rPr>
                <w:noProof/>
                <w:webHidden/>
              </w:rPr>
              <w:instrText xml:space="preserve"> PAGEREF _Toc227515549 \h </w:instrText>
            </w:r>
            <w:r>
              <w:rPr>
                <w:noProof/>
                <w:webHidden/>
              </w:rPr>
            </w:r>
            <w:r>
              <w:rPr>
                <w:noProof/>
                <w:webHidden/>
              </w:rPr>
              <w:fldChar w:fldCharType="separate"/>
            </w:r>
            <w:r>
              <w:rPr>
                <w:noProof/>
                <w:webHidden/>
              </w:rPr>
              <w:t>11</w:t>
            </w:r>
            <w:r>
              <w:rPr>
                <w:noProof/>
                <w:webHidden/>
              </w:rPr>
              <w:fldChar w:fldCharType="end"/>
            </w:r>
          </w:hyperlink>
        </w:p>
        <w:p w14:paraId="39DB9E06"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50" w:history="1">
            <w:r w:rsidRPr="0015110A">
              <w:rPr>
                <w:rStyle w:val="Lienhypertexte"/>
                <w:noProof/>
              </w:rPr>
              <w:t>7</w:t>
            </w:r>
            <w:r>
              <w:rPr>
                <w:rFonts w:asciiTheme="minorHAnsi" w:eastAsiaTheme="minorEastAsia" w:hAnsiTheme="minorHAnsi"/>
                <w:noProof/>
                <w:sz w:val="22"/>
                <w:szCs w:val="22"/>
                <w:lang w:val="fr-FR" w:eastAsia="fr-FR"/>
              </w:rPr>
              <w:tab/>
            </w:r>
            <w:r w:rsidRPr="0015110A">
              <w:rPr>
                <w:rStyle w:val="Lienhypertexte"/>
                <w:noProof/>
              </w:rPr>
              <w:t>Superficie totale du ménage et nombre de parcelles</w:t>
            </w:r>
            <w:r>
              <w:rPr>
                <w:noProof/>
                <w:webHidden/>
              </w:rPr>
              <w:tab/>
            </w:r>
            <w:r>
              <w:rPr>
                <w:noProof/>
                <w:webHidden/>
              </w:rPr>
              <w:fldChar w:fldCharType="begin"/>
            </w:r>
            <w:r>
              <w:rPr>
                <w:noProof/>
                <w:webHidden/>
              </w:rPr>
              <w:instrText xml:space="preserve"> PAGEREF _Toc227515550 \h </w:instrText>
            </w:r>
            <w:r>
              <w:rPr>
                <w:noProof/>
                <w:webHidden/>
              </w:rPr>
            </w:r>
            <w:r>
              <w:rPr>
                <w:noProof/>
                <w:webHidden/>
              </w:rPr>
              <w:fldChar w:fldCharType="separate"/>
            </w:r>
            <w:r>
              <w:rPr>
                <w:noProof/>
                <w:webHidden/>
              </w:rPr>
              <w:t>12</w:t>
            </w:r>
            <w:r>
              <w:rPr>
                <w:noProof/>
                <w:webHidden/>
              </w:rPr>
              <w:fldChar w:fldCharType="end"/>
            </w:r>
          </w:hyperlink>
        </w:p>
        <w:p w14:paraId="394A31A2"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51" w:history="1">
            <w:r w:rsidRPr="0015110A">
              <w:rPr>
                <w:rStyle w:val="Lienhypertexte"/>
                <w:noProof/>
              </w:rPr>
              <w:t>8</w:t>
            </w:r>
            <w:r>
              <w:rPr>
                <w:rFonts w:asciiTheme="minorHAnsi" w:eastAsiaTheme="minorEastAsia" w:hAnsiTheme="minorHAnsi"/>
                <w:noProof/>
                <w:sz w:val="22"/>
                <w:szCs w:val="22"/>
                <w:lang w:val="fr-FR" w:eastAsia="fr-FR"/>
              </w:rPr>
              <w:tab/>
            </w:r>
            <w:r w:rsidRPr="0015110A">
              <w:rPr>
                <w:rStyle w:val="Lienhypertexte"/>
                <w:noProof/>
              </w:rPr>
              <w:t>Carte de la superficie médiane par État</w:t>
            </w:r>
            <w:r>
              <w:rPr>
                <w:noProof/>
                <w:webHidden/>
              </w:rPr>
              <w:tab/>
            </w:r>
            <w:r>
              <w:rPr>
                <w:noProof/>
                <w:webHidden/>
              </w:rPr>
              <w:fldChar w:fldCharType="begin"/>
            </w:r>
            <w:r>
              <w:rPr>
                <w:noProof/>
                <w:webHidden/>
              </w:rPr>
              <w:instrText xml:space="preserve"> PAGEREF _Toc227515551 \h </w:instrText>
            </w:r>
            <w:r>
              <w:rPr>
                <w:noProof/>
                <w:webHidden/>
              </w:rPr>
            </w:r>
            <w:r>
              <w:rPr>
                <w:noProof/>
                <w:webHidden/>
              </w:rPr>
              <w:fldChar w:fldCharType="separate"/>
            </w:r>
            <w:r>
              <w:rPr>
                <w:noProof/>
                <w:webHidden/>
              </w:rPr>
              <w:t>13</w:t>
            </w:r>
            <w:r>
              <w:rPr>
                <w:noProof/>
                <w:webHidden/>
              </w:rPr>
              <w:fldChar w:fldCharType="end"/>
            </w:r>
          </w:hyperlink>
        </w:p>
        <w:p w14:paraId="6E5EEB71" w14:textId="77777777" w:rsidR="00E3239C" w:rsidRDefault="00E3239C">
          <w:pPr>
            <w:pStyle w:val="TM1"/>
            <w:tabs>
              <w:tab w:val="left" w:pos="440"/>
              <w:tab w:val="right" w:leader="dot" w:pos="9350"/>
            </w:tabs>
            <w:rPr>
              <w:rFonts w:asciiTheme="minorHAnsi" w:eastAsiaTheme="minorEastAsia" w:hAnsiTheme="minorHAnsi"/>
              <w:noProof/>
              <w:sz w:val="22"/>
              <w:szCs w:val="22"/>
              <w:lang w:val="fr-FR" w:eastAsia="fr-FR"/>
            </w:rPr>
          </w:pPr>
          <w:hyperlink w:anchor="_Toc227515552" w:history="1">
            <w:r w:rsidRPr="0015110A">
              <w:rPr>
                <w:rStyle w:val="Lienhypertexte"/>
                <w:noProof/>
              </w:rPr>
              <w:t>9</w:t>
            </w:r>
            <w:r>
              <w:rPr>
                <w:rFonts w:asciiTheme="minorHAnsi" w:eastAsiaTheme="minorEastAsia" w:hAnsiTheme="minorHAnsi"/>
                <w:noProof/>
                <w:sz w:val="22"/>
                <w:szCs w:val="22"/>
                <w:lang w:val="fr-FR" w:eastAsia="fr-FR"/>
              </w:rPr>
              <w:tab/>
            </w:r>
            <w:r w:rsidRPr="0015110A">
              <w:rPr>
                <w:rStyle w:val="Lienhypertexte"/>
                <w:noProof/>
              </w:rPr>
              <w:t>Carte de la superficie médiane par région</w:t>
            </w:r>
            <w:r>
              <w:rPr>
                <w:noProof/>
                <w:webHidden/>
              </w:rPr>
              <w:tab/>
            </w:r>
            <w:r>
              <w:rPr>
                <w:noProof/>
                <w:webHidden/>
              </w:rPr>
              <w:fldChar w:fldCharType="begin"/>
            </w:r>
            <w:r>
              <w:rPr>
                <w:noProof/>
                <w:webHidden/>
              </w:rPr>
              <w:instrText xml:space="preserve"> PAGEREF _Toc227515552 \h </w:instrText>
            </w:r>
            <w:r>
              <w:rPr>
                <w:noProof/>
                <w:webHidden/>
              </w:rPr>
            </w:r>
            <w:r>
              <w:rPr>
                <w:noProof/>
                <w:webHidden/>
              </w:rPr>
              <w:fldChar w:fldCharType="separate"/>
            </w:r>
            <w:r>
              <w:rPr>
                <w:noProof/>
                <w:webHidden/>
              </w:rPr>
              <w:t>14</w:t>
            </w:r>
            <w:r>
              <w:rPr>
                <w:noProof/>
                <w:webHidden/>
              </w:rPr>
              <w:fldChar w:fldCharType="end"/>
            </w:r>
          </w:hyperlink>
        </w:p>
        <w:p w14:paraId="4A7B34DA" w14:textId="77777777" w:rsidR="00E3239C" w:rsidRDefault="00E3239C">
          <w:pPr>
            <w:pStyle w:val="TM1"/>
            <w:tabs>
              <w:tab w:val="left" w:pos="660"/>
              <w:tab w:val="right" w:leader="dot" w:pos="9350"/>
            </w:tabs>
            <w:rPr>
              <w:rFonts w:asciiTheme="minorHAnsi" w:eastAsiaTheme="minorEastAsia" w:hAnsiTheme="minorHAnsi"/>
              <w:noProof/>
              <w:sz w:val="22"/>
              <w:szCs w:val="22"/>
              <w:lang w:val="fr-FR" w:eastAsia="fr-FR"/>
            </w:rPr>
          </w:pPr>
          <w:hyperlink w:anchor="_Toc227515553" w:history="1">
            <w:r w:rsidRPr="0015110A">
              <w:rPr>
                <w:rStyle w:val="Lienhypertexte"/>
                <w:noProof/>
              </w:rPr>
              <w:t>10</w:t>
            </w:r>
            <w:r>
              <w:rPr>
                <w:rFonts w:asciiTheme="minorHAnsi" w:eastAsiaTheme="minorEastAsia" w:hAnsiTheme="minorHAnsi"/>
                <w:noProof/>
                <w:sz w:val="22"/>
                <w:szCs w:val="22"/>
                <w:lang w:val="fr-FR" w:eastAsia="fr-FR"/>
              </w:rPr>
              <w:tab/>
            </w:r>
            <w:r w:rsidRPr="0015110A">
              <w:rPr>
                <w:rStyle w:val="Lienhypertexte"/>
                <w:noProof/>
              </w:rPr>
              <w:t>Tableau de synthèse</w:t>
            </w:r>
            <w:r>
              <w:rPr>
                <w:noProof/>
                <w:webHidden/>
              </w:rPr>
              <w:tab/>
            </w:r>
            <w:r>
              <w:rPr>
                <w:noProof/>
                <w:webHidden/>
              </w:rPr>
              <w:fldChar w:fldCharType="begin"/>
            </w:r>
            <w:r>
              <w:rPr>
                <w:noProof/>
                <w:webHidden/>
              </w:rPr>
              <w:instrText xml:space="preserve"> PAGEREF _Toc227515553 \h </w:instrText>
            </w:r>
            <w:r>
              <w:rPr>
                <w:noProof/>
                <w:webHidden/>
              </w:rPr>
            </w:r>
            <w:r>
              <w:rPr>
                <w:noProof/>
                <w:webHidden/>
              </w:rPr>
              <w:fldChar w:fldCharType="separate"/>
            </w:r>
            <w:r>
              <w:rPr>
                <w:noProof/>
                <w:webHidden/>
              </w:rPr>
              <w:t>15</w:t>
            </w:r>
            <w:r>
              <w:rPr>
                <w:noProof/>
                <w:webHidden/>
              </w:rPr>
              <w:fldChar w:fldCharType="end"/>
            </w:r>
          </w:hyperlink>
        </w:p>
        <w:p w14:paraId="73A77120" w14:textId="77777777" w:rsidR="00E3239C" w:rsidRDefault="00E3239C">
          <w:pPr>
            <w:pStyle w:val="TM1"/>
            <w:tabs>
              <w:tab w:val="left" w:pos="660"/>
              <w:tab w:val="right" w:leader="dot" w:pos="9350"/>
            </w:tabs>
            <w:rPr>
              <w:rFonts w:asciiTheme="minorHAnsi" w:eastAsiaTheme="minorEastAsia" w:hAnsiTheme="minorHAnsi"/>
              <w:noProof/>
              <w:sz w:val="22"/>
              <w:szCs w:val="22"/>
              <w:lang w:val="fr-FR" w:eastAsia="fr-FR"/>
            </w:rPr>
          </w:pPr>
          <w:hyperlink w:anchor="_Toc227515554" w:history="1">
            <w:r w:rsidRPr="0015110A">
              <w:rPr>
                <w:rStyle w:val="Lienhypertexte"/>
                <w:noProof/>
              </w:rPr>
              <w:t>11</w:t>
            </w:r>
            <w:r>
              <w:rPr>
                <w:rFonts w:asciiTheme="minorHAnsi" w:eastAsiaTheme="minorEastAsia" w:hAnsiTheme="minorHAnsi"/>
                <w:noProof/>
                <w:sz w:val="22"/>
                <w:szCs w:val="22"/>
                <w:lang w:val="fr-FR" w:eastAsia="fr-FR"/>
              </w:rPr>
              <w:tab/>
            </w:r>
            <w:r w:rsidRPr="0015110A">
              <w:rPr>
                <w:rStyle w:val="Lienhypertexte"/>
                <w:noProof/>
              </w:rPr>
              <w:t>Discussion</w:t>
            </w:r>
            <w:r>
              <w:rPr>
                <w:noProof/>
                <w:webHidden/>
              </w:rPr>
              <w:tab/>
            </w:r>
            <w:r>
              <w:rPr>
                <w:noProof/>
                <w:webHidden/>
              </w:rPr>
              <w:fldChar w:fldCharType="begin"/>
            </w:r>
            <w:r>
              <w:rPr>
                <w:noProof/>
                <w:webHidden/>
              </w:rPr>
              <w:instrText xml:space="preserve"> PAGEREF _Toc227515554 \h </w:instrText>
            </w:r>
            <w:r>
              <w:rPr>
                <w:noProof/>
                <w:webHidden/>
              </w:rPr>
            </w:r>
            <w:r>
              <w:rPr>
                <w:noProof/>
                <w:webHidden/>
              </w:rPr>
              <w:fldChar w:fldCharType="separate"/>
            </w:r>
            <w:r>
              <w:rPr>
                <w:noProof/>
                <w:webHidden/>
              </w:rPr>
              <w:t>16</w:t>
            </w:r>
            <w:r>
              <w:rPr>
                <w:noProof/>
                <w:webHidden/>
              </w:rPr>
              <w:fldChar w:fldCharType="end"/>
            </w:r>
          </w:hyperlink>
        </w:p>
        <w:p w14:paraId="79ABC1F9" w14:textId="77777777" w:rsidR="00E3239C" w:rsidRDefault="00E3239C">
          <w:pPr>
            <w:pStyle w:val="TM2"/>
            <w:tabs>
              <w:tab w:val="left" w:pos="880"/>
              <w:tab w:val="right" w:leader="dot" w:pos="9350"/>
            </w:tabs>
            <w:rPr>
              <w:rFonts w:asciiTheme="minorHAnsi" w:eastAsiaTheme="minorEastAsia" w:hAnsiTheme="minorHAnsi"/>
              <w:noProof/>
              <w:sz w:val="22"/>
              <w:szCs w:val="22"/>
              <w:lang w:val="fr-FR" w:eastAsia="fr-FR"/>
            </w:rPr>
          </w:pPr>
          <w:hyperlink w:anchor="_Toc227515555" w:history="1">
            <w:r w:rsidRPr="0015110A">
              <w:rPr>
                <w:rStyle w:val="Lienhypertexte"/>
                <w:noProof/>
              </w:rPr>
              <w:t>11.1</w:t>
            </w:r>
            <w:r>
              <w:rPr>
                <w:rFonts w:asciiTheme="minorHAnsi" w:eastAsiaTheme="minorEastAsia" w:hAnsiTheme="minorHAnsi"/>
                <w:noProof/>
                <w:sz w:val="22"/>
                <w:szCs w:val="22"/>
                <w:lang w:val="fr-FR" w:eastAsia="fr-FR"/>
              </w:rPr>
              <w:tab/>
            </w:r>
            <w:r w:rsidRPr="0015110A">
              <w:rPr>
                <w:rStyle w:val="Lienhypertexte"/>
                <w:noProof/>
              </w:rPr>
              <w:t>Confrontation avec le rapport officiel NBS/World Bank</w:t>
            </w:r>
            <w:r>
              <w:rPr>
                <w:noProof/>
                <w:webHidden/>
              </w:rPr>
              <w:tab/>
            </w:r>
            <w:r>
              <w:rPr>
                <w:noProof/>
                <w:webHidden/>
              </w:rPr>
              <w:fldChar w:fldCharType="begin"/>
            </w:r>
            <w:r>
              <w:rPr>
                <w:noProof/>
                <w:webHidden/>
              </w:rPr>
              <w:instrText xml:space="preserve"> PAGEREF _Toc227515555 \h </w:instrText>
            </w:r>
            <w:r>
              <w:rPr>
                <w:noProof/>
                <w:webHidden/>
              </w:rPr>
            </w:r>
            <w:r>
              <w:rPr>
                <w:noProof/>
                <w:webHidden/>
              </w:rPr>
              <w:fldChar w:fldCharType="separate"/>
            </w:r>
            <w:r>
              <w:rPr>
                <w:noProof/>
                <w:webHidden/>
              </w:rPr>
              <w:t>16</w:t>
            </w:r>
            <w:r>
              <w:rPr>
                <w:noProof/>
                <w:webHidden/>
              </w:rPr>
              <w:fldChar w:fldCharType="end"/>
            </w:r>
          </w:hyperlink>
        </w:p>
        <w:p w14:paraId="4D3D5648" w14:textId="77777777" w:rsidR="00E3239C" w:rsidRDefault="00E3239C">
          <w:pPr>
            <w:pStyle w:val="TM2"/>
            <w:tabs>
              <w:tab w:val="left" w:pos="880"/>
              <w:tab w:val="right" w:leader="dot" w:pos="9350"/>
            </w:tabs>
            <w:rPr>
              <w:rFonts w:asciiTheme="minorHAnsi" w:eastAsiaTheme="minorEastAsia" w:hAnsiTheme="minorHAnsi"/>
              <w:noProof/>
              <w:sz w:val="22"/>
              <w:szCs w:val="22"/>
              <w:lang w:val="fr-FR" w:eastAsia="fr-FR"/>
            </w:rPr>
          </w:pPr>
          <w:hyperlink w:anchor="_Toc227515556" w:history="1">
            <w:r w:rsidRPr="0015110A">
              <w:rPr>
                <w:rStyle w:val="Lienhypertexte"/>
                <w:noProof/>
              </w:rPr>
              <w:t>11.2</w:t>
            </w:r>
            <w:r>
              <w:rPr>
                <w:rFonts w:asciiTheme="minorHAnsi" w:eastAsiaTheme="minorEastAsia" w:hAnsiTheme="minorHAnsi"/>
                <w:noProof/>
                <w:sz w:val="22"/>
                <w:szCs w:val="22"/>
                <w:lang w:val="fr-FR" w:eastAsia="fr-FR"/>
              </w:rPr>
              <w:tab/>
            </w:r>
            <w:r w:rsidRPr="0015110A">
              <w:rPr>
                <w:rStyle w:val="Lienhypertexte"/>
                <w:noProof/>
              </w:rPr>
              <w:t>Biais potentiels</w:t>
            </w:r>
            <w:r>
              <w:rPr>
                <w:noProof/>
                <w:webHidden/>
              </w:rPr>
              <w:tab/>
            </w:r>
            <w:r>
              <w:rPr>
                <w:noProof/>
                <w:webHidden/>
              </w:rPr>
              <w:fldChar w:fldCharType="begin"/>
            </w:r>
            <w:r>
              <w:rPr>
                <w:noProof/>
                <w:webHidden/>
              </w:rPr>
              <w:instrText xml:space="preserve"> PAGEREF _Toc227515556 \h </w:instrText>
            </w:r>
            <w:r>
              <w:rPr>
                <w:noProof/>
                <w:webHidden/>
              </w:rPr>
            </w:r>
            <w:r>
              <w:rPr>
                <w:noProof/>
                <w:webHidden/>
              </w:rPr>
              <w:fldChar w:fldCharType="separate"/>
            </w:r>
            <w:r>
              <w:rPr>
                <w:noProof/>
                <w:webHidden/>
              </w:rPr>
              <w:t>16</w:t>
            </w:r>
            <w:r>
              <w:rPr>
                <w:noProof/>
                <w:webHidden/>
              </w:rPr>
              <w:fldChar w:fldCharType="end"/>
            </w:r>
          </w:hyperlink>
        </w:p>
        <w:p w14:paraId="4523E67E" w14:textId="77777777" w:rsidR="00E3239C" w:rsidRDefault="00E3239C">
          <w:pPr>
            <w:pStyle w:val="TM2"/>
            <w:tabs>
              <w:tab w:val="left" w:pos="880"/>
              <w:tab w:val="right" w:leader="dot" w:pos="9350"/>
            </w:tabs>
            <w:rPr>
              <w:rFonts w:asciiTheme="minorHAnsi" w:eastAsiaTheme="minorEastAsia" w:hAnsiTheme="minorHAnsi"/>
              <w:noProof/>
              <w:sz w:val="22"/>
              <w:szCs w:val="22"/>
              <w:lang w:val="fr-FR" w:eastAsia="fr-FR"/>
            </w:rPr>
          </w:pPr>
          <w:hyperlink w:anchor="_Toc227515557" w:history="1">
            <w:r w:rsidRPr="0015110A">
              <w:rPr>
                <w:rStyle w:val="Lienhypertexte"/>
                <w:noProof/>
              </w:rPr>
              <w:t>11.3</w:t>
            </w:r>
            <w:r>
              <w:rPr>
                <w:rFonts w:asciiTheme="minorHAnsi" w:eastAsiaTheme="minorEastAsia" w:hAnsiTheme="minorHAnsi"/>
                <w:noProof/>
                <w:sz w:val="22"/>
                <w:szCs w:val="22"/>
                <w:lang w:val="fr-FR" w:eastAsia="fr-FR"/>
              </w:rPr>
              <w:tab/>
            </w:r>
            <w:r w:rsidRPr="0015110A">
              <w:rPr>
                <w:rStyle w:val="Lienhypertexte"/>
                <w:noProof/>
              </w:rPr>
              <w:t>Implications pour les politiques publiques</w:t>
            </w:r>
            <w:r>
              <w:rPr>
                <w:noProof/>
                <w:webHidden/>
              </w:rPr>
              <w:tab/>
            </w:r>
            <w:r>
              <w:rPr>
                <w:noProof/>
                <w:webHidden/>
              </w:rPr>
              <w:fldChar w:fldCharType="begin"/>
            </w:r>
            <w:r>
              <w:rPr>
                <w:noProof/>
                <w:webHidden/>
              </w:rPr>
              <w:instrText xml:space="preserve"> PAGEREF _Toc227515557 \h </w:instrText>
            </w:r>
            <w:r>
              <w:rPr>
                <w:noProof/>
                <w:webHidden/>
              </w:rPr>
            </w:r>
            <w:r>
              <w:rPr>
                <w:noProof/>
                <w:webHidden/>
              </w:rPr>
              <w:fldChar w:fldCharType="separate"/>
            </w:r>
            <w:r>
              <w:rPr>
                <w:noProof/>
                <w:webHidden/>
              </w:rPr>
              <w:t>16</w:t>
            </w:r>
            <w:r>
              <w:rPr>
                <w:noProof/>
                <w:webHidden/>
              </w:rPr>
              <w:fldChar w:fldCharType="end"/>
            </w:r>
          </w:hyperlink>
        </w:p>
        <w:p w14:paraId="0D4E3D8D" w14:textId="77777777" w:rsidR="00E3239C" w:rsidRDefault="00E3239C">
          <w:pPr>
            <w:pStyle w:val="TM1"/>
            <w:tabs>
              <w:tab w:val="left" w:pos="660"/>
              <w:tab w:val="right" w:leader="dot" w:pos="9350"/>
            </w:tabs>
            <w:rPr>
              <w:rFonts w:asciiTheme="minorHAnsi" w:eastAsiaTheme="minorEastAsia" w:hAnsiTheme="minorHAnsi"/>
              <w:noProof/>
              <w:sz w:val="22"/>
              <w:szCs w:val="22"/>
              <w:lang w:val="fr-FR" w:eastAsia="fr-FR"/>
            </w:rPr>
          </w:pPr>
          <w:hyperlink w:anchor="_Toc227515558" w:history="1">
            <w:r w:rsidRPr="0015110A">
              <w:rPr>
                <w:rStyle w:val="Lienhypertexte"/>
                <w:noProof/>
              </w:rPr>
              <w:t>12</w:t>
            </w:r>
            <w:r>
              <w:rPr>
                <w:rFonts w:asciiTheme="minorHAnsi" w:eastAsiaTheme="minorEastAsia" w:hAnsiTheme="minorHAnsi"/>
                <w:noProof/>
                <w:sz w:val="22"/>
                <w:szCs w:val="22"/>
                <w:lang w:val="fr-FR" w:eastAsia="fr-FR"/>
              </w:rPr>
              <w:tab/>
            </w:r>
            <w:r w:rsidRPr="0015110A">
              <w:rPr>
                <w:rStyle w:val="Lienhypertexte"/>
                <w:noProof/>
              </w:rPr>
              <w:t>Conclusion</w:t>
            </w:r>
            <w:r>
              <w:rPr>
                <w:noProof/>
                <w:webHidden/>
              </w:rPr>
              <w:tab/>
            </w:r>
            <w:r>
              <w:rPr>
                <w:noProof/>
                <w:webHidden/>
              </w:rPr>
              <w:fldChar w:fldCharType="begin"/>
            </w:r>
            <w:r>
              <w:rPr>
                <w:noProof/>
                <w:webHidden/>
              </w:rPr>
              <w:instrText xml:space="preserve"> PAGEREF _Toc227515558 \h </w:instrText>
            </w:r>
            <w:r>
              <w:rPr>
                <w:noProof/>
                <w:webHidden/>
              </w:rPr>
            </w:r>
            <w:r>
              <w:rPr>
                <w:noProof/>
                <w:webHidden/>
              </w:rPr>
              <w:fldChar w:fldCharType="separate"/>
            </w:r>
            <w:r>
              <w:rPr>
                <w:noProof/>
                <w:webHidden/>
              </w:rPr>
              <w:t>17</w:t>
            </w:r>
            <w:r>
              <w:rPr>
                <w:noProof/>
                <w:webHidden/>
              </w:rPr>
              <w:fldChar w:fldCharType="end"/>
            </w:r>
          </w:hyperlink>
        </w:p>
        <w:p w14:paraId="0D9C1288" w14:textId="77777777" w:rsidR="00E3239C" w:rsidRDefault="00E3239C">
          <w:pPr>
            <w:pStyle w:val="TM1"/>
            <w:tabs>
              <w:tab w:val="left" w:pos="660"/>
              <w:tab w:val="right" w:leader="dot" w:pos="9350"/>
            </w:tabs>
            <w:rPr>
              <w:rFonts w:asciiTheme="minorHAnsi" w:eastAsiaTheme="minorEastAsia" w:hAnsiTheme="minorHAnsi"/>
              <w:noProof/>
              <w:sz w:val="22"/>
              <w:szCs w:val="22"/>
              <w:lang w:val="fr-FR" w:eastAsia="fr-FR"/>
            </w:rPr>
          </w:pPr>
          <w:hyperlink w:anchor="_Toc227515559" w:history="1">
            <w:r w:rsidRPr="0015110A">
              <w:rPr>
                <w:rStyle w:val="Lienhypertexte"/>
                <w:noProof/>
              </w:rPr>
              <w:t>13</w:t>
            </w:r>
            <w:r>
              <w:rPr>
                <w:rFonts w:asciiTheme="minorHAnsi" w:eastAsiaTheme="minorEastAsia" w:hAnsiTheme="minorHAnsi"/>
                <w:noProof/>
                <w:sz w:val="22"/>
                <w:szCs w:val="22"/>
                <w:lang w:val="fr-FR" w:eastAsia="fr-FR"/>
              </w:rPr>
              <w:tab/>
            </w:r>
            <w:r w:rsidRPr="0015110A">
              <w:rPr>
                <w:rStyle w:val="Lienhypertexte"/>
                <w:noProof/>
              </w:rPr>
              <w:t>Références</w:t>
            </w:r>
            <w:r>
              <w:rPr>
                <w:noProof/>
                <w:webHidden/>
              </w:rPr>
              <w:tab/>
            </w:r>
            <w:r>
              <w:rPr>
                <w:noProof/>
                <w:webHidden/>
              </w:rPr>
              <w:fldChar w:fldCharType="begin"/>
            </w:r>
            <w:r>
              <w:rPr>
                <w:noProof/>
                <w:webHidden/>
              </w:rPr>
              <w:instrText xml:space="preserve"> PAGEREF _Toc227515559 \h </w:instrText>
            </w:r>
            <w:r>
              <w:rPr>
                <w:noProof/>
                <w:webHidden/>
              </w:rPr>
            </w:r>
            <w:r>
              <w:rPr>
                <w:noProof/>
                <w:webHidden/>
              </w:rPr>
              <w:fldChar w:fldCharType="separate"/>
            </w:r>
            <w:r>
              <w:rPr>
                <w:noProof/>
                <w:webHidden/>
              </w:rPr>
              <w:t>17</w:t>
            </w:r>
            <w:r>
              <w:rPr>
                <w:noProof/>
                <w:webHidden/>
              </w:rPr>
              <w:fldChar w:fldCharType="end"/>
            </w:r>
          </w:hyperlink>
        </w:p>
        <w:p w14:paraId="377FA9BF" w14:textId="77777777" w:rsidR="003C471F" w:rsidRDefault="0075711C">
          <w:r>
            <w:fldChar w:fldCharType="end"/>
          </w:r>
        </w:p>
      </w:sdtContent>
    </w:sdt>
    <w:p w14:paraId="379FE306" w14:textId="77777777" w:rsidR="003C471F" w:rsidRDefault="0075711C">
      <w:pPr>
        <w:pStyle w:val="Titre1"/>
      </w:pPr>
      <w:bookmarkStart w:id="0" w:name="messages-clés"/>
      <w:bookmarkStart w:id="1" w:name="_Toc227515542"/>
      <w:r>
        <w:rPr>
          <w:rStyle w:val="SectionNumber"/>
        </w:rPr>
        <w:t>1</w:t>
      </w:r>
      <w:r>
        <w:tab/>
        <w:t>Messages clés</w:t>
      </w:r>
      <w:bookmarkEnd w:id="1"/>
    </w:p>
    <w:p w14:paraId="0BD52078" w14:textId="77777777" w:rsidR="003C471F" w:rsidRDefault="0075711C">
      <w:pPr>
        <w:pStyle w:val="FirstParagraph"/>
      </w:pPr>
      <w:r w:rsidRPr="00E3239C">
        <w:rPr>
          <w:b/>
          <w:bCs/>
          <w:color w:val="2E7D32"/>
        </w:rPr>
        <w:t>Structure foncière.</w:t>
      </w:r>
      <w:r>
        <w:t xml:space="preserve"> Les exploitations agricoles nigérianes sont de petite taille. Un ménage agricole gère en moyenne 2,81 parcelles, pour une superficie totale moyenne de 1,24 hectare. La médiane par parcelle est de 0,20 ha, ce qui signifie que la moitié d</w:t>
      </w:r>
      <w:r>
        <w:t>es parcelles nigérianes font au plus cette superficie. Cette multiplicité de petites parcelles par foyer traduit un morcellement générationnel lié aux systèmes de succession coutumière.</w:t>
      </w:r>
    </w:p>
    <w:p w14:paraId="0A4B536B" w14:textId="77777777" w:rsidR="003C471F" w:rsidRDefault="0075711C">
      <w:pPr>
        <w:pStyle w:val="Corpsdetexte"/>
      </w:pPr>
      <w:r w:rsidRPr="00E3239C">
        <w:rPr>
          <w:b/>
          <w:bCs/>
          <w:color w:val="2E7D32"/>
        </w:rPr>
        <w:t>Fiabilité de la mesure.</w:t>
      </w:r>
      <w:r w:rsidRPr="00E3239C">
        <w:rPr>
          <w:color w:val="2E7D32"/>
        </w:rPr>
        <w:t xml:space="preserve"> </w:t>
      </w:r>
      <w:r>
        <w:t>La stratégie à trois niveaux (GPS Post-Harvest</w:t>
      </w:r>
      <w:r>
        <w:t xml:space="preserve"> en priorité, puis GPS Post-Planting, puis déclaration convertie) permet d’atteindre 66.5 % de couverture GPS. En hectares naturels, la relation Mode (0,02 ha) &lt; Médiane (0,20 ha) &lt; Moyenne (0,47 ha) confirme que la distribution est asymétrique à droite (l</w:t>
      </w:r>
      <w:r>
        <w:t>og-normale), ce qui justifie l’échelle logarithmique et le choix de la médiane plutôt que la moyenne comme indicateur de tendance centrale.</w:t>
      </w:r>
    </w:p>
    <w:p w14:paraId="06CBEFB7" w14:textId="77777777" w:rsidR="003C471F" w:rsidRDefault="0075711C">
      <w:pPr>
        <w:pStyle w:val="Corpsdetexte"/>
      </w:pPr>
      <w:r w:rsidRPr="00E3239C">
        <w:rPr>
          <w:b/>
          <w:bCs/>
          <w:color w:val="2E7D32"/>
        </w:rPr>
        <w:t>Biais de déclaration.</w:t>
      </w:r>
      <w:r w:rsidRPr="00E3239C">
        <w:rPr>
          <w:color w:val="2E7D32"/>
        </w:rPr>
        <w:t xml:space="preserve"> </w:t>
      </w:r>
      <w:r>
        <w:t>La corrélation entre la mesure GPS et la déclaration de l’exploitant (rho de Spearman = 0,701)</w:t>
      </w:r>
      <w:r>
        <w:t xml:space="preserve"> confirme un biais. En effet, les petites parcelles sont surdéclarées (l’exploitant dit 0,3 ha pour 0,1 ha mesuré) et les grandes sont sous-déclarées (l’exploitant dit 3 ha pour 5 ha mesuré).</w:t>
      </w:r>
    </w:p>
    <w:p w14:paraId="58B7E9AA" w14:textId="77777777" w:rsidR="003C471F" w:rsidRDefault="0075711C">
      <w:pPr>
        <w:pStyle w:val="Corpsdetexte"/>
      </w:pPr>
      <w:r w:rsidRPr="00E3239C">
        <w:rPr>
          <w:b/>
          <w:bCs/>
          <w:color w:val="2E7D32"/>
        </w:rPr>
        <w:t>Tenure foncière.</w:t>
      </w:r>
      <w:r w:rsidRPr="00E3239C">
        <w:rPr>
          <w:color w:val="2E7D32"/>
        </w:rPr>
        <w:t xml:space="preserve"> </w:t>
      </w:r>
      <w:r>
        <w:t xml:space="preserve">L’héritage familial domine avec environ 63,4 % </w:t>
      </w:r>
      <w:r>
        <w:t>des parcelles, reflet de la persistance du droit coutumier. L’achat ne représente qu’environ 13,1 % et est significativement plus fréquent en milieu urbain (chi-deux Rao-Scott p &lt; 0,001). Environ 20.1 % des parcelles dont le gestionnaire est identifié sont</w:t>
      </w:r>
      <w:r>
        <w:t xml:space="preserve"> gérées par une femme.</w:t>
      </w:r>
    </w:p>
    <w:p w14:paraId="228C02B7" w14:textId="77777777" w:rsidR="003C471F" w:rsidRDefault="0075711C">
      <w:pPr>
        <w:pStyle w:val="Corpsdetexte"/>
      </w:pPr>
      <w:r w:rsidRPr="00E3239C">
        <w:rPr>
          <w:b/>
          <w:bCs/>
          <w:color w:val="2E7D32"/>
        </w:rPr>
        <w:t>Disparités régionales.</w:t>
      </w:r>
      <w:r w:rsidRPr="00E3239C">
        <w:rPr>
          <w:color w:val="2E7D32"/>
        </w:rPr>
        <w:t xml:space="preserve"> </w:t>
      </w:r>
      <w:r>
        <w:t>Le gradient Nord-Sud est net : l’État de Niger atteint 1,21 ha de médiane, tandis que Akwa Ibom ne dépasse pas 0,05 ha. Cette différence reflète le type d’agriculture (céréales extensives au Nord, cultures vivr</w:t>
      </w:r>
      <w:r>
        <w:t>ières au Sud) et la pression démographique (très forte densité au Sud-Est).</w:t>
      </w:r>
    </w:p>
    <w:p w14:paraId="7050E5CB" w14:textId="77777777" w:rsidR="003C471F" w:rsidRDefault="0075711C">
      <w:pPr>
        <w:pStyle w:val="Corpsdetexte"/>
      </w:pPr>
      <w:r w:rsidRPr="00E3239C">
        <w:rPr>
          <w:b/>
          <w:bCs/>
          <w:color w:val="2E7D32"/>
        </w:rPr>
        <w:t>Ménages non agricoles.</w:t>
      </w:r>
      <w:r w:rsidRPr="00E3239C">
        <w:rPr>
          <w:color w:val="2E7D32"/>
        </w:rPr>
        <w:t xml:space="preserve"> </w:t>
      </w:r>
      <w:r>
        <w:t>Sur les 5 263 ménages du fichier de poids, 1 348 (25.6 %) n’ont aucune parcelle agricole et sont exclus de cette analyse.</w:t>
      </w:r>
    </w:p>
    <w:p w14:paraId="6A8C893D" w14:textId="77777777" w:rsidR="003C471F" w:rsidRDefault="0075711C">
      <w:pPr>
        <w:pStyle w:val="Titre1"/>
      </w:pPr>
      <w:bookmarkStart w:id="2" w:name="introduction"/>
      <w:bookmarkStart w:id="3" w:name="_Toc227515543"/>
      <w:bookmarkEnd w:id="0"/>
      <w:r>
        <w:rPr>
          <w:rStyle w:val="SectionNumber"/>
        </w:rPr>
        <w:t>2</w:t>
      </w:r>
      <w:r>
        <w:tab/>
        <w:t>Introduction</w:t>
      </w:r>
      <w:bookmarkEnd w:id="3"/>
    </w:p>
    <w:p w14:paraId="2C79E9F7" w14:textId="77777777" w:rsidR="003C471F" w:rsidRDefault="0075711C">
      <w:pPr>
        <w:pStyle w:val="FirstParagraph"/>
      </w:pPr>
      <w:r>
        <w:t xml:space="preserve">L’agriculture constitue le principal moyen de subsistance de la majorité des ménages nigérians, en particulier en milieu rural. La structure foncière détermine en grande partie la capacité productive des exploitations et l’accès des ménages aux marchés du </w:t>
      </w:r>
      <w:r>
        <w:t>crédit.</w:t>
      </w:r>
    </w:p>
    <w:p w14:paraId="5C11656C" w14:textId="77777777" w:rsidR="003C471F" w:rsidRDefault="0075711C">
      <w:pPr>
        <w:pStyle w:val="Corpsdetexte"/>
      </w:pPr>
      <w:r>
        <w:t>Ce rapport analyse les parcelles agricoles à partir des modules Post-Planting et Post-Harvest de la vague 4 du GHS Panel (2018-2019). La stratégie de mesure combine les deux visites pour maximiser la couverture GPS : 1 066 parcelles mesurées en Pos</w:t>
      </w:r>
      <w:r>
        <w:t xml:space="preserve">t-Harvest (saison sèche, meilleures conditions), 6 301 mesurées en Post-Planting, et 3 705 estimées par déclaration convertie. Toutes les statistiques sont pondérées par </w:t>
      </w:r>
      <w:r>
        <w:rPr>
          <w:rStyle w:val="VerbatimChar"/>
        </w:rPr>
        <w:t>wt_wave4</w:t>
      </w:r>
      <w:r>
        <w:t>, qui est un poids ménage issu du plan de sondage à deux degrés (grappes, puis</w:t>
      </w:r>
      <w:r>
        <w:t xml:space="preserve"> ménages). Le GHS Panel ne prévoit pas de sous-échantillonnage des parcelles : le roster parcellaire est exhaustif au sein de chaque ménage enquêté. L’application du poids ménage aux analyses au niveau parcelle est donc légitime et conforme à la pratique s</w:t>
      </w:r>
      <w:r>
        <w:t>tandard dans les analyses LSMS-ISA.</w:t>
      </w:r>
    </w:p>
    <w:p w14:paraId="226CBF05" w14:textId="77777777" w:rsidR="003C471F" w:rsidRDefault="0075711C">
      <w:pPr>
        <w:pStyle w:val="Titre1"/>
      </w:pPr>
      <w:bookmarkStart w:id="4" w:name="exploration-et-qualité-des-données"/>
      <w:bookmarkStart w:id="5" w:name="_Toc227515544"/>
      <w:bookmarkEnd w:id="2"/>
      <w:r>
        <w:rPr>
          <w:rStyle w:val="SectionNumber"/>
        </w:rPr>
        <w:t>3</w:t>
      </w:r>
      <w:r>
        <w:tab/>
        <w:t>Exploration et qualité des données</w:t>
      </w:r>
      <w:bookmarkEnd w:id="5"/>
    </w:p>
    <w:p w14:paraId="40E8F40A" w14:textId="77777777" w:rsidR="003C471F" w:rsidRDefault="0075711C">
      <w:pPr>
        <w:pStyle w:val="FirstParagraph"/>
      </w:pPr>
      <w:r>
        <w:t xml:space="preserve">Le fichier </w:t>
      </w:r>
      <w:r>
        <w:rPr>
          <w:rStyle w:val="VerbatimChar"/>
        </w:rPr>
        <w:t>sect11a1_plantingw4</w:t>
      </w:r>
      <w:r>
        <w:t xml:space="preserve"> contient 11 076 parcelles issues de 3 915 ménages agricoles. Ce fichier constitue le roster parcellaire du module Post-Planting : chaque ligne représent</w:t>
      </w:r>
      <w:r>
        <w:t>e une parcelle déclarée par le ménage lors de la première visite (saison des pluies, 2018). Il contient la superficie GPS mesurée sur le terrain (</w:t>
      </w:r>
      <w:r>
        <w:rPr>
          <w:rStyle w:val="VerbatimChar"/>
        </w:rPr>
        <w:t>s11aq4c</w:t>
      </w:r>
      <w:r>
        <w:t xml:space="preserve">, en mètres carrés) lorsque l’enquêteur a pu effectuer la mesure, ainsi que la superficie déclarée par </w:t>
      </w:r>
      <w:r>
        <w:t>l’exploitant (</w:t>
      </w:r>
      <w:r>
        <w:rPr>
          <w:rStyle w:val="VerbatimChar"/>
        </w:rPr>
        <w:t>s11aq4aa</w:t>
      </w:r>
      <w:r>
        <w:t>) avec son unité locale (</w:t>
      </w:r>
      <w:r>
        <w:rPr>
          <w:rStyle w:val="VerbatimChar"/>
        </w:rPr>
        <w:t>s11aq4b</w:t>
      </w:r>
      <w:r>
        <w:t xml:space="preserve"> : heaps, ridges, stands, acres, hectares ou mètres carrés).</w:t>
      </w:r>
    </w:p>
    <w:p w14:paraId="43E6F993" w14:textId="77777777" w:rsidR="003C471F" w:rsidRDefault="0075711C">
      <w:pPr>
        <w:pStyle w:val="CaptionedFigure"/>
      </w:pPr>
      <w:r>
        <w:rPr>
          <w:noProof/>
        </w:rPr>
        <w:drawing>
          <wp:inline distT="0" distB="0" distL="0" distR="0" wp14:anchorId="1DA6A023" wp14:editId="1C5A11F8">
            <wp:extent cx="5646420" cy="3136900"/>
            <wp:effectExtent l="0" t="0" r="0" b="0"/>
            <wp:docPr id="23" name="Picture" descr="Valeurs manquantes sur les variables clés. GPS PH a le plus fort taux de NA (90 %) car seules les parcelles non mesurées en PP se voient proposer une nouvelle mesure. GPS PP manque pour 38 % des parcelles. La variable finale (combinant les 3 sources) ne manque que pour 0,1 % des parcelles."/>
            <wp:cNvGraphicFramePr/>
            <a:graphic xmlns:a="http://schemas.openxmlformats.org/drawingml/2006/main">
              <a:graphicData uri="http://schemas.openxmlformats.org/drawingml/2006/picture">
                <pic:pic xmlns:pic="http://schemas.openxmlformats.org/drawingml/2006/picture">
                  <pic:nvPicPr>
                    <pic:cNvPr id="24" name="Picture" descr="../outputs/figures/fig00_diagnostic_NA.png"/>
                    <pic:cNvPicPr>
                      <a:picLocks noChangeAspect="1" noChangeArrowheads="1"/>
                    </pic:cNvPicPr>
                  </pic:nvPicPr>
                  <pic:blipFill>
                    <a:blip r:embed="rId7"/>
                    <a:stretch>
                      <a:fillRect/>
                    </a:stretch>
                  </pic:blipFill>
                  <pic:spPr bwMode="auto">
                    <a:xfrm>
                      <a:off x="0" y="0"/>
                      <a:ext cx="5646420" cy="3136900"/>
                    </a:xfrm>
                    <a:prstGeom prst="rect">
                      <a:avLst/>
                    </a:prstGeom>
                    <a:noFill/>
                    <a:ln w="9525">
                      <a:noFill/>
                      <a:headEnd/>
                      <a:tailEnd/>
                    </a:ln>
                  </pic:spPr>
                </pic:pic>
              </a:graphicData>
            </a:graphic>
          </wp:inline>
        </w:drawing>
      </w:r>
    </w:p>
    <w:p w14:paraId="0F01635B" w14:textId="77777777" w:rsidR="003C471F" w:rsidRDefault="0075711C">
      <w:pPr>
        <w:pStyle w:val="ImageCaption"/>
      </w:pPr>
      <w:r>
        <w:t>Valeurs manquantes sur les variables clés. GPS PH a le plus fort taux de NA (90 %) car seules les parcelles non mesurées en PP se voient pr</w:t>
      </w:r>
      <w:r>
        <w:t>oposer une nouvelle mesure. GPS PP manque pour 38 % des parcelles. La variable finale (combinant les 3 sources) ne manque que pour 0,1 % des parcelles.</w:t>
      </w:r>
    </w:p>
    <w:p w14:paraId="434D6390" w14:textId="77777777" w:rsidR="003C471F" w:rsidRDefault="0075711C">
      <w:pPr>
        <w:pStyle w:val="Corpsdetexte"/>
      </w:pPr>
      <w:r>
        <w:t xml:space="preserve">Le fichier </w:t>
      </w:r>
      <w:r>
        <w:rPr>
          <w:rStyle w:val="VerbatimChar"/>
        </w:rPr>
        <w:t>secta1_harvestw4</w:t>
      </w:r>
      <w:r>
        <w:t xml:space="preserve">, issu de la visite Post-Harvest (saison sèche, 2019), apporte 1 066 mesures </w:t>
      </w:r>
      <w:r>
        <w:t>GPS supplémentaires pour les parcelles qui n’avaient pas pu être mesurées en Post-Planting, portant la couverture GPS combinée à 66.5 %.</w:t>
      </w:r>
    </w:p>
    <w:p w14:paraId="0AF16C6C" w14:textId="77777777" w:rsidR="003C471F" w:rsidRDefault="0075711C">
      <w:pPr>
        <w:pStyle w:val="Corpsdetexte"/>
      </w:pPr>
      <w:r>
        <w:t>Le graphique des valeurs manquantes révèle une structure en escalier. La variable GPS Post-Harvest (GPS PH) est la plus</w:t>
      </w:r>
      <w:r>
        <w:t xml:space="preserve"> lacunaire (environ 90 % de NA), ce qui est normal : cette mesure n’est proposée qu’aux parcelles non mesurées en Post-Planting. Le GPS Post-Planting manque pour environ 38 % des parcelles. Grâce à la stratégie de repli sur la déclaration, la variable de s</w:t>
      </w:r>
      <w:r>
        <w:t>uperficie finale n’a presque aucune valeur manquante. La variable Sexe du gestionnaire manque pour environ 25 % des parcelles (exploitants non identifiés dans le roster).</w:t>
      </w:r>
    </w:p>
    <w:p w14:paraId="6AD92E4B" w14:textId="77777777" w:rsidR="003C471F" w:rsidRDefault="0075711C">
      <w:pPr>
        <w:pStyle w:val="Titre1"/>
      </w:pPr>
      <w:bookmarkStart w:id="6" w:name="X89899ccb1de51bc6009484a7d93a86917b0bbe5"/>
      <w:bookmarkStart w:id="7" w:name="_Toc227515545"/>
      <w:bookmarkEnd w:id="4"/>
      <w:r>
        <w:rPr>
          <w:rStyle w:val="SectionNumber"/>
        </w:rPr>
        <w:t>4</w:t>
      </w:r>
      <w:r>
        <w:tab/>
      </w:r>
      <w:r>
        <w:t>Distribution de la superficie des parcelles</w:t>
      </w:r>
      <w:bookmarkEnd w:id="7"/>
    </w:p>
    <w:p w14:paraId="28D1E2E4" w14:textId="77777777" w:rsidR="003C471F" w:rsidRDefault="0075711C">
      <w:pPr>
        <w:pStyle w:val="FirstParagraph"/>
      </w:pPr>
      <w:r>
        <w:rPr>
          <w:b/>
          <w:bCs/>
        </w:rPr>
        <w:t>Histogramme en échelle logarithmique</w:t>
      </w:r>
    </w:p>
    <w:p w14:paraId="16FA112F" w14:textId="77777777" w:rsidR="003C471F" w:rsidRDefault="0075711C">
      <w:pPr>
        <w:pStyle w:val="CaptionedFigure"/>
      </w:pPr>
      <w:r>
        <w:rPr>
          <w:noProof/>
        </w:rPr>
        <w:drawing>
          <wp:inline distT="0" distB="0" distL="0" distR="0" wp14:anchorId="467013DC" wp14:editId="54B6C4AC">
            <wp:extent cx="5646420" cy="3176111"/>
            <wp:effectExtent l="0" t="0" r="0" b="0"/>
            <wp:docPr id="27" name="Picture" descr="Histogramme en échelle logarithmique. Les trois lignes verticales montrent le mode (bleu), la médiane (vert) et la moyenne (rouge). Leur ordre confirme l’asymétrie à droite."/>
            <wp:cNvGraphicFramePr/>
            <a:graphic xmlns:a="http://schemas.openxmlformats.org/drawingml/2006/main">
              <a:graphicData uri="http://schemas.openxmlformats.org/drawingml/2006/picture">
                <pic:pic xmlns:pic="http://schemas.openxmlformats.org/drawingml/2006/picture">
                  <pic:nvPicPr>
                    <pic:cNvPr id="28" name="Picture" descr="../outputs/figures/fig01_histogramme_superficie.png"/>
                    <pic:cNvPicPr>
                      <a:picLocks noChangeAspect="1" noChangeArrowheads="1"/>
                    </pic:cNvPicPr>
                  </pic:nvPicPr>
                  <pic:blipFill>
                    <a:blip r:embed="rId8"/>
                    <a:stretch>
                      <a:fillRect/>
                    </a:stretch>
                  </pic:blipFill>
                  <pic:spPr bwMode="auto">
                    <a:xfrm>
                      <a:off x="0" y="0"/>
                      <a:ext cx="5646420" cy="3176111"/>
                    </a:xfrm>
                    <a:prstGeom prst="rect">
                      <a:avLst/>
                    </a:prstGeom>
                    <a:noFill/>
                    <a:ln w="9525">
                      <a:noFill/>
                      <a:headEnd/>
                      <a:tailEnd/>
                    </a:ln>
                  </pic:spPr>
                </pic:pic>
              </a:graphicData>
            </a:graphic>
          </wp:inline>
        </w:drawing>
      </w:r>
    </w:p>
    <w:p w14:paraId="1271EF13" w14:textId="77777777" w:rsidR="003C471F" w:rsidRDefault="0075711C">
      <w:pPr>
        <w:pStyle w:val="ImageCaption"/>
      </w:pPr>
      <w:r>
        <w:t>Histogramme en échelle logarithmique. Les trois lignes verticales montrent le mode (bleu), la médiane (vert) et la moyenne (rouge). Leur ordre confirme l’asymétrie à droite.</w:t>
      </w:r>
    </w:p>
    <w:p w14:paraId="37ED6BD1" w14:textId="77777777" w:rsidR="003C471F" w:rsidRDefault="0075711C">
      <w:pPr>
        <w:pStyle w:val="Corpsdetexte"/>
      </w:pPr>
      <w:r>
        <w:t>La distribution de la superficie est fortement asymétrique à droite : la grande majorité des parcelles sont petites (moins de 0,5 ha) tandis qu’une minorité atteint plusieurs hectares. En échelle linéaire, l’histogramme serait écrasé à gauche et illisible</w:t>
      </w:r>
      <w:r>
        <w:t>, d’où le passage en échelle logarithmique. Il est important de distinguer l’échelle de visualisation (log) de l’échelle de calcul des indicateurs (hectares naturels) : l’histogramme est affiché en log pour la lisibilité, mais les trois statistiques de pos</w:t>
      </w:r>
      <w:r>
        <w:t>ition (mode, médiane, moyenne) sont calculées en hectares naturels pour être comparables entre elles.</w:t>
      </w:r>
    </w:p>
    <w:p w14:paraId="2A4E0872" w14:textId="77777777" w:rsidR="003C471F" w:rsidRDefault="0075711C">
      <w:pPr>
        <w:pStyle w:val="Corpsdetexte"/>
      </w:pPr>
      <w:r>
        <w:t>L’inégalité Mode &lt; Médiane &lt; Moyenne est le critère classique d’une distribution asymétrique à droite (log-normale). Elle signifie que la valeur la plus f</w:t>
      </w:r>
      <w:r>
        <w:t xml:space="preserve">réquente est très petite, que la valeur centrale est plus grande, et que la moyenne est encore plus grande à cause de la longue queue à droite. C’est cette asymétrie qui justifie deux choix méthodologiques qui sont l’utilisation de l’échelle logarithmique </w:t>
      </w:r>
      <w:r>
        <w:t>pour la visualisation, et la médiane plutôt que la moyenne comme indicateur de tendance centrale.</w:t>
      </w:r>
    </w:p>
    <w:p w14:paraId="0EA6B6E3" w14:textId="77777777" w:rsidR="003C471F" w:rsidRDefault="0075711C">
      <w:pPr>
        <w:pStyle w:val="Corpsdetexte"/>
      </w:pPr>
      <w:r>
        <w:t>Un point technique mérite attention , en effet, en échelle logarithmique, l’asymétrie s’inverse. Les valeurs en log10 donnent Moyenne &lt; Médiane &lt; Mode, ce qui</w:t>
      </w:r>
      <w:r>
        <w:t xml:space="preserve"> correspond à une asymétrie à gauche. Ce n’est pas une contradiction : la transformation logarithmique comprime la queue droite (les grandes parcelles) et étale la queue gauche (les petites parcelles), inversant mécaniquement la forme de la distribution. C</w:t>
      </w:r>
      <w:r>
        <w:t>’est précisément la propriété recherchée : une distribution log-normale est asymétrique à droite en hectares naturels, mais devient approximativement symétrique (ou légèrement asymétrique à gauche) après transformation logarithmique.</w:t>
      </w:r>
    </w:p>
    <w:p w14:paraId="2CC2E228" w14:textId="77777777" w:rsidR="003C471F" w:rsidRDefault="0075711C">
      <w:pPr>
        <w:pStyle w:val="Corpsdetexte"/>
      </w:pPr>
      <w:r>
        <w:t>Ce que l’histogramme n</w:t>
      </w:r>
      <w:r>
        <w:t>e montre pas clairement dans ses barres extrêmes est que 105 parcelles dépassaient le seuil du P99 avant winsorisation. À l’inverse, les barres les plus hautes (entre 0,1 et 0,5 ha) concentrent plus de 5 000 parcelles, soit environ la moitié de l’échantill</w:t>
      </w:r>
      <w:r>
        <w:t>on.</w:t>
      </w:r>
    </w:p>
    <w:p w14:paraId="4B6ADB24" w14:textId="77777777" w:rsidR="003C471F" w:rsidRDefault="0075711C">
      <w:pPr>
        <w:pStyle w:val="Corpsdetexte"/>
      </w:pPr>
      <w:r>
        <w:rPr>
          <w:b/>
          <w:bCs/>
        </w:rPr>
        <w:t>Boxplot par milieu de résidence</w:t>
      </w:r>
    </w:p>
    <w:p w14:paraId="5D65E046" w14:textId="77777777" w:rsidR="003C471F" w:rsidRDefault="0075711C">
      <w:pPr>
        <w:pStyle w:val="CaptionedFigure"/>
      </w:pPr>
      <w:r>
        <w:rPr>
          <w:noProof/>
        </w:rPr>
        <w:drawing>
          <wp:inline distT="0" distB="0" distL="0" distR="0" wp14:anchorId="02A3EDF4" wp14:editId="65EC5998">
            <wp:extent cx="4587290" cy="4128561"/>
            <wp:effectExtent l="0" t="0" r="0" b="0"/>
            <wp:docPr id="30" name="Picture" descr="Boxplot de la superficie par milieu (échelle log). Les parcelles rurales sont légèrement plus grandes."/>
            <wp:cNvGraphicFramePr/>
            <a:graphic xmlns:a="http://schemas.openxmlformats.org/drawingml/2006/main">
              <a:graphicData uri="http://schemas.openxmlformats.org/drawingml/2006/picture">
                <pic:pic xmlns:pic="http://schemas.openxmlformats.org/drawingml/2006/picture">
                  <pic:nvPicPr>
                    <pic:cNvPr id="31" name="Picture" descr="../outputs/figures/fig02_boxplot_superficie.png"/>
                    <pic:cNvPicPr>
                      <a:picLocks noChangeAspect="1" noChangeArrowheads="1"/>
                    </pic:cNvPicPr>
                  </pic:nvPicPr>
                  <pic:blipFill>
                    <a:blip r:embed="rId9"/>
                    <a:stretch>
                      <a:fillRect/>
                    </a:stretch>
                  </pic:blipFill>
                  <pic:spPr bwMode="auto">
                    <a:xfrm>
                      <a:off x="0" y="0"/>
                      <a:ext cx="4587290" cy="4128561"/>
                    </a:xfrm>
                    <a:prstGeom prst="rect">
                      <a:avLst/>
                    </a:prstGeom>
                    <a:noFill/>
                    <a:ln w="9525">
                      <a:noFill/>
                      <a:headEnd/>
                      <a:tailEnd/>
                    </a:ln>
                  </pic:spPr>
                </pic:pic>
              </a:graphicData>
            </a:graphic>
          </wp:inline>
        </w:drawing>
      </w:r>
    </w:p>
    <w:p w14:paraId="2859C25C" w14:textId="77777777" w:rsidR="003C471F" w:rsidRDefault="0075711C">
      <w:pPr>
        <w:pStyle w:val="ImageCaption"/>
      </w:pPr>
      <w:r>
        <w:t>Boxplot de la superficie par milieu (échelle log). Les parcelles rurales sont légèrement plus grandes.</w:t>
      </w:r>
    </w:p>
    <w:p w14:paraId="1682109A" w14:textId="77777777" w:rsidR="003C471F" w:rsidRDefault="0075711C">
      <w:pPr>
        <w:pStyle w:val="Corpsdetexte"/>
      </w:pPr>
      <w:r>
        <w:t>Le boxplot par milieu confirme que les parcelles rurales sont légèrement plus grandes que les parcelles urbaines. L</w:t>
      </w:r>
      <w:r>
        <w:t>a médiane rurale est supérieure à la médiane urbaine, ce qui est cohérent avec le type d’agriculture pratiqué en milieu rural (grandes cultures extensives) par rapport au milieu urbain (maraîchage, parcelles résiduelles).</w:t>
      </w:r>
    </w:p>
    <w:p w14:paraId="16C39ADF" w14:textId="77777777" w:rsidR="003C471F" w:rsidRDefault="0075711C">
      <w:pPr>
        <w:pStyle w:val="Corpsdetexte"/>
      </w:pPr>
      <w:r>
        <w:rPr>
          <w:b/>
          <w:bCs/>
        </w:rPr>
        <w:t xml:space="preserve">Boxplots par zone géopolitique et </w:t>
      </w:r>
      <w:r>
        <w:rPr>
          <w:b/>
          <w:bCs/>
        </w:rPr>
        <w:t>milieu</w:t>
      </w:r>
    </w:p>
    <w:p w14:paraId="691915F4" w14:textId="77777777" w:rsidR="003C471F" w:rsidRDefault="0075711C">
      <w:pPr>
        <w:pStyle w:val="CaptionedFigure"/>
      </w:pPr>
      <w:r>
        <w:rPr>
          <w:noProof/>
        </w:rPr>
        <w:drawing>
          <wp:inline distT="0" distB="0" distL="0" distR="0" wp14:anchorId="3735FFA7" wp14:editId="2D9D7592">
            <wp:extent cx="5646420" cy="3952494"/>
            <wp:effectExtent l="0" t="0" r="0" b="0"/>
            <wp:docPr id="33" name="Picture" descr="Boxplots par zone géopolitique et milieu."/>
            <wp:cNvGraphicFramePr/>
            <a:graphic xmlns:a="http://schemas.openxmlformats.org/drawingml/2006/main">
              <a:graphicData uri="http://schemas.openxmlformats.org/drawingml/2006/picture">
                <pic:pic xmlns:pic="http://schemas.openxmlformats.org/drawingml/2006/picture">
                  <pic:nvPicPr>
                    <pic:cNvPr id="34" name="Picture" descr="../outputs/figures/fig07_boxplot_zone_milieu.png"/>
                    <pic:cNvPicPr>
                      <a:picLocks noChangeAspect="1" noChangeArrowheads="1"/>
                    </pic:cNvPicPr>
                  </pic:nvPicPr>
                  <pic:blipFill>
                    <a:blip r:embed="rId10"/>
                    <a:stretch>
                      <a:fillRect/>
                    </a:stretch>
                  </pic:blipFill>
                  <pic:spPr bwMode="auto">
                    <a:xfrm>
                      <a:off x="0" y="0"/>
                      <a:ext cx="5646420" cy="3952494"/>
                    </a:xfrm>
                    <a:prstGeom prst="rect">
                      <a:avLst/>
                    </a:prstGeom>
                    <a:noFill/>
                    <a:ln w="9525">
                      <a:noFill/>
                      <a:headEnd/>
                      <a:tailEnd/>
                    </a:ln>
                  </pic:spPr>
                </pic:pic>
              </a:graphicData>
            </a:graphic>
          </wp:inline>
        </w:drawing>
      </w:r>
    </w:p>
    <w:p w14:paraId="026C33A5" w14:textId="77777777" w:rsidR="003C471F" w:rsidRDefault="0075711C">
      <w:pPr>
        <w:pStyle w:val="ImageCaption"/>
      </w:pPr>
      <w:r>
        <w:t>Boxplots par zone géopolitique et milieu.</w:t>
      </w:r>
    </w:p>
    <w:p w14:paraId="0C05FA0A" w14:textId="77777777" w:rsidR="003C471F" w:rsidRDefault="0075711C">
      <w:pPr>
        <w:pStyle w:val="Corpsdetexte"/>
      </w:pPr>
      <w:r>
        <w:t>Pour les boxplots à facettes, chaque boîte représente la distribution de la superficie dans une combinaison zone-milieu. Le triangle rouge marque la moyenne : lorsqu’il est au-dessus de la médiane, cela co</w:t>
      </w:r>
      <w:r>
        <w:t>nfirme l’asymétrie à droite (la moyenne est tirée vers le haut par les grandes parcelles).</w:t>
      </w:r>
    </w:p>
    <w:p w14:paraId="5C5614D8" w14:textId="77777777" w:rsidR="003C471F" w:rsidRDefault="0075711C">
      <w:pPr>
        <w:pStyle w:val="Corpsdetexte"/>
      </w:pPr>
      <w:r>
        <w:t>Le North East présente les parcelles les plus étendues, avec une médiane de 0,48 ha. En milieu rural dans cette zone, la boîte est large et la moustache supérieure e</w:t>
      </w:r>
      <w:r>
        <w:t>st longue, ce qui traduit une forte hétérogénéité car on y trouve aussi bien des petites parcelles de 0,1 ha que des exploitations dépassant 2 ha.</w:t>
      </w:r>
    </w:p>
    <w:p w14:paraId="6D6A90AD" w14:textId="77777777" w:rsidR="003C471F" w:rsidRDefault="0075711C">
      <w:pPr>
        <w:pStyle w:val="Corpsdetexte"/>
      </w:pPr>
      <w:r>
        <w:t>Le South East se situe à l’opposé, avec une médiane de seulement 0,08 ha, et ce dans les deux milieux. Les bo</w:t>
      </w:r>
      <w:r>
        <w:t>îtes sont compactes et basses, les moustaches courtes donc la grande majorité des parcelles sont très petites et la dispersion est faible. Cette homogénéité dans la petitesse reflète la forte densité de population dans cette zone. Les cultures dominantes (</w:t>
      </w:r>
      <w:r>
        <w:t>manioc, igname) se prêtent à cette agriculture intensive sur micro-parcelles.</w:t>
      </w:r>
    </w:p>
    <w:p w14:paraId="2C3D352F" w14:textId="77777777" w:rsidR="003C471F" w:rsidRDefault="0075711C">
      <w:pPr>
        <w:pStyle w:val="Corpsdetexte"/>
      </w:pPr>
      <w:r>
        <w:t>Le South West se distingue par un écart marqué entre milieu urbain et rural car en zone urbaine (Lagos, périphérie d’Ibadan), les parcelles sont très petites, tandis qu’en zone r</w:t>
      </w:r>
      <w:r>
        <w:t>urale, elles atteignent des tailles proches du North Central. Le South South rejoint le South East parmi les zones à petites parcelles, avec des médianes inférieures à 0,1 ha.</w:t>
      </w:r>
    </w:p>
    <w:p w14:paraId="432E1B20" w14:textId="77777777" w:rsidR="003C471F" w:rsidRDefault="0075711C">
      <w:pPr>
        <w:pStyle w:val="Corpsdetexte"/>
      </w:pPr>
      <w:r>
        <w:t>L’écart entre la moyenne (triangle) et la médiane (trait) est visible dans toute</w:t>
      </w:r>
      <w:r>
        <w:t>s les zones, confirmant que l’asymétrie à droite est un phénomène structurel de l’agriculture nigériane, pas une particularité régionale.</w:t>
      </w:r>
    </w:p>
    <w:p w14:paraId="5AD3664D" w14:textId="77777777" w:rsidR="003C471F" w:rsidRDefault="0075711C">
      <w:pPr>
        <w:pStyle w:val="Titre1"/>
      </w:pPr>
      <w:bookmarkStart w:id="8" w:name="comparaison-superficie-gps-vs-déclarée"/>
      <w:bookmarkStart w:id="9" w:name="_Toc227515546"/>
      <w:bookmarkEnd w:id="6"/>
      <w:r>
        <w:rPr>
          <w:rStyle w:val="SectionNumber"/>
        </w:rPr>
        <w:t>5</w:t>
      </w:r>
      <w:r>
        <w:tab/>
        <w:t>Comparaison superficie GPS vs déclarée</w:t>
      </w:r>
      <w:bookmarkEnd w:id="9"/>
    </w:p>
    <w:p w14:paraId="7B088357" w14:textId="77777777" w:rsidR="003C471F" w:rsidRDefault="0075711C">
      <w:pPr>
        <w:pStyle w:val="CaptionedFigure"/>
      </w:pPr>
      <w:r>
        <w:rPr>
          <w:noProof/>
        </w:rPr>
        <w:drawing>
          <wp:inline distT="0" distB="0" distL="0" distR="0" wp14:anchorId="0CB43BF5" wp14:editId="796CD847">
            <wp:extent cx="5646420" cy="4839788"/>
            <wp:effectExtent l="0" t="0" r="0" b="0"/>
            <wp:docPr id="37" name="Picture" descr="Scatter plot déclarée (abscisse) vs GPS (ordonnée) en échelle log-log. Orange = concordance parfaite. Vert foncé = loess."/>
            <wp:cNvGraphicFramePr/>
            <a:graphic xmlns:a="http://schemas.openxmlformats.org/drawingml/2006/main">
              <a:graphicData uri="http://schemas.openxmlformats.org/drawingml/2006/picture">
                <pic:pic xmlns:pic="http://schemas.openxmlformats.org/drawingml/2006/picture">
                  <pic:nvPicPr>
                    <pic:cNvPr id="38" name="Picture" descr="../outputs/figures/fig03_scatter_gps_declaree.png"/>
                    <pic:cNvPicPr>
                      <a:picLocks noChangeAspect="1" noChangeArrowheads="1"/>
                    </pic:cNvPicPr>
                  </pic:nvPicPr>
                  <pic:blipFill>
                    <a:blip r:embed="rId11"/>
                    <a:stretch>
                      <a:fillRect/>
                    </a:stretch>
                  </pic:blipFill>
                  <pic:spPr bwMode="auto">
                    <a:xfrm>
                      <a:off x="0" y="0"/>
                      <a:ext cx="5646420" cy="4839788"/>
                    </a:xfrm>
                    <a:prstGeom prst="rect">
                      <a:avLst/>
                    </a:prstGeom>
                    <a:noFill/>
                    <a:ln w="9525">
                      <a:noFill/>
                      <a:headEnd/>
                      <a:tailEnd/>
                    </a:ln>
                  </pic:spPr>
                </pic:pic>
              </a:graphicData>
            </a:graphic>
          </wp:inline>
        </w:drawing>
      </w:r>
    </w:p>
    <w:p w14:paraId="10A3ABFA" w14:textId="77777777" w:rsidR="003C471F" w:rsidRDefault="0075711C">
      <w:pPr>
        <w:pStyle w:val="ImageCaption"/>
      </w:pPr>
      <w:r>
        <w:t>Scatter plot déclarée (abscisse) vs GPS (ordonnée) en échelle log-log. Orange = concordance parfaite. Vert foncé = loess.</w:t>
      </w:r>
    </w:p>
    <w:p w14:paraId="72094399" w14:textId="77777777" w:rsidR="003C471F" w:rsidRDefault="0075711C">
      <w:pPr>
        <w:pStyle w:val="Corpsdetexte"/>
      </w:pPr>
      <w:r>
        <w:t xml:space="preserve">La corrélation de Spearman entre la superficie GPS et la superficie déclarée est de rho = 0,701. Cette corrélation forte mais loin de </w:t>
      </w:r>
      <w:r>
        <w:t>1 confirme le biais de déclaration bien documenté dans la littérature LSMS-ISA (Carletto et al., 2013).</w:t>
      </w:r>
    </w:p>
    <w:p w14:paraId="6873441C" w14:textId="77777777" w:rsidR="003C471F" w:rsidRDefault="0075711C">
      <w:pPr>
        <w:pStyle w:val="Corpsdetexte"/>
      </w:pPr>
      <w:r>
        <w:t xml:space="preserve">Le biais suit un schéma classique visible sur le graphique. Les points situés au-dessus de la diagonale orange (à gauche du graphique) représentent les </w:t>
      </w:r>
      <w:r>
        <w:t xml:space="preserve">petites parcelles surdéclarées : l’exploitant dit 0,3 ha alors que le GPS mesure 0,1 ha. Ce biais s’explique par la désirabilité sociale (ne pas paraître trop pauvre) et les problèmes d’arrondi sur de très petites surfaces. Les points situés en dessous de </w:t>
      </w:r>
      <w:r>
        <w:t>la diagonale (à droite) représentent les grandes parcelles sous-déclarées : l’exploitant dit 3 ha alors que le GPS mesure 5 ha. Cela tient à la difficulté d’estimer à l’oeil nu de vastes surfaces irrégulières, et parfois à une prudence vis-à-vis des autori</w:t>
      </w:r>
      <w:r>
        <w:t>tés fiscales.</w:t>
      </w:r>
    </w:p>
    <w:p w14:paraId="2908C602" w14:textId="77777777" w:rsidR="003C471F" w:rsidRDefault="0075711C">
      <w:pPr>
        <w:pStyle w:val="Corpsdetexte"/>
      </w:pPr>
      <w:r>
        <w:t xml:space="preserve">La courbe loess (Locally Estimated Scatterplot Smoothing) est un lissage local qui trace la tendance moyenne sans imposer de forme. Elle visualise ce biais en se situant au-dessus de la diagonale pour les petites parcelles et en dessous pour </w:t>
      </w:r>
      <w:r>
        <w:t>les grandes.</w:t>
      </w:r>
    </w:p>
    <w:p w14:paraId="50A0FA6A" w14:textId="77777777" w:rsidR="003C471F" w:rsidRDefault="0075711C">
      <w:pPr>
        <w:pStyle w:val="Titre1"/>
      </w:pPr>
      <w:bookmarkStart w:id="10" w:name="analyse-de-la-tenure-foncière"/>
      <w:bookmarkStart w:id="11" w:name="_Toc227515547"/>
      <w:bookmarkEnd w:id="8"/>
      <w:r>
        <w:rPr>
          <w:rStyle w:val="SectionNumber"/>
        </w:rPr>
        <w:t>6</w:t>
      </w:r>
      <w:r>
        <w:tab/>
        <w:t>Analyse de la tenure foncière</w:t>
      </w:r>
      <w:bookmarkEnd w:id="11"/>
    </w:p>
    <w:p w14:paraId="4AB39D7B" w14:textId="77777777" w:rsidR="003C471F" w:rsidRDefault="0075711C">
      <w:pPr>
        <w:pStyle w:val="CaptionedFigure"/>
      </w:pPr>
      <w:r>
        <w:rPr>
          <w:noProof/>
        </w:rPr>
        <w:drawing>
          <wp:inline distT="0" distB="0" distL="0" distR="0" wp14:anchorId="5FB2176C" wp14:editId="4E397F59">
            <wp:extent cx="5646420" cy="3176111"/>
            <wp:effectExtent l="0" t="0" r="0" b="0"/>
            <wp:docPr id="41" name="Picture" descr="Mode d’acquisition des parcelles (proportions pondérées wt_wave4)."/>
            <wp:cNvGraphicFramePr/>
            <a:graphic xmlns:a="http://schemas.openxmlformats.org/drawingml/2006/main">
              <a:graphicData uri="http://schemas.openxmlformats.org/drawingml/2006/picture">
                <pic:pic xmlns:pic="http://schemas.openxmlformats.org/drawingml/2006/picture">
                  <pic:nvPicPr>
                    <pic:cNvPr id="42" name="Picture" descr="../outputs/figures/fig04_tenure_barplot.png"/>
                    <pic:cNvPicPr>
                      <a:picLocks noChangeAspect="1" noChangeArrowheads="1"/>
                    </pic:cNvPicPr>
                  </pic:nvPicPr>
                  <pic:blipFill>
                    <a:blip r:embed="rId12"/>
                    <a:stretch>
                      <a:fillRect/>
                    </a:stretch>
                  </pic:blipFill>
                  <pic:spPr bwMode="auto">
                    <a:xfrm>
                      <a:off x="0" y="0"/>
                      <a:ext cx="5646420" cy="3176111"/>
                    </a:xfrm>
                    <a:prstGeom prst="rect">
                      <a:avLst/>
                    </a:prstGeom>
                    <a:noFill/>
                    <a:ln w="9525">
                      <a:noFill/>
                      <a:headEnd/>
                      <a:tailEnd/>
                    </a:ln>
                  </pic:spPr>
                </pic:pic>
              </a:graphicData>
            </a:graphic>
          </wp:inline>
        </w:drawing>
      </w:r>
    </w:p>
    <w:p w14:paraId="67AD63E1" w14:textId="77777777" w:rsidR="003C471F" w:rsidRDefault="0075711C">
      <w:pPr>
        <w:pStyle w:val="ImageCaption"/>
      </w:pPr>
      <w:r>
        <w:t>Mode d’acquisition des parcelles (proportions pondérées wt_wave4).</w:t>
      </w:r>
    </w:p>
    <w:p w14:paraId="01DD93AC" w14:textId="77777777" w:rsidR="003C471F" w:rsidRDefault="0075711C">
      <w:pPr>
        <w:pStyle w:val="Corpsdetexte"/>
      </w:pPr>
      <w:r>
        <w:t>L’héritage familial représente environ 63,4 % des parcelles, reflet de la persistance du droit coutumier dans l’accès à la terre au Nigeria. L</w:t>
      </w:r>
      <w:r>
        <w:t>’achat représente le deuxième mode (environ 13,1 %), suivi de la location et du don gratuit. Le métayage et l’échange temporaire sont marginaux (moins de 1 % chacun).</w:t>
      </w:r>
    </w:p>
    <w:p w14:paraId="2C76D44C" w14:textId="77777777" w:rsidR="003C471F" w:rsidRDefault="0075711C">
      <w:pPr>
        <w:pStyle w:val="Corpsdetexte"/>
      </w:pPr>
      <w:r>
        <w:t>Le test du chi-deux pondéré de Rao-Scott est hautement significatif (p &lt; 0,001) avec un V</w:t>
      </w:r>
      <w:r>
        <w:t xml:space="preserve"> de Cramér de 0,212. La composition de la tenure varie donc significativement entre milieu urbain et rural. Cette significativité statistique, combinée à un V de Cramér modéré, signifie que la différence est réelle mais qu’elle n’explique qu’une fraction d</w:t>
      </w:r>
      <w:r>
        <w:t>e la variabilité de la tenure. Concrètement, l’achat est plus fréquent en zone urbaine (marché foncier plus actif, prix du sol plus élevés) et l’héritage plus fréquent en zone rurale (systèmes lignagers coutumiers dominants).</w:t>
      </w:r>
    </w:p>
    <w:p w14:paraId="65BB44E5" w14:textId="77777777" w:rsidR="003C471F" w:rsidRDefault="0075711C">
      <w:pPr>
        <w:pStyle w:val="Titre2"/>
      </w:pPr>
      <w:bookmarkStart w:id="12" w:name="désagrégation-par-sexe-du-gestionnaire"/>
      <w:bookmarkStart w:id="13" w:name="_Toc227515548"/>
      <w:r>
        <w:rPr>
          <w:rStyle w:val="SectionNumber"/>
        </w:rPr>
        <w:t>6.1</w:t>
      </w:r>
      <w:r>
        <w:tab/>
        <w:t xml:space="preserve">Désagrégation par sexe du </w:t>
      </w:r>
      <w:r>
        <w:t>gestionnaire</w:t>
      </w:r>
      <w:bookmarkEnd w:id="13"/>
    </w:p>
    <w:tbl>
      <w:tblPr>
        <w:tblW w:w="11056" w:type="dxa"/>
        <w:jc w:val="center"/>
        <w:tblLayout w:type="fixed"/>
        <w:tblLook w:val="0420" w:firstRow="1" w:lastRow="0" w:firstColumn="0" w:lastColumn="0" w:noHBand="0" w:noVBand="1"/>
      </w:tblPr>
      <w:tblGrid>
        <w:gridCol w:w="2658"/>
        <w:gridCol w:w="2123"/>
        <w:gridCol w:w="2027"/>
        <w:gridCol w:w="2123"/>
        <w:gridCol w:w="2125"/>
      </w:tblGrid>
      <w:tr w:rsidR="003C471F" w14:paraId="5AD4E3CE" w14:textId="77777777" w:rsidTr="00E3239C">
        <w:trPr>
          <w:trHeight w:val="310"/>
          <w:tblHeader/>
          <w:jc w:val="center"/>
        </w:trPr>
        <w:tc>
          <w:tcPr>
            <w:tcW w:w="2658" w:type="dxa"/>
            <w:tcBorders>
              <w:top w:val="single" w:sz="12" w:space="0" w:color="2E7D32"/>
              <w:left w:val="single" w:sz="12" w:space="0" w:color="2E7D32"/>
              <w:bottom w:val="none" w:sz="0" w:space="0" w:color="000000"/>
              <w:right w:val="none" w:sz="0" w:space="0" w:color="000000"/>
            </w:tcBorders>
            <w:shd w:val="clear" w:color="auto" w:fill="2E7D32"/>
            <w:tcMar>
              <w:top w:w="0" w:type="dxa"/>
              <w:left w:w="0" w:type="dxa"/>
              <w:bottom w:w="0" w:type="dxa"/>
              <w:right w:w="0" w:type="dxa"/>
            </w:tcMar>
            <w:vAlign w:val="center"/>
          </w:tcPr>
          <w:p w14:paraId="5C4EFB8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 xml:space="preserve"> </w:t>
            </w:r>
          </w:p>
        </w:tc>
        <w:tc>
          <w:tcPr>
            <w:tcW w:w="4150" w:type="dxa"/>
            <w:gridSpan w:val="2"/>
            <w:tcBorders>
              <w:top w:val="single" w:sz="12" w:space="0" w:color="2E7D32"/>
              <w:left w:val="none" w:sz="0" w:space="0" w:color="000000"/>
              <w:bottom w:val="none" w:sz="0" w:space="0" w:color="000000"/>
              <w:right w:val="none" w:sz="0" w:space="0" w:color="000000"/>
            </w:tcBorders>
            <w:shd w:val="clear" w:color="auto" w:fill="2E7D32"/>
            <w:tcMar>
              <w:top w:w="0" w:type="dxa"/>
              <w:left w:w="0" w:type="dxa"/>
              <w:bottom w:w="0" w:type="dxa"/>
              <w:right w:w="0" w:type="dxa"/>
            </w:tcMar>
            <w:vAlign w:val="center"/>
          </w:tcPr>
          <w:p w14:paraId="5D13566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Urbain</w:t>
            </w:r>
          </w:p>
        </w:tc>
        <w:tc>
          <w:tcPr>
            <w:tcW w:w="4247" w:type="dxa"/>
            <w:gridSpan w:val="2"/>
            <w:tcBorders>
              <w:top w:val="single" w:sz="12" w:space="0" w:color="2E7D32"/>
              <w:left w:val="none" w:sz="0" w:space="0" w:color="000000"/>
              <w:bottom w:val="none" w:sz="0" w:space="0" w:color="000000"/>
              <w:right w:val="single" w:sz="12" w:space="0" w:color="2E7D32"/>
            </w:tcBorders>
            <w:shd w:val="clear" w:color="auto" w:fill="2E7D32"/>
            <w:tcMar>
              <w:top w:w="0" w:type="dxa"/>
              <w:left w:w="0" w:type="dxa"/>
              <w:bottom w:w="0" w:type="dxa"/>
              <w:right w:w="0" w:type="dxa"/>
            </w:tcMar>
            <w:vAlign w:val="center"/>
          </w:tcPr>
          <w:p w14:paraId="49E7C09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Rural</w:t>
            </w:r>
          </w:p>
        </w:tc>
      </w:tr>
      <w:tr w:rsidR="003C471F" w14:paraId="72A9804F" w14:textId="77777777" w:rsidTr="00E3239C">
        <w:trPr>
          <w:trHeight w:val="518"/>
          <w:tblHeader/>
          <w:jc w:val="center"/>
        </w:trPr>
        <w:tc>
          <w:tcPr>
            <w:tcW w:w="2658" w:type="dxa"/>
            <w:tcBorders>
              <w:top w:val="none" w:sz="0" w:space="0" w:color="000000"/>
              <w:left w:val="single" w:sz="12" w:space="0" w:color="2E7D32"/>
              <w:bottom w:val="single" w:sz="16" w:space="0" w:color="2E7D32"/>
              <w:right w:val="none" w:sz="0" w:space="0" w:color="000000"/>
            </w:tcBorders>
            <w:shd w:val="clear" w:color="auto" w:fill="2E7D32"/>
            <w:tcMar>
              <w:top w:w="0" w:type="dxa"/>
              <w:left w:w="0" w:type="dxa"/>
              <w:bottom w:w="0" w:type="dxa"/>
              <w:right w:w="0" w:type="dxa"/>
            </w:tcMar>
            <w:vAlign w:val="center"/>
          </w:tcPr>
          <w:p w14:paraId="34344C7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Variable</w:t>
            </w:r>
          </w:p>
        </w:tc>
        <w:tc>
          <w:tcPr>
            <w:tcW w:w="2123"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55659FD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Homme</w:t>
            </w:r>
            <w:r>
              <w:rPr>
                <w:rFonts w:eastAsia="Garamond" w:cs="Garamond"/>
                <w:b/>
                <w:color w:val="FFFFFF"/>
                <w:sz w:val="19"/>
                <w:szCs w:val="19"/>
              </w:rPr>
              <w:br/>
              <w:t>n = 3760944.21920776</w:t>
            </w:r>
            <w:r>
              <w:rPr>
                <w:rFonts w:eastAsia="Garamond" w:cs="Garamond"/>
                <w:b/>
                <w:color w:val="FFFFFF"/>
                <w:sz w:val="19"/>
                <w:szCs w:val="19"/>
                <w:vertAlign w:val="superscript"/>
              </w:rPr>
              <w:t>1</w:t>
            </w:r>
          </w:p>
        </w:tc>
        <w:tc>
          <w:tcPr>
            <w:tcW w:w="2027"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36B28AB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Femme</w:t>
            </w:r>
            <w:r>
              <w:rPr>
                <w:rFonts w:eastAsia="Garamond" w:cs="Garamond"/>
                <w:b/>
                <w:color w:val="FFFFFF"/>
                <w:sz w:val="19"/>
                <w:szCs w:val="19"/>
              </w:rPr>
              <w:br/>
              <w:t>n = 1046545.8581543</w:t>
            </w:r>
            <w:r>
              <w:rPr>
                <w:rFonts w:eastAsia="Garamond" w:cs="Garamond"/>
                <w:b/>
                <w:color w:val="FFFFFF"/>
                <w:sz w:val="19"/>
                <w:szCs w:val="19"/>
                <w:vertAlign w:val="superscript"/>
              </w:rPr>
              <w:t>1</w:t>
            </w:r>
          </w:p>
        </w:tc>
        <w:tc>
          <w:tcPr>
            <w:tcW w:w="2123"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7A809FD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Homme</w:t>
            </w:r>
            <w:r>
              <w:rPr>
                <w:rFonts w:eastAsia="Garamond" w:cs="Garamond"/>
                <w:b/>
                <w:color w:val="FFFFFF"/>
                <w:sz w:val="19"/>
                <w:szCs w:val="19"/>
              </w:rPr>
              <w:br/>
              <w:t>n = 32284701.4623108</w:t>
            </w:r>
            <w:r>
              <w:rPr>
                <w:rFonts w:eastAsia="Garamond" w:cs="Garamond"/>
                <w:b/>
                <w:color w:val="FFFFFF"/>
                <w:sz w:val="19"/>
                <w:szCs w:val="19"/>
                <w:vertAlign w:val="superscript"/>
              </w:rPr>
              <w:t>1</w:t>
            </w:r>
          </w:p>
        </w:tc>
        <w:tc>
          <w:tcPr>
            <w:tcW w:w="2123" w:type="dxa"/>
            <w:tcBorders>
              <w:top w:val="none" w:sz="0" w:space="0" w:color="000000"/>
              <w:left w:val="none" w:sz="0" w:space="0" w:color="000000"/>
              <w:bottom w:val="single" w:sz="16" w:space="0" w:color="2E7D32"/>
              <w:right w:val="single" w:sz="12" w:space="0" w:color="2E7D32"/>
            </w:tcBorders>
            <w:shd w:val="clear" w:color="auto" w:fill="2E7D32"/>
            <w:tcMar>
              <w:top w:w="0" w:type="dxa"/>
              <w:left w:w="0" w:type="dxa"/>
              <w:bottom w:w="0" w:type="dxa"/>
              <w:right w:w="0" w:type="dxa"/>
            </w:tcMar>
            <w:vAlign w:val="center"/>
          </w:tcPr>
          <w:p w14:paraId="3380E3A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Femme</w:t>
            </w:r>
            <w:r>
              <w:rPr>
                <w:rFonts w:eastAsia="Garamond" w:cs="Garamond"/>
                <w:b/>
                <w:color w:val="FFFFFF"/>
                <w:sz w:val="19"/>
                <w:szCs w:val="19"/>
              </w:rPr>
              <w:br/>
              <w:t>n = 7649396.51629639</w:t>
            </w:r>
            <w:r>
              <w:rPr>
                <w:rFonts w:eastAsia="Garamond" w:cs="Garamond"/>
                <w:b/>
                <w:color w:val="FFFFFF"/>
                <w:sz w:val="19"/>
                <w:szCs w:val="19"/>
                <w:vertAlign w:val="superscript"/>
              </w:rPr>
              <w:t>1</w:t>
            </w:r>
          </w:p>
        </w:tc>
      </w:tr>
      <w:tr w:rsidR="003C471F" w14:paraId="13DB7749" w14:textId="77777777" w:rsidTr="00E3239C">
        <w:trPr>
          <w:trHeight w:val="301"/>
          <w:jc w:val="center"/>
        </w:trPr>
        <w:tc>
          <w:tcPr>
            <w:tcW w:w="2658" w:type="dxa"/>
            <w:tcBorders>
              <w:top w:val="single" w:sz="16" w:space="0" w:color="2E7D32"/>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6BAC5B5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Superficie (ha)</w:t>
            </w:r>
          </w:p>
        </w:tc>
        <w:tc>
          <w:tcPr>
            <w:tcW w:w="2123"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E38461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0.35 [0.10 ; 0.96]</w:t>
            </w:r>
          </w:p>
        </w:tc>
        <w:tc>
          <w:tcPr>
            <w:tcW w:w="2027"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FE67A9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0.07 [0.03 ; 0.24]</w:t>
            </w:r>
          </w:p>
        </w:tc>
        <w:tc>
          <w:tcPr>
            <w:tcW w:w="2123"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7FA95B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0.33 [0.13 ; 0.68]</w:t>
            </w:r>
          </w:p>
        </w:tc>
        <w:tc>
          <w:tcPr>
            <w:tcW w:w="2123" w:type="dxa"/>
            <w:tcBorders>
              <w:top w:val="single" w:sz="16" w:space="0" w:color="2E7D32"/>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534EDF5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0.11 [0.05 ; 0.26]</w:t>
            </w:r>
          </w:p>
        </w:tc>
      </w:tr>
      <w:tr w:rsidR="003C471F" w14:paraId="645913F1"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657BDB1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Mode d'acquisition</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B913508"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027"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CAC63C6"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C7C840A"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23"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3FE236B2"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5691F099"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485EF71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Achat</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E3B095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396,049 (11%)</w:t>
            </w:r>
          </w:p>
        </w:tc>
        <w:tc>
          <w:tcPr>
            <w:tcW w:w="2027"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9E17D4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40,793 (4%)</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A91168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3,568,412 (11%)</w:t>
            </w:r>
          </w:p>
        </w:tc>
        <w:tc>
          <w:tcPr>
            <w:tcW w:w="2123"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B1A99F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337,643 (4%)</w:t>
            </w:r>
          </w:p>
        </w:tc>
      </w:tr>
      <w:tr w:rsidR="003C471F" w14:paraId="594E5C4D"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7C8033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Distribution communautaire</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0F2F079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67,491 (2%)</w:t>
            </w:r>
          </w:p>
        </w:tc>
        <w:tc>
          <w:tcPr>
            <w:tcW w:w="2027"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A437D8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29,009 (3%)</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A32A08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907,563 (3%)</w:t>
            </w:r>
          </w:p>
        </w:tc>
        <w:tc>
          <w:tcPr>
            <w:tcW w:w="2123"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7345D6C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199,140 (3%)</w:t>
            </w:r>
          </w:p>
        </w:tc>
      </w:tr>
      <w:tr w:rsidR="003C471F" w14:paraId="34A83BAE"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2E37CA1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Échange temporaire</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D51BA1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3,990 (0%)</w:t>
            </w:r>
          </w:p>
        </w:tc>
        <w:tc>
          <w:tcPr>
            <w:tcW w:w="2027"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35BD77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10,859 (1%)</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566FB4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81,638 (0%)</w:t>
            </w:r>
          </w:p>
        </w:tc>
        <w:tc>
          <w:tcPr>
            <w:tcW w:w="2123"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3AC1B77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64,248 (1%)</w:t>
            </w:r>
          </w:p>
        </w:tc>
      </w:tr>
      <w:tr w:rsidR="003C471F" w14:paraId="21D4284E"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50647D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Gratuit</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4CFE135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656,675 (17%)</w:t>
            </w:r>
          </w:p>
        </w:tc>
        <w:tc>
          <w:tcPr>
            <w:tcW w:w="2027"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4A37BD9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159,144 (15%)</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771991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2,605,089 (8%)</w:t>
            </w:r>
          </w:p>
        </w:tc>
        <w:tc>
          <w:tcPr>
            <w:tcW w:w="2123"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3C0B8AA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1,073,186 (14%)</w:t>
            </w:r>
          </w:p>
        </w:tc>
      </w:tr>
      <w:tr w:rsidR="003C471F" w14:paraId="79D50490"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631AEBC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Héritage familial</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AD55C3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1,540,673 (41%)</w:t>
            </w:r>
          </w:p>
        </w:tc>
        <w:tc>
          <w:tcPr>
            <w:tcW w:w="2027"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640433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636,932 (61%)</w:t>
            </w:r>
          </w:p>
        </w:tc>
        <w:tc>
          <w:tcPr>
            <w:tcW w:w="2123"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A5E56A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21,251,245 (66%)</w:t>
            </w:r>
          </w:p>
        </w:tc>
        <w:tc>
          <w:tcPr>
            <w:tcW w:w="2123"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02F838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4,831,379 (63%)</w:t>
            </w:r>
          </w:p>
        </w:tc>
      </w:tr>
      <w:tr w:rsidR="003C471F" w14:paraId="0721F849" w14:textId="77777777" w:rsidTr="00E3239C">
        <w:trPr>
          <w:trHeight w:val="301"/>
          <w:jc w:val="center"/>
        </w:trPr>
        <w:tc>
          <w:tcPr>
            <w:tcW w:w="2658"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7C1D0F8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Location</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01EAB58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969,207 (26%)</w:t>
            </w:r>
          </w:p>
        </w:tc>
        <w:tc>
          <w:tcPr>
            <w:tcW w:w="2027"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443722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168,128 (16%)</w:t>
            </w:r>
          </w:p>
        </w:tc>
        <w:tc>
          <w:tcPr>
            <w:tcW w:w="2123"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4A80430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3,648,287 (11%)</w:t>
            </w:r>
          </w:p>
        </w:tc>
        <w:tc>
          <w:tcPr>
            <w:tcW w:w="2123"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3597443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1,131,197 (15%)</w:t>
            </w:r>
          </w:p>
        </w:tc>
      </w:tr>
      <w:tr w:rsidR="003C471F" w14:paraId="32C57B21" w14:textId="77777777" w:rsidTr="00E3239C">
        <w:trPr>
          <w:trHeight w:val="301"/>
          <w:jc w:val="center"/>
        </w:trPr>
        <w:tc>
          <w:tcPr>
            <w:tcW w:w="2658" w:type="dxa"/>
            <w:tcBorders>
              <w:top w:val="single" w:sz="3" w:space="0" w:color="A0A0A0"/>
              <w:left w:val="single" w:sz="12" w:space="0" w:color="2E7D32"/>
              <w:bottom w:val="single" w:sz="12" w:space="0" w:color="2E7D32"/>
              <w:right w:val="none" w:sz="0" w:space="0" w:color="000000"/>
            </w:tcBorders>
            <w:shd w:val="clear" w:color="auto" w:fill="FFFFFF"/>
            <w:tcMar>
              <w:top w:w="0" w:type="dxa"/>
              <w:left w:w="0" w:type="dxa"/>
              <w:bottom w:w="0" w:type="dxa"/>
              <w:right w:w="0" w:type="dxa"/>
            </w:tcMar>
          </w:tcPr>
          <w:p w14:paraId="3D3EC25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Métayage</w:t>
            </w:r>
          </w:p>
        </w:tc>
        <w:tc>
          <w:tcPr>
            <w:tcW w:w="2123"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2BB34C5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126,859 (3%)</w:t>
            </w:r>
          </w:p>
        </w:tc>
        <w:tc>
          <w:tcPr>
            <w:tcW w:w="2027"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188393C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1,682 (0%)</w:t>
            </w:r>
          </w:p>
        </w:tc>
        <w:tc>
          <w:tcPr>
            <w:tcW w:w="2123"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0AC9C0D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222,467 (1%)</w:t>
            </w:r>
          </w:p>
        </w:tc>
        <w:tc>
          <w:tcPr>
            <w:tcW w:w="2123" w:type="dxa"/>
            <w:tcBorders>
              <w:top w:val="single" w:sz="3" w:space="0" w:color="A0A0A0"/>
              <w:left w:val="none" w:sz="0" w:space="0" w:color="000000"/>
              <w:bottom w:val="single" w:sz="12" w:space="0" w:color="2E7D32"/>
              <w:right w:val="single" w:sz="12" w:space="0" w:color="2E7D32"/>
            </w:tcBorders>
            <w:shd w:val="clear" w:color="auto" w:fill="FFFFFF"/>
            <w:tcMar>
              <w:top w:w="0" w:type="dxa"/>
              <w:left w:w="0" w:type="dxa"/>
              <w:bottom w:w="0" w:type="dxa"/>
              <w:right w:w="0" w:type="dxa"/>
            </w:tcMar>
          </w:tcPr>
          <w:p w14:paraId="78F6E53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12,603 (0%)</w:t>
            </w:r>
          </w:p>
        </w:tc>
      </w:tr>
      <w:tr w:rsidR="003C471F" w14:paraId="7ED094A8" w14:textId="77777777" w:rsidTr="00E3239C">
        <w:trPr>
          <w:trHeight w:val="348"/>
          <w:jc w:val="center"/>
        </w:trPr>
        <w:tc>
          <w:tcPr>
            <w:tcW w:w="11056" w:type="dxa"/>
            <w:gridSpan w:val="5"/>
            <w:tcBorders>
              <w:top w:val="single" w:sz="12" w:space="0" w:color="2E7D32"/>
              <w:left w:val="single" w:sz="12" w:space="0" w:color="2E7D32"/>
              <w:bottom w:val="single" w:sz="12" w:space="0" w:color="2E7D32"/>
              <w:right w:val="single" w:sz="12" w:space="0" w:color="2E7D32"/>
            </w:tcBorders>
            <w:shd w:val="clear" w:color="auto" w:fill="FFFFFF"/>
            <w:tcMar>
              <w:top w:w="0" w:type="dxa"/>
              <w:left w:w="0" w:type="dxa"/>
              <w:bottom w:w="0" w:type="dxa"/>
              <w:right w:w="0" w:type="dxa"/>
            </w:tcMar>
            <w:vAlign w:val="center"/>
          </w:tcPr>
          <w:p w14:paraId="5D11615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rPr>
            </w:pPr>
            <w:r>
              <w:rPr>
                <w:rFonts w:eastAsia="Garamond" w:cs="Garamond"/>
                <w:color w:val="000000"/>
                <w:sz w:val="22"/>
                <w:szCs w:val="22"/>
                <w:vertAlign w:val="superscript"/>
              </w:rPr>
              <w:t>1</w:t>
            </w:r>
            <w:r>
              <w:rPr>
                <w:rFonts w:eastAsia="Garamond" w:cs="Garamond"/>
                <w:color w:val="000000"/>
                <w:sz w:val="22"/>
                <w:szCs w:val="22"/>
              </w:rPr>
              <w:t>Median [Q1 ; Q3]; n (%)</w:t>
            </w:r>
          </w:p>
        </w:tc>
      </w:tr>
    </w:tbl>
    <w:p w14:paraId="22E3DE81" w14:textId="77777777" w:rsidR="003C471F" w:rsidRDefault="0075711C">
      <w:pPr>
        <w:pStyle w:val="FirstParagraph"/>
      </w:pPr>
      <w:r>
        <w:t> </w:t>
      </w:r>
    </w:p>
    <w:p w14:paraId="1ADBBCE1" w14:textId="77777777" w:rsidR="003C471F" w:rsidRDefault="0075711C">
      <w:pPr>
        <w:pStyle w:val="Corpsdetexte"/>
      </w:pPr>
      <w:r>
        <w:t xml:space="preserve">Sur les 8 327 parcelles avec un gestionnaire identifié, 6 655 (79.9 %) sont gérées par un homme et 1 672 (20.1 %) par une femme. Les parcelles gérées par des hommes sont systématiquement plus grandes que celles gérées par des femmes, tant en milieu urbain </w:t>
      </w:r>
      <w:r>
        <w:t>qu’en milieu rural. En milieu rural, la médiane masculine dépasse celle des femmes, un écart qui reflète l’accès inégal à la terre dans les systèmes fonciers coutumiers ouest-africains. L’héritage familial domine pour les deux sexes. La location, en revanc</w:t>
      </w:r>
      <w:r>
        <w:t>he, concerne davantage les femmes, un mode d’accès plus précaire qui ne garantit pas la sécurité foncière à long terme.</w:t>
      </w:r>
    </w:p>
    <w:p w14:paraId="7AE9B82F" w14:textId="77777777" w:rsidR="003C471F" w:rsidRDefault="0075711C">
      <w:pPr>
        <w:pStyle w:val="Titre2"/>
      </w:pPr>
      <w:bookmarkStart w:id="14" w:name="désagrégation-par-sexe-du-chef-de-ménage"/>
      <w:bookmarkStart w:id="15" w:name="_Toc227515549"/>
      <w:bookmarkEnd w:id="12"/>
      <w:r>
        <w:rPr>
          <w:rStyle w:val="SectionNumber"/>
        </w:rPr>
        <w:t>6.2</w:t>
      </w:r>
      <w:r>
        <w:tab/>
        <w:t>Désagrégation par sexe du chef de ménage</w:t>
      </w:r>
      <w:bookmarkEnd w:id="15"/>
    </w:p>
    <w:tbl>
      <w:tblPr>
        <w:tblW w:w="10220" w:type="dxa"/>
        <w:jc w:val="center"/>
        <w:tblLayout w:type="fixed"/>
        <w:tblLook w:val="0420" w:firstRow="1" w:lastRow="0" w:firstColumn="0" w:lastColumn="0" w:noHBand="0" w:noVBand="1"/>
      </w:tblPr>
      <w:tblGrid>
        <w:gridCol w:w="2457"/>
        <w:gridCol w:w="1962"/>
        <w:gridCol w:w="1963"/>
        <w:gridCol w:w="1962"/>
        <w:gridCol w:w="1876"/>
      </w:tblGrid>
      <w:tr w:rsidR="003C471F" w14:paraId="70AE3D28" w14:textId="77777777" w:rsidTr="00E3239C">
        <w:trPr>
          <w:trHeight w:val="339"/>
          <w:tblHeader/>
          <w:jc w:val="center"/>
        </w:trPr>
        <w:tc>
          <w:tcPr>
            <w:tcW w:w="2457" w:type="dxa"/>
            <w:tcBorders>
              <w:top w:val="single" w:sz="12" w:space="0" w:color="2E7D32"/>
              <w:left w:val="single" w:sz="12" w:space="0" w:color="2E7D32"/>
              <w:bottom w:val="none" w:sz="0" w:space="0" w:color="000000"/>
              <w:right w:val="none" w:sz="0" w:space="0" w:color="000000"/>
            </w:tcBorders>
            <w:shd w:val="clear" w:color="auto" w:fill="2E7D32"/>
            <w:tcMar>
              <w:top w:w="0" w:type="dxa"/>
              <w:left w:w="0" w:type="dxa"/>
              <w:bottom w:w="0" w:type="dxa"/>
              <w:right w:w="0" w:type="dxa"/>
            </w:tcMar>
            <w:vAlign w:val="center"/>
          </w:tcPr>
          <w:p w14:paraId="734BE8F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 xml:space="preserve"> </w:t>
            </w:r>
          </w:p>
        </w:tc>
        <w:tc>
          <w:tcPr>
            <w:tcW w:w="3925" w:type="dxa"/>
            <w:gridSpan w:val="2"/>
            <w:tcBorders>
              <w:top w:val="single" w:sz="12" w:space="0" w:color="2E7D32"/>
              <w:left w:val="none" w:sz="0" w:space="0" w:color="000000"/>
              <w:bottom w:val="none" w:sz="0" w:space="0" w:color="000000"/>
              <w:right w:val="none" w:sz="0" w:space="0" w:color="000000"/>
            </w:tcBorders>
            <w:shd w:val="clear" w:color="auto" w:fill="2E7D32"/>
            <w:tcMar>
              <w:top w:w="0" w:type="dxa"/>
              <w:left w:w="0" w:type="dxa"/>
              <w:bottom w:w="0" w:type="dxa"/>
              <w:right w:w="0" w:type="dxa"/>
            </w:tcMar>
            <w:vAlign w:val="center"/>
          </w:tcPr>
          <w:p w14:paraId="423562B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Urbain</w:t>
            </w:r>
          </w:p>
        </w:tc>
        <w:tc>
          <w:tcPr>
            <w:tcW w:w="3837" w:type="dxa"/>
            <w:gridSpan w:val="2"/>
            <w:tcBorders>
              <w:top w:val="single" w:sz="12" w:space="0" w:color="2E7D32"/>
              <w:left w:val="none" w:sz="0" w:space="0" w:color="000000"/>
              <w:bottom w:val="none" w:sz="0" w:space="0" w:color="000000"/>
              <w:right w:val="single" w:sz="12" w:space="0" w:color="2E7D32"/>
            </w:tcBorders>
            <w:shd w:val="clear" w:color="auto" w:fill="2E7D32"/>
            <w:tcMar>
              <w:top w:w="0" w:type="dxa"/>
              <w:left w:w="0" w:type="dxa"/>
              <w:bottom w:w="0" w:type="dxa"/>
              <w:right w:w="0" w:type="dxa"/>
            </w:tcMar>
            <w:vAlign w:val="center"/>
          </w:tcPr>
          <w:p w14:paraId="1518BA4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Rural</w:t>
            </w:r>
          </w:p>
        </w:tc>
      </w:tr>
      <w:tr w:rsidR="003C471F" w14:paraId="20B99491" w14:textId="77777777" w:rsidTr="00E3239C">
        <w:trPr>
          <w:trHeight w:val="567"/>
          <w:tblHeader/>
          <w:jc w:val="center"/>
        </w:trPr>
        <w:tc>
          <w:tcPr>
            <w:tcW w:w="2457" w:type="dxa"/>
            <w:tcBorders>
              <w:top w:val="none" w:sz="0" w:space="0" w:color="000000"/>
              <w:left w:val="single" w:sz="12" w:space="0" w:color="2E7D32"/>
              <w:bottom w:val="single" w:sz="16" w:space="0" w:color="2E7D32"/>
              <w:right w:val="none" w:sz="0" w:space="0" w:color="000000"/>
            </w:tcBorders>
            <w:shd w:val="clear" w:color="auto" w:fill="2E7D32"/>
            <w:tcMar>
              <w:top w:w="0" w:type="dxa"/>
              <w:left w:w="0" w:type="dxa"/>
              <w:bottom w:w="0" w:type="dxa"/>
              <w:right w:w="0" w:type="dxa"/>
            </w:tcMar>
            <w:vAlign w:val="center"/>
          </w:tcPr>
          <w:p w14:paraId="676D16C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Variable</w:t>
            </w:r>
          </w:p>
        </w:tc>
        <w:tc>
          <w:tcPr>
            <w:tcW w:w="1962"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5F10864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Homme</w:t>
            </w:r>
            <w:r>
              <w:rPr>
                <w:rFonts w:eastAsia="Garamond" w:cs="Garamond"/>
                <w:b/>
                <w:color w:val="FFFFFF"/>
                <w:sz w:val="19"/>
                <w:szCs w:val="19"/>
              </w:rPr>
              <w:br/>
              <w:t>n = 6761619.50869751</w:t>
            </w:r>
            <w:r>
              <w:rPr>
                <w:rFonts w:eastAsia="Garamond" w:cs="Garamond"/>
                <w:b/>
                <w:color w:val="FFFFFF"/>
                <w:sz w:val="19"/>
                <w:szCs w:val="19"/>
                <w:vertAlign w:val="superscript"/>
              </w:rPr>
              <w:t>1</w:t>
            </w:r>
          </w:p>
        </w:tc>
        <w:tc>
          <w:tcPr>
            <w:tcW w:w="1962"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17FBF01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Femme</w:t>
            </w:r>
            <w:r>
              <w:rPr>
                <w:rFonts w:eastAsia="Garamond" w:cs="Garamond"/>
                <w:b/>
                <w:color w:val="FFFFFF"/>
                <w:sz w:val="19"/>
                <w:szCs w:val="19"/>
              </w:rPr>
              <w:br/>
            </w:r>
            <w:r>
              <w:rPr>
                <w:rFonts w:eastAsia="Garamond" w:cs="Garamond"/>
                <w:b/>
                <w:color w:val="FFFFFF"/>
                <w:sz w:val="19"/>
                <w:szCs w:val="19"/>
              </w:rPr>
              <w:t>n = 1731349.12176514</w:t>
            </w:r>
            <w:r>
              <w:rPr>
                <w:rFonts w:eastAsia="Garamond" w:cs="Garamond"/>
                <w:b/>
                <w:color w:val="FFFFFF"/>
                <w:sz w:val="19"/>
                <w:szCs w:val="19"/>
                <w:vertAlign w:val="superscript"/>
              </w:rPr>
              <w:t>1</w:t>
            </w:r>
          </w:p>
        </w:tc>
        <w:tc>
          <w:tcPr>
            <w:tcW w:w="1962" w:type="dxa"/>
            <w:tcBorders>
              <w:top w:val="none" w:sz="0" w:space="0" w:color="000000"/>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37357E5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Homme</w:t>
            </w:r>
            <w:r>
              <w:rPr>
                <w:rFonts w:eastAsia="Garamond" w:cs="Garamond"/>
                <w:b/>
                <w:color w:val="FFFFFF"/>
                <w:sz w:val="19"/>
                <w:szCs w:val="19"/>
              </w:rPr>
              <w:br/>
              <w:t>n = 43977456.7098999</w:t>
            </w:r>
            <w:r>
              <w:rPr>
                <w:rFonts w:eastAsia="Garamond" w:cs="Garamond"/>
                <w:b/>
                <w:color w:val="FFFFFF"/>
                <w:sz w:val="19"/>
                <w:szCs w:val="19"/>
                <w:vertAlign w:val="superscript"/>
              </w:rPr>
              <w:t>1</w:t>
            </w:r>
          </w:p>
        </w:tc>
        <w:tc>
          <w:tcPr>
            <w:tcW w:w="1874" w:type="dxa"/>
            <w:tcBorders>
              <w:top w:val="none" w:sz="0" w:space="0" w:color="000000"/>
              <w:left w:val="none" w:sz="0" w:space="0" w:color="000000"/>
              <w:bottom w:val="single" w:sz="16" w:space="0" w:color="2E7D32"/>
              <w:right w:val="single" w:sz="12" w:space="0" w:color="2E7D32"/>
            </w:tcBorders>
            <w:shd w:val="clear" w:color="auto" w:fill="2E7D32"/>
            <w:tcMar>
              <w:top w:w="0" w:type="dxa"/>
              <w:left w:w="0" w:type="dxa"/>
              <w:bottom w:w="0" w:type="dxa"/>
              <w:right w:w="0" w:type="dxa"/>
            </w:tcMar>
            <w:vAlign w:val="center"/>
          </w:tcPr>
          <w:p w14:paraId="1A3C91F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Femme</w:t>
            </w:r>
            <w:r>
              <w:rPr>
                <w:rFonts w:eastAsia="Garamond" w:cs="Garamond"/>
                <w:b/>
                <w:color w:val="FFFFFF"/>
                <w:sz w:val="19"/>
                <w:szCs w:val="19"/>
              </w:rPr>
              <w:br/>
              <w:t>n = 6921559.2243042</w:t>
            </w:r>
            <w:r>
              <w:rPr>
                <w:rFonts w:eastAsia="Garamond" w:cs="Garamond"/>
                <w:b/>
                <w:color w:val="FFFFFF"/>
                <w:sz w:val="19"/>
                <w:szCs w:val="19"/>
                <w:vertAlign w:val="superscript"/>
              </w:rPr>
              <w:t>1</w:t>
            </w:r>
          </w:p>
        </w:tc>
      </w:tr>
      <w:tr w:rsidR="003C471F" w14:paraId="6E0CB4B2" w14:textId="77777777" w:rsidTr="00E3239C">
        <w:trPr>
          <w:trHeight w:val="329"/>
          <w:jc w:val="center"/>
        </w:trPr>
        <w:tc>
          <w:tcPr>
            <w:tcW w:w="2457" w:type="dxa"/>
            <w:tcBorders>
              <w:top w:val="single" w:sz="16" w:space="0" w:color="2E7D32"/>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0A85499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Superficie (ha)</w:t>
            </w:r>
          </w:p>
        </w:tc>
        <w:tc>
          <w:tcPr>
            <w:tcW w:w="1962"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6658B5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0.16 [0.05;0.59]</w:t>
            </w:r>
          </w:p>
        </w:tc>
        <w:tc>
          <w:tcPr>
            <w:tcW w:w="1962"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0A0304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0.07 [0.02;0.24]</w:t>
            </w:r>
          </w:p>
        </w:tc>
        <w:tc>
          <w:tcPr>
            <w:tcW w:w="1962"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C68BDD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0.24 [0.07;0.57]</w:t>
            </w:r>
          </w:p>
        </w:tc>
        <w:tc>
          <w:tcPr>
            <w:tcW w:w="1874" w:type="dxa"/>
            <w:tcBorders>
              <w:top w:val="single" w:sz="16" w:space="0" w:color="2E7D32"/>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6947441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0.11 [0.05;0.31]</w:t>
            </w:r>
          </w:p>
        </w:tc>
      </w:tr>
      <w:tr w:rsidR="003C471F" w14:paraId="4B9972AD"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787CF84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Mode d'acquisition</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D4E10D0"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6E7E4FC"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9488743"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1874"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1E7A0EE0"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53338C6F"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58D145B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Achat</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F6D5D4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1,778,083 (26%)</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19FF25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199,216 (12%)</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020B82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5,418,394 (12%)</w:t>
            </w:r>
          </w:p>
        </w:tc>
        <w:tc>
          <w:tcPr>
            <w:tcW w:w="1874"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024604D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410,925 (6%)</w:t>
            </w:r>
          </w:p>
        </w:tc>
      </w:tr>
      <w:tr w:rsidR="003C471F" w14:paraId="71E3C8E7"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7B9F639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Distribution communautaire</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CBD6E2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77,112 (1%)</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A36B7A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151,680 (9%)</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02FC54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1,226,324 (3%)</w:t>
            </w:r>
          </w:p>
        </w:tc>
        <w:tc>
          <w:tcPr>
            <w:tcW w:w="1874"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63AFFF5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193,981 (3%)</w:t>
            </w:r>
          </w:p>
        </w:tc>
      </w:tr>
      <w:tr w:rsidR="003C471F" w14:paraId="550869C0"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4A9F426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Échange temporaire</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AC22B7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27,350 (0%)</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60AAF8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 (0%)</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2FD91F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92,583 (0%)</w:t>
            </w:r>
          </w:p>
        </w:tc>
        <w:tc>
          <w:tcPr>
            <w:tcW w:w="1874"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14D546C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80,710 (1%)</w:t>
            </w:r>
          </w:p>
        </w:tc>
      </w:tr>
      <w:tr w:rsidR="003C471F" w14:paraId="225A1DC2"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ECDCC7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Gratuit</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82978F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858,820 (13%)</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A11D0F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111,174 (6%)</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4889EFF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3,397,706 (8%)</w:t>
            </w:r>
          </w:p>
        </w:tc>
        <w:tc>
          <w:tcPr>
            <w:tcW w:w="1874"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6EC8A47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755,425 (11%)</w:t>
            </w:r>
          </w:p>
        </w:tc>
      </w:tr>
      <w:tr w:rsidR="003C471F" w14:paraId="6784AAFD"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76345BB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Héritage familial</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1AE625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2,679,594 (40%)</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9FEFFD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1,107,032 (64%)</w:t>
            </w:r>
          </w:p>
        </w:tc>
        <w:tc>
          <w:tcPr>
            <w:tcW w:w="1962"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6AAA8D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29,156,356 (66%)</w:t>
            </w:r>
          </w:p>
        </w:tc>
        <w:tc>
          <w:tcPr>
            <w:tcW w:w="1874"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C1BF4A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4,704,359 (68%)</w:t>
            </w:r>
          </w:p>
        </w:tc>
      </w:tr>
      <w:tr w:rsidR="003C471F" w14:paraId="7AC1988C" w14:textId="77777777" w:rsidTr="00E3239C">
        <w:trPr>
          <w:trHeight w:val="329"/>
          <w:jc w:val="center"/>
        </w:trPr>
        <w:tc>
          <w:tcPr>
            <w:tcW w:w="245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67A0985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Location</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700C85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1,212,121 (18%)</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412E58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162,248 (9%)</w:t>
            </w:r>
          </w:p>
        </w:tc>
        <w:tc>
          <w:tcPr>
            <w:tcW w:w="1962"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3FB8AA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4,480,803 (10%)</w:t>
            </w:r>
          </w:p>
        </w:tc>
        <w:tc>
          <w:tcPr>
            <w:tcW w:w="1874"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540263F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743,187 (11%)</w:t>
            </w:r>
          </w:p>
        </w:tc>
      </w:tr>
      <w:tr w:rsidR="003C471F" w14:paraId="5B51565B" w14:textId="77777777" w:rsidTr="00E3239C">
        <w:trPr>
          <w:trHeight w:val="329"/>
          <w:jc w:val="center"/>
        </w:trPr>
        <w:tc>
          <w:tcPr>
            <w:tcW w:w="2457" w:type="dxa"/>
            <w:tcBorders>
              <w:top w:val="single" w:sz="3" w:space="0" w:color="A0A0A0"/>
              <w:left w:val="single" w:sz="12" w:space="0" w:color="2E7D32"/>
              <w:bottom w:val="single" w:sz="12" w:space="0" w:color="2E7D32"/>
              <w:right w:val="none" w:sz="0" w:space="0" w:color="000000"/>
            </w:tcBorders>
            <w:shd w:val="clear" w:color="auto" w:fill="FFFFFF"/>
            <w:tcMar>
              <w:top w:w="0" w:type="dxa"/>
              <w:left w:w="0" w:type="dxa"/>
              <w:bottom w:w="0" w:type="dxa"/>
              <w:right w:w="0" w:type="dxa"/>
            </w:tcMar>
          </w:tcPr>
          <w:p w14:paraId="70063E4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Métayage</w:t>
            </w:r>
          </w:p>
        </w:tc>
        <w:tc>
          <w:tcPr>
            <w:tcW w:w="1962"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3A90EB2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128,541 (2%)</w:t>
            </w:r>
          </w:p>
        </w:tc>
        <w:tc>
          <w:tcPr>
            <w:tcW w:w="1962"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649A5FF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 (0%)</w:t>
            </w:r>
          </w:p>
        </w:tc>
        <w:tc>
          <w:tcPr>
            <w:tcW w:w="1962"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1161031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205,290 (0%)</w:t>
            </w:r>
          </w:p>
        </w:tc>
        <w:tc>
          <w:tcPr>
            <w:tcW w:w="1874" w:type="dxa"/>
            <w:tcBorders>
              <w:top w:val="single" w:sz="3" w:space="0" w:color="A0A0A0"/>
              <w:left w:val="none" w:sz="0" w:space="0" w:color="000000"/>
              <w:bottom w:val="single" w:sz="12" w:space="0" w:color="2E7D32"/>
              <w:right w:val="single" w:sz="12" w:space="0" w:color="2E7D32"/>
            </w:tcBorders>
            <w:shd w:val="clear" w:color="auto" w:fill="FFFFFF"/>
            <w:tcMar>
              <w:top w:w="0" w:type="dxa"/>
              <w:left w:w="0" w:type="dxa"/>
              <w:bottom w:w="0" w:type="dxa"/>
              <w:right w:w="0" w:type="dxa"/>
            </w:tcMar>
          </w:tcPr>
          <w:p w14:paraId="51C05A3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32,972 (0%)</w:t>
            </w:r>
          </w:p>
        </w:tc>
      </w:tr>
      <w:tr w:rsidR="003C471F" w14:paraId="4ADEA33F" w14:textId="77777777" w:rsidTr="00E3239C">
        <w:trPr>
          <w:trHeight w:val="381"/>
          <w:jc w:val="center"/>
        </w:trPr>
        <w:tc>
          <w:tcPr>
            <w:tcW w:w="10220" w:type="dxa"/>
            <w:gridSpan w:val="5"/>
            <w:tcBorders>
              <w:top w:val="single" w:sz="12" w:space="0" w:color="2E7D32"/>
              <w:left w:val="single" w:sz="12" w:space="0" w:color="2E7D32"/>
              <w:bottom w:val="single" w:sz="12" w:space="0" w:color="2E7D32"/>
              <w:right w:val="single" w:sz="12" w:space="0" w:color="2E7D32"/>
            </w:tcBorders>
            <w:shd w:val="clear" w:color="auto" w:fill="FFFFFF"/>
            <w:tcMar>
              <w:top w:w="0" w:type="dxa"/>
              <w:left w:w="0" w:type="dxa"/>
              <w:bottom w:w="0" w:type="dxa"/>
              <w:right w:w="0" w:type="dxa"/>
            </w:tcMar>
            <w:vAlign w:val="center"/>
          </w:tcPr>
          <w:p w14:paraId="5A6AB64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rPr>
            </w:pPr>
            <w:r>
              <w:rPr>
                <w:rFonts w:eastAsia="Garamond" w:cs="Garamond"/>
                <w:color w:val="000000"/>
                <w:sz w:val="22"/>
                <w:szCs w:val="22"/>
                <w:vertAlign w:val="superscript"/>
              </w:rPr>
              <w:t>1</w:t>
            </w:r>
            <w:r>
              <w:rPr>
                <w:rFonts w:eastAsia="Garamond" w:cs="Garamond"/>
                <w:color w:val="000000"/>
                <w:sz w:val="22"/>
                <w:szCs w:val="22"/>
              </w:rPr>
              <w:t>Median [Q1;Q3]; n (%)</w:t>
            </w:r>
          </w:p>
        </w:tc>
      </w:tr>
    </w:tbl>
    <w:p w14:paraId="5A29743D" w14:textId="77777777" w:rsidR="003C471F" w:rsidRDefault="0075711C">
      <w:pPr>
        <w:pStyle w:val="FirstParagraph"/>
      </w:pPr>
      <w:r>
        <w:t> </w:t>
      </w:r>
    </w:p>
    <w:p w14:paraId="035D2586" w14:textId="77777777" w:rsidR="003C471F" w:rsidRDefault="0075711C">
      <w:pPr>
        <w:pStyle w:val="Corpsdetexte"/>
      </w:pPr>
      <w:r>
        <w:t>Le passage du sexe du gestionnaire à celui du chef de ménage modifie sensiblement la lecture. Les ménages dirigés par des femmes détiennent des parcelles de taille médiane inférieure à celles des ménages dirigés par des hommes, un écart encore plus prononc</w:t>
      </w:r>
      <w:r>
        <w:t>é qu’au niveau du gestionnaire. La prépondérance de l’héritage est maintenue dans les deux cas, mais les ménages dirigés par des femmes recourent davantage au don gratuit et à la distribution communautaire, des modes d’acquisition qui traduisent une dépend</w:t>
      </w:r>
      <w:r>
        <w:t>ance aux réseaux familiaux et communautaires faute d’accès au marché foncier formel.</w:t>
      </w:r>
    </w:p>
    <w:p w14:paraId="27754598" w14:textId="77777777" w:rsidR="003C471F" w:rsidRDefault="0075711C">
      <w:pPr>
        <w:pStyle w:val="Titre1"/>
      </w:pPr>
      <w:bookmarkStart w:id="16" w:name="X169f2cfdbb1f69a7443961d0b5fa5b44664dabf"/>
      <w:bookmarkStart w:id="17" w:name="_Toc227515550"/>
      <w:bookmarkEnd w:id="10"/>
      <w:bookmarkEnd w:id="14"/>
      <w:r>
        <w:rPr>
          <w:rStyle w:val="SectionNumber"/>
        </w:rPr>
        <w:t>7</w:t>
      </w:r>
      <w:r>
        <w:tab/>
        <w:t>Superficie totale du ménage et nombre de parcelles</w:t>
      </w:r>
      <w:bookmarkEnd w:id="17"/>
    </w:p>
    <w:p w14:paraId="58FBAFBC" w14:textId="77777777" w:rsidR="003C471F" w:rsidRDefault="0075711C">
      <w:pPr>
        <w:pStyle w:val="CaptionedFigure"/>
      </w:pPr>
      <w:r>
        <w:rPr>
          <w:noProof/>
        </w:rPr>
        <w:drawing>
          <wp:inline distT="0" distB="0" distL="0" distR="0" wp14:anchorId="0ED74F81" wp14:editId="7511B6FE">
            <wp:extent cx="5646420" cy="4436472"/>
            <wp:effectExtent l="0" t="0" r="0" b="0"/>
            <wp:docPr id="47" name="Picture" descr="Nombre de parcelles vs superficie totale. Loess avec IC 95 %. L’aplatissement au-delà de 5-6 parcelles traduit la fragmentation successorale."/>
            <wp:cNvGraphicFramePr/>
            <a:graphic xmlns:a="http://schemas.openxmlformats.org/drawingml/2006/main">
              <a:graphicData uri="http://schemas.openxmlformats.org/drawingml/2006/picture">
                <pic:pic xmlns:pic="http://schemas.openxmlformats.org/drawingml/2006/picture">
                  <pic:nvPicPr>
                    <pic:cNvPr id="48" name="Picture" descr="../outputs/figures/fig05_scatter_nb_sup.png"/>
                    <pic:cNvPicPr>
                      <a:picLocks noChangeAspect="1" noChangeArrowheads="1"/>
                    </pic:cNvPicPr>
                  </pic:nvPicPr>
                  <pic:blipFill>
                    <a:blip r:embed="rId13"/>
                    <a:stretch>
                      <a:fillRect/>
                    </a:stretch>
                  </pic:blipFill>
                  <pic:spPr bwMode="auto">
                    <a:xfrm>
                      <a:off x="0" y="0"/>
                      <a:ext cx="5646420" cy="4436472"/>
                    </a:xfrm>
                    <a:prstGeom prst="rect">
                      <a:avLst/>
                    </a:prstGeom>
                    <a:noFill/>
                    <a:ln w="9525">
                      <a:noFill/>
                      <a:headEnd/>
                      <a:tailEnd/>
                    </a:ln>
                  </pic:spPr>
                </pic:pic>
              </a:graphicData>
            </a:graphic>
          </wp:inline>
        </w:drawing>
      </w:r>
    </w:p>
    <w:p w14:paraId="4A919F21" w14:textId="77777777" w:rsidR="003C471F" w:rsidRDefault="0075711C">
      <w:pPr>
        <w:pStyle w:val="ImageCaption"/>
      </w:pPr>
      <w:r>
        <w:t>Nombre de parcelles vs superficie totale. Loess avec IC 95 %. L’aplatissement au-delà de 5-6 parcelles traduit la fragmentation successorale.</w:t>
      </w:r>
    </w:p>
    <w:p w14:paraId="4F929B0A" w14:textId="77777777" w:rsidR="003C471F" w:rsidRDefault="0075711C">
      <w:pPr>
        <w:pStyle w:val="Corpsdetexte"/>
      </w:pPr>
      <w:r>
        <w:t>La corrélation de Spearman entre le nombre de parcelles et la superficie totale du ménage est de rho = 0,437, avec</w:t>
      </w:r>
      <w:r>
        <w:t xml:space="preserve"> un intervalle de confiance à 95 % par bootstrap de [0,410 ; 0,465]. La corrélation est positive, significative et modérée.</w:t>
      </w:r>
    </w:p>
    <w:p w14:paraId="4652B79B" w14:textId="77777777" w:rsidR="003C471F" w:rsidRDefault="0075711C">
      <w:pPr>
        <w:pStyle w:val="Corpsdetexte"/>
      </w:pPr>
      <w:r>
        <w:t xml:space="preserve">La courbe loess (Locally Estimated Scatterplot Smoothing) est une méthode de lissage qui trace la tendance moyenne des données sans </w:t>
      </w:r>
      <w:r>
        <w:t>imposer de forme à l’avance. Pour chaque point de l’axe horizontal, elle calcule la moyenne des points voisins. Ce que cette courbe révèle est que pour les ménages qui passent de 1 à 3 parcelles, chaque parcelle supplémentaire ajoute de la superficie de ma</w:t>
      </w:r>
      <w:r>
        <w:t xml:space="preserve">nière visible (la courbe monte). Mais au-delà de 5-6 parcelles, la courbe s’aplatit : chaque parcelle supplémentaire ajoute de moins en moins. C’est le phénomène de </w:t>
      </w:r>
      <w:r>
        <w:rPr>
          <w:b/>
          <w:bCs/>
        </w:rPr>
        <w:t>fragmentation successorale</w:t>
      </w:r>
      <w:r>
        <w:t>. Quand un ménage hérite de la terre de génération en génération,</w:t>
      </w:r>
      <w:r>
        <w:t xml:space="preserve"> chaque nouvelle génération subdivise les parcelles existantes, produisant beaucoup de petites parcelles plutôt que peu de grandes.</w:t>
      </w:r>
    </w:p>
    <w:p w14:paraId="6E5AA181" w14:textId="77777777" w:rsidR="003C471F" w:rsidRDefault="0075711C">
      <w:pPr>
        <w:pStyle w:val="Titre1"/>
      </w:pPr>
      <w:bookmarkStart w:id="18" w:name="carte-de-la-superficie-médiane-par-état"/>
      <w:bookmarkStart w:id="19" w:name="_Toc227515551"/>
      <w:bookmarkEnd w:id="16"/>
      <w:r>
        <w:rPr>
          <w:rStyle w:val="SectionNumber"/>
        </w:rPr>
        <w:t>8</w:t>
      </w:r>
      <w:r>
        <w:tab/>
        <w:t>Carte de la superficie médiane par État</w:t>
      </w:r>
      <w:bookmarkEnd w:id="19"/>
    </w:p>
    <w:p w14:paraId="25F2B6CB" w14:textId="77777777" w:rsidR="003C471F" w:rsidRDefault="0075711C">
      <w:pPr>
        <w:pStyle w:val="CaptionedFigure"/>
      </w:pPr>
      <w:r>
        <w:rPr>
          <w:noProof/>
        </w:rPr>
        <w:drawing>
          <wp:inline distT="0" distB="0" distL="0" distR="0" wp14:anchorId="43A611C7" wp14:editId="37F995F3">
            <wp:extent cx="5646420" cy="4234815"/>
            <wp:effectExtent l="0" t="0" r="0" b="0"/>
            <wp:docPr id="51" name="Picture" descr="Carte choroplèthe. Les noms des États et les superficies médianes sont affichés. Le vert foncé indique les grandes parcelles (Nord), le vert clair les petites (Sud)."/>
            <wp:cNvGraphicFramePr/>
            <a:graphic xmlns:a="http://schemas.openxmlformats.org/drawingml/2006/main">
              <a:graphicData uri="http://schemas.openxmlformats.org/drawingml/2006/picture">
                <pic:pic xmlns:pic="http://schemas.openxmlformats.org/drawingml/2006/picture">
                  <pic:nvPicPr>
                    <pic:cNvPr id="52" name="Picture" descr="../outputs/figures/fig06_carte_superficie.png"/>
                    <pic:cNvPicPr>
                      <a:picLocks noChangeAspect="1" noChangeArrowheads="1"/>
                    </pic:cNvPicPr>
                  </pic:nvPicPr>
                  <pic:blipFill>
                    <a:blip r:embed="rId14"/>
                    <a:stretch>
                      <a:fillRect/>
                    </a:stretch>
                  </pic:blipFill>
                  <pic:spPr bwMode="auto">
                    <a:xfrm>
                      <a:off x="0" y="0"/>
                      <a:ext cx="5646420" cy="4234815"/>
                    </a:xfrm>
                    <a:prstGeom prst="rect">
                      <a:avLst/>
                    </a:prstGeom>
                    <a:noFill/>
                    <a:ln w="9525">
                      <a:noFill/>
                      <a:headEnd/>
                      <a:tailEnd/>
                    </a:ln>
                  </pic:spPr>
                </pic:pic>
              </a:graphicData>
            </a:graphic>
          </wp:inline>
        </w:drawing>
      </w:r>
    </w:p>
    <w:p w14:paraId="6B5B56FF" w14:textId="77777777" w:rsidR="003C471F" w:rsidRDefault="0075711C">
      <w:pPr>
        <w:pStyle w:val="ImageCaption"/>
      </w:pPr>
      <w:r>
        <w:t>Carte choroplèthe. Les noms des États et les superficies médianes sont affichés.</w:t>
      </w:r>
      <w:r>
        <w:t xml:space="preserve"> Le vert foncé indique les grandes parcelles (Nord), le vert clair les petites (Sud).</w:t>
      </w:r>
    </w:p>
    <w:p w14:paraId="2A2558E4" w14:textId="77777777" w:rsidR="003C471F" w:rsidRDefault="0075711C">
      <w:pPr>
        <w:pStyle w:val="Corpsdetexte"/>
      </w:pPr>
      <w:r>
        <w:t>La carte montre un gradient Nord-Sud prononcé.En effet, les États du Nord (Niger : 1,21 ha, Kebbi, Yobe, Borno) ont des parcelles nettement plus grandes que ceux du Sud-E</w:t>
      </w:r>
      <w:r>
        <w:t>st (Imo, Anambra, Akwa Ibom : moins de 0,1 ha). Cette structure spatiale reflète le fait que le Nord dispose de vastes étendues de savane propices aux cultures céréalières, tandis que le Sud, plus dense et forestier, se prête à de petites parcelles de cult</w:t>
      </w:r>
      <w:r>
        <w:t>ures vivrières intensives (manioc, igname, plantain).L’État de Niger (zone North Central) se distingue avec la médiane la plus élevée, cohérent avec sa vocation de grenier céréalier.</w:t>
      </w:r>
    </w:p>
    <w:p w14:paraId="75CFFE2A" w14:textId="77777777" w:rsidR="003C471F" w:rsidRDefault="0075711C">
      <w:pPr>
        <w:pStyle w:val="Titre1"/>
      </w:pPr>
      <w:bookmarkStart w:id="20" w:name="X53e0d90704c64804e7c313b89e2d5a05ed510a3"/>
      <w:bookmarkStart w:id="21" w:name="_Toc227515552"/>
      <w:bookmarkEnd w:id="18"/>
      <w:r>
        <w:rPr>
          <w:rStyle w:val="SectionNumber"/>
        </w:rPr>
        <w:t>9</w:t>
      </w:r>
      <w:r>
        <w:tab/>
        <w:t>Carte de la superficie médiane par région</w:t>
      </w:r>
      <w:bookmarkEnd w:id="21"/>
    </w:p>
    <w:p w14:paraId="47567B35" w14:textId="77777777" w:rsidR="003C471F" w:rsidRDefault="0075711C">
      <w:pPr>
        <w:pStyle w:val="CaptionedFigure"/>
      </w:pPr>
      <w:r>
        <w:rPr>
          <w:noProof/>
        </w:rPr>
        <w:drawing>
          <wp:inline distT="0" distB="0" distL="0" distR="0" wp14:anchorId="374CB08A" wp14:editId="141D7654">
            <wp:extent cx="5646420" cy="4517136"/>
            <wp:effectExtent l="0" t="0" r="0" b="0"/>
            <wp:docPr id="55" name="Picture" descr="Carte choroplèthe par zone géopolitique."/>
            <wp:cNvGraphicFramePr/>
            <a:graphic xmlns:a="http://schemas.openxmlformats.org/drawingml/2006/main">
              <a:graphicData uri="http://schemas.openxmlformats.org/drawingml/2006/picture">
                <pic:pic xmlns:pic="http://schemas.openxmlformats.org/drawingml/2006/picture">
                  <pic:nvPicPr>
                    <pic:cNvPr id="56" name="Picture" descr="../outputs/figures/fig08_carte_region.png"/>
                    <pic:cNvPicPr>
                      <a:picLocks noChangeAspect="1" noChangeArrowheads="1"/>
                    </pic:cNvPicPr>
                  </pic:nvPicPr>
                  <pic:blipFill>
                    <a:blip r:embed="rId15"/>
                    <a:stretch>
                      <a:fillRect/>
                    </a:stretch>
                  </pic:blipFill>
                  <pic:spPr bwMode="auto">
                    <a:xfrm>
                      <a:off x="0" y="0"/>
                      <a:ext cx="5646420" cy="4517136"/>
                    </a:xfrm>
                    <a:prstGeom prst="rect">
                      <a:avLst/>
                    </a:prstGeom>
                    <a:noFill/>
                    <a:ln w="9525">
                      <a:noFill/>
                      <a:headEnd/>
                      <a:tailEnd/>
                    </a:ln>
                  </pic:spPr>
                </pic:pic>
              </a:graphicData>
            </a:graphic>
          </wp:inline>
        </w:drawing>
      </w:r>
    </w:p>
    <w:p w14:paraId="5BC17419" w14:textId="77777777" w:rsidR="003C471F" w:rsidRDefault="0075711C">
      <w:pPr>
        <w:pStyle w:val="ImageCaption"/>
      </w:pPr>
      <w:r>
        <w:t xml:space="preserve">Carte choroplèthe par zone </w:t>
      </w:r>
      <w:r>
        <w:t>géopolitique.</w:t>
      </w:r>
    </w:p>
    <w:p w14:paraId="278FC6BD" w14:textId="77777777" w:rsidR="003C471F" w:rsidRDefault="0075711C">
      <w:pPr>
        <w:pStyle w:val="Corpsdetexte"/>
      </w:pPr>
      <w:r>
        <w:t xml:space="preserve">Nous observons que la zone North East affiche la médiane la plus élevée (0,48 ha, n = 2 351 parcelles), tandis que la zone South East a la médiane la plus faible (0,08 ha, n = 2 273). </w:t>
      </w:r>
      <w:r>
        <w:rPr>
          <w:b/>
          <w:bCs/>
        </w:rPr>
        <w:t>Le passage de 37 unités à 6 stabilise les médianes et rend</w:t>
      </w:r>
      <w:r>
        <w:rPr>
          <w:b/>
          <w:bCs/>
        </w:rPr>
        <w:t xml:space="preserve"> les comparaisons plus fiables, car chaque zone contient au moins plusieurs centaines de parcelles.</w:t>
      </w:r>
    </w:p>
    <w:p w14:paraId="51C80A77" w14:textId="77777777" w:rsidR="003C471F" w:rsidRDefault="0075711C">
      <w:pPr>
        <w:pStyle w:val="Titre1"/>
      </w:pPr>
      <w:bookmarkStart w:id="22" w:name="tableau-de-synthèse"/>
      <w:bookmarkStart w:id="23" w:name="_Toc227515553"/>
      <w:bookmarkEnd w:id="20"/>
      <w:r>
        <w:rPr>
          <w:rStyle w:val="SectionNumber"/>
        </w:rPr>
        <w:t>10</w:t>
      </w:r>
      <w:r>
        <w:tab/>
        <w:t>Tableau de synthèse</w:t>
      </w:r>
      <w:bookmarkEnd w:id="23"/>
    </w:p>
    <w:tbl>
      <w:tblPr>
        <w:tblW w:w="10297" w:type="dxa"/>
        <w:jc w:val="center"/>
        <w:tblLayout w:type="fixed"/>
        <w:tblLook w:val="0420" w:firstRow="1" w:lastRow="0" w:firstColumn="0" w:lastColumn="0" w:noHBand="0" w:noVBand="1"/>
      </w:tblPr>
      <w:tblGrid>
        <w:gridCol w:w="2747"/>
        <w:gridCol w:w="2194"/>
        <w:gridCol w:w="2194"/>
        <w:gridCol w:w="2194"/>
        <w:gridCol w:w="968"/>
      </w:tblGrid>
      <w:tr w:rsidR="003C471F" w14:paraId="5D7DFA33" w14:textId="77777777" w:rsidTr="00E3239C">
        <w:trPr>
          <w:trHeight w:val="530"/>
          <w:tblHeader/>
          <w:jc w:val="center"/>
        </w:trPr>
        <w:tc>
          <w:tcPr>
            <w:tcW w:w="2747" w:type="dxa"/>
            <w:tcBorders>
              <w:top w:val="single" w:sz="12" w:space="0" w:color="2E7D32"/>
              <w:left w:val="single" w:sz="12" w:space="0" w:color="2E7D32"/>
              <w:bottom w:val="single" w:sz="16" w:space="0" w:color="2E7D32"/>
              <w:right w:val="none" w:sz="0" w:space="0" w:color="000000"/>
            </w:tcBorders>
            <w:shd w:val="clear" w:color="auto" w:fill="2E7D32"/>
            <w:tcMar>
              <w:top w:w="0" w:type="dxa"/>
              <w:left w:w="0" w:type="dxa"/>
              <w:bottom w:w="0" w:type="dxa"/>
              <w:right w:w="0" w:type="dxa"/>
            </w:tcMar>
            <w:vAlign w:val="center"/>
          </w:tcPr>
          <w:p w14:paraId="02464DD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Variable</w:t>
            </w:r>
          </w:p>
        </w:tc>
        <w:tc>
          <w:tcPr>
            <w:tcW w:w="2194" w:type="dxa"/>
            <w:tcBorders>
              <w:top w:val="single" w:sz="12" w:space="0" w:color="2E7D32"/>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5E2556C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Overall</w:t>
            </w:r>
            <w:r>
              <w:rPr>
                <w:rFonts w:eastAsia="Garamond" w:cs="Garamond"/>
                <w:b/>
                <w:color w:val="FFFFFF"/>
                <w:sz w:val="19"/>
                <w:szCs w:val="19"/>
              </w:rPr>
              <w:br/>
              <w:t>n = 59391984.5646667</w:t>
            </w:r>
            <w:r>
              <w:rPr>
                <w:rFonts w:eastAsia="Garamond" w:cs="Garamond"/>
                <w:b/>
                <w:color w:val="FFFFFF"/>
                <w:sz w:val="19"/>
                <w:szCs w:val="19"/>
                <w:vertAlign w:val="superscript"/>
              </w:rPr>
              <w:t>1</w:t>
            </w:r>
          </w:p>
        </w:tc>
        <w:tc>
          <w:tcPr>
            <w:tcW w:w="2194" w:type="dxa"/>
            <w:tcBorders>
              <w:top w:val="single" w:sz="12" w:space="0" w:color="2E7D32"/>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597EB4B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Urbain</w:t>
            </w:r>
            <w:r>
              <w:rPr>
                <w:rFonts w:eastAsia="Garamond" w:cs="Garamond"/>
                <w:b/>
                <w:color w:val="FFFFFF"/>
                <w:sz w:val="19"/>
                <w:szCs w:val="19"/>
              </w:rPr>
              <w:br/>
              <w:t>n = 8492968.63046265</w:t>
            </w:r>
            <w:r>
              <w:rPr>
                <w:rFonts w:eastAsia="Garamond" w:cs="Garamond"/>
                <w:b/>
                <w:color w:val="FFFFFF"/>
                <w:sz w:val="19"/>
                <w:szCs w:val="19"/>
                <w:vertAlign w:val="superscript"/>
              </w:rPr>
              <w:t>1</w:t>
            </w:r>
          </w:p>
        </w:tc>
        <w:tc>
          <w:tcPr>
            <w:tcW w:w="2194" w:type="dxa"/>
            <w:tcBorders>
              <w:top w:val="single" w:sz="12" w:space="0" w:color="2E7D32"/>
              <w:left w:val="none" w:sz="0" w:space="0" w:color="000000"/>
              <w:bottom w:val="single" w:sz="16" w:space="0" w:color="2E7D32"/>
              <w:right w:val="none" w:sz="0" w:space="0" w:color="000000"/>
            </w:tcBorders>
            <w:shd w:val="clear" w:color="auto" w:fill="2E7D32"/>
            <w:tcMar>
              <w:top w:w="0" w:type="dxa"/>
              <w:left w:w="0" w:type="dxa"/>
              <w:bottom w:w="0" w:type="dxa"/>
              <w:right w:w="0" w:type="dxa"/>
            </w:tcMar>
            <w:vAlign w:val="center"/>
          </w:tcPr>
          <w:p w14:paraId="6CE77F3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Rural</w:t>
            </w:r>
            <w:r>
              <w:rPr>
                <w:rFonts w:eastAsia="Garamond" w:cs="Garamond"/>
                <w:b/>
                <w:color w:val="FFFFFF"/>
                <w:sz w:val="19"/>
                <w:szCs w:val="19"/>
              </w:rPr>
              <w:br/>
              <w:t>n = 50899015.9342041</w:t>
            </w:r>
            <w:r>
              <w:rPr>
                <w:rFonts w:eastAsia="Garamond" w:cs="Garamond"/>
                <w:b/>
                <w:color w:val="FFFFFF"/>
                <w:sz w:val="19"/>
                <w:szCs w:val="19"/>
                <w:vertAlign w:val="superscript"/>
              </w:rPr>
              <w:t>1</w:t>
            </w:r>
          </w:p>
        </w:tc>
        <w:tc>
          <w:tcPr>
            <w:tcW w:w="967" w:type="dxa"/>
            <w:tcBorders>
              <w:top w:val="single" w:sz="12" w:space="0" w:color="2E7D32"/>
              <w:left w:val="none" w:sz="0" w:space="0" w:color="000000"/>
              <w:bottom w:val="single" w:sz="16" w:space="0" w:color="2E7D32"/>
              <w:right w:val="single" w:sz="12" w:space="0" w:color="2E7D32"/>
            </w:tcBorders>
            <w:shd w:val="clear" w:color="auto" w:fill="2E7D32"/>
            <w:tcMar>
              <w:top w:w="0" w:type="dxa"/>
              <w:left w:w="0" w:type="dxa"/>
              <w:bottom w:w="0" w:type="dxa"/>
              <w:right w:w="0" w:type="dxa"/>
            </w:tcMar>
            <w:vAlign w:val="center"/>
          </w:tcPr>
          <w:p w14:paraId="080907D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p-value</w:t>
            </w:r>
            <w:r>
              <w:rPr>
                <w:rFonts w:eastAsia="Garamond" w:cs="Garamond"/>
                <w:b/>
                <w:color w:val="FFFFFF"/>
                <w:sz w:val="19"/>
                <w:szCs w:val="19"/>
                <w:vertAlign w:val="superscript"/>
              </w:rPr>
              <w:t>2</w:t>
            </w:r>
          </w:p>
        </w:tc>
      </w:tr>
      <w:tr w:rsidR="003C471F" w14:paraId="4A60AC8C" w14:textId="77777777" w:rsidTr="00E3239C">
        <w:trPr>
          <w:trHeight w:val="319"/>
          <w:jc w:val="center"/>
        </w:trPr>
        <w:tc>
          <w:tcPr>
            <w:tcW w:w="2747" w:type="dxa"/>
            <w:tcBorders>
              <w:top w:val="single" w:sz="16" w:space="0" w:color="2E7D32"/>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44F45A7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Superficie (ha)</w:t>
            </w:r>
          </w:p>
        </w:tc>
        <w:tc>
          <w:tcPr>
            <w:tcW w:w="2194"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D40065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0.20 [0.06;0.52]</w:t>
            </w:r>
          </w:p>
        </w:tc>
        <w:tc>
          <w:tcPr>
            <w:tcW w:w="2194"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C40E3E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0.13 [0.04;0.49]</w:t>
            </w:r>
          </w:p>
        </w:tc>
        <w:tc>
          <w:tcPr>
            <w:tcW w:w="2194" w:type="dxa"/>
            <w:tcBorders>
              <w:top w:val="single" w:sz="16" w:space="0" w:color="2E7D32"/>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07488C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0.21 [0.07;0.52]</w:t>
            </w:r>
          </w:p>
        </w:tc>
        <w:tc>
          <w:tcPr>
            <w:tcW w:w="967" w:type="dxa"/>
            <w:tcBorders>
              <w:top w:val="single" w:sz="16" w:space="0" w:color="2E7D32"/>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1B1504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0.079</w:t>
            </w:r>
          </w:p>
        </w:tc>
      </w:tr>
      <w:tr w:rsidR="003C471F" w14:paraId="1B64FD48"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79C8560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Mode d'acquisition</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598CB85"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1C46EBB"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07D8C55E"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22185AE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&lt;0.001</w:t>
            </w:r>
          </w:p>
        </w:tc>
      </w:tr>
      <w:tr w:rsidR="003C471F" w14:paraId="4625BBBA"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0C557C1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Achat</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685418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7,806,618 (13%)</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13008C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1,977,299 (23%)</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ACE66C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5,829,319 (11%)</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B48E27D"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18F0FDC3"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09F965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Distribution communautaire</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557D4F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1,649,097 (3%)</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45929CA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228,792 (3%)</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4910CC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1,420,305 (3%)</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6BA44B7D"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1EA324BC"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7043E55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Échange temporaire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7C27A6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200,644 (0%)</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ADF5B1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27,350 (0%)</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5B5B9A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173,294 (0%)</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079FF5BE"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21BEA7AD"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73C5084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Gratuit</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8DC612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5,123,125 (9%)</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988776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969,993 (11%)</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358860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4,153,132 (8%)</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661A8073"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529EE9F9"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2A3360E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Héritage familial</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0195B9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37,647,341 (63%)</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7DB188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3,786,625 (45%)</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B49C69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33,860,715 (67%)</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08557CBC"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18D4EAE1"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582DFB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Location</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8CCEBF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6,598,359 (11%)</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885019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1,374,369 (16%)</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19B447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5,223,990 (10%)</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4C9F5D8E"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2033FDD2"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3B43687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Métayage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40C90C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366,802 (1%)</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11BD8F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128,541 (2%)</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45E98E6"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238,261 (0%)</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6C1C995A"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10E52B1D"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059D18F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Cultivée</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6D36DA1"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821B8A5"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0B54EDC"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369F1B4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&lt;0.001</w:t>
            </w:r>
          </w:p>
        </w:tc>
      </w:tr>
      <w:tr w:rsidR="003C471F" w14:paraId="19430B65"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42B3A83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Oui</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14A088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44,907,805 (76%)</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036BB4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4,807,490 (57%)</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EBB532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40,100,315 (79%)</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13720C00"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700FEAFE"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C18E40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Non</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1F13AA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14,484,180 (24%)</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E62C5F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3,685,479 (43%)</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E519D9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10,798,701 (21%)</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4C18D77E"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6A9D6653"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2DB6F388"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Sexe gestionnaire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EA9798D"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6A90B90"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E2D5806"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6C96A74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0.5</w:t>
            </w:r>
          </w:p>
        </w:tc>
      </w:tr>
      <w:tr w:rsidR="003C471F" w14:paraId="7A5571DE"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336B7C42"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Homme</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D8ABE5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36,045,646 (81%)</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0EB55C6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3,760,944 (78%)</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EA605B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32,284,701 (81%)</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223585A9"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2C2A19FD"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3AFE4AC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Femme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888B61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8,695,942 (19%)</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FBEC13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1,046,546 (22%)</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4061BB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7,649,397 (19%)</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49611331"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312B06D3"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6633DAE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Non renseigné</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6E626BA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14,650,397</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0C97A7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3,685,479</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C6B8D6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10,964,918</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251BA8E4"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4BD6A8E6"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5AB197E1"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Sexe chef ménage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A1C7AA9"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19AA31F"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470D487"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7795E09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0.083</w:t>
            </w:r>
          </w:p>
        </w:tc>
      </w:tr>
      <w:tr w:rsidR="003C471F" w14:paraId="3357EF9A"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051A4C8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Homme</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CF5DF9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50,739,076 (85%)</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5F9028F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6,761,620 (80%)</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880FFB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43,977,457 (86%)</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47DE39B0"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0CB24B62"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4F8FB88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Femme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7A77EEB"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8,652,908 (15%)</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FBCCFB7"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1,731,349 (20%)</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979913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6,921,559 (14%)</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67C50734"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69119A80"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2F029AE3"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Source superficie</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1FCB75B"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2712DD13"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19B7F287"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40DFE99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&lt;0.001</w:t>
            </w:r>
          </w:p>
        </w:tc>
      </w:tr>
      <w:tr w:rsidR="003C471F" w14:paraId="2993FDC9" w14:textId="77777777" w:rsidTr="00E3239C">
        <w:trPr>
          <w:trHeight w:val="319"/>
          <w:jc w:val="center"/>
        </w:trPr>
        <w:tc>
          <w:tcPr>
            <w:tcW w:w="2747" w:type="dxa"/>
            <w:tcBorders>
              <w:top w:val="single" w:sz="3" w:space="0" w:color="A0A0A0"/>
              <w:left w:val="single" w:sz="12" w:space="0" w:color="2E7D32"/>
              <w:bottom w:val="single" w:sz="3" w:space="0" w:color="A0A0A0"/>
              <w:right w:val="none" w:sz="0" w:space="0" w:color="000000"/>
            </w:tcBorders>
            <w:shd w:val="clear" w:color="auto" w:fill="FFFFFF"/>
            <w:tcMar>
              <w:top w:w="0" w:type="dxa"/>
              <w:left w:w="0" w:type="dxa"/>
              <w:bottom w:w="0" w:type="dxa"/>
              <w:right w:w="0" w:type="dxa"/>
            </w:tcMar>
          </w:tcPr>
          <w:p w14:paraId="63610D5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Déclarée convertie</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D4ACC6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20,297,558 (34%)</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991666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5,577,604 (66%)</w:t>
            </w:r>
          </w:p>
        </w:tc>
        <w:tc>
          <w:tcPr>
            <w:tcW w:w="2194"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A12AACD"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14,719,954 (29%)</w:t>
            </w:r>
          </w:p>
        </w:tc>
        <w:tc>
          <w:tcPr>
            <w:tcW w:w="967" w:type="dxa"/>
            <w:tcBorders>
              <w:top w:val="single" w:sz="3" w:space="0" w:color="A0A0A0"/>
              <w:left w:val="none" w:sz="0" w:space="0" w:color="000000"/>
              <w:bottom w:val="single" w:sz="3" w:space="0" w:color="A0A0A0"/>
              <w:right w:val="single" w:sz="12" w:space="0" w:color="2E7D32"/>
            </w:tcBorders>
            <w:shd w:val="clear" w:color="auto" w:fill="FFFFFF"/>
            <w:tcMar>
              <w:top w:w="0" w:type="dxa"/>
              <w:left w:w="0" w:type="dxa"/>
              <w:bottom w:w="0" w:type="dxa"/>
              <w:right w:w="0" w:type="dxa"/>
            </w:tcMar>
          </w:tcPr>
          <w:p w14:paraId="792F6072"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61378DAD" w14:textId="77777777" w:rsidTr="00E3239C">
        <w:trPr>
          <w:trHeight w:val="310"/>
          <w:jc w:val="center"/>
        </w:trPr>
        <w:tc>
          <w:tcPr>
            <w:tcW w:w="2747" w:type="dxa"/>
            <w:tcBorders>
              <w:top w:val="single" w:sz="3" w:space="0" w:color="A0A0A0"/>
              <w:left w:val="single" w:sz="12" w:space="0" w:color="2E7D32"/>
              <w:bottom w:val="single" w:sz="3" w:space="0" w:color="A0A0A0"/>
              <w:right w:val="none" w:sz="0" w:space="0" w:color="000000"/>
            </w:tcBorders>
            <w:shd w:val="clear" w:color="auto" w:fill="E8F5E9"/>
            <w:tcMar>
              <w:top w:w="0" w:type="dxa"/>
              <w:left w:w="0" w:type="dxa"/>
              <w:bottom w:w="0" w:type="dxa"/>
              <w:right w:w="0" w:type="dxa"/>
            </w:tcMar>
          </w:tcPr>
          <w:p w14:paraId="2D7BD1F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GPS Post-Harvest</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02332204"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4,968,315 (8%)</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7EAC9DC9"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413,920 (5%)</w:t>
            </w:r>
          </w:p>
        </w:tc>
        <w:tc>
          <w:tcPr>
            <w:tcW w:w="2194" w:type="dxa"/>
            <w:tcBorders>
              <w:top w:val="single" w:sz="3" w:space="0" w:color="A0A0A0"/>
              <w:left w:val="none" w:sz="0" w:space="0" w:color="000000"/>
              <w:bottom w:val="single" w:sz="3" w:space="0" w:color="A0A0A0"/>
              <w:right w:val="none" w:sz="0" w:space="0" w:color="000000"/>
            </w:tcBorders>
            <w:shd w:val="clear" w:color="auto" w:fill="E8F5E9"/>
            <w:tcMar>
              <w:top w:w="0" w:type="dxa"/>
              <w:left w:w="0" w:type="dxa"/>
              <w:bottom w:w="0" w:type="dxa"/>
              <w:right w:w="0" w:type="dxa"/>
            </w:tcMar>
          </w:tcPr>
          <w:p w14:paraId="3F2E19EA"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4,554,395 (9%)</w:t>
            </w:r>
          </w:p>
        </w:tc>
        <w:tc>
          <w:tcPr>
            <w:tcW w:w="967" w:type="dxa"/>
            <w:tcBorders>
              <w:top w:val="single" w:sz="3" w:space="0" w:color="A0A0A0"/>
              <w:left w:val="none" w:sz="0" w:space="0" w:color="000000"/>
              <w:bottom w:val="single" w:sz="3" w:space="0" w:color="A0A0A0"/>
              <w:right w:val="single" w:sz="12" w:space="0" w:color="2E7D32"/>
            </w:tcBorders>
            <w:shd w:val="clear" w:color="auto" w:fill="E8F5E9"/>
            <w:tcMar>
              <w:top w:w="0" w:type="dxa"/>
              <w:left w:w="0" w:type="dxa"/>
              <w:bottom w:w="0" w:type="dxa"/>
              <w:right w:w="0" w:type="dxa"/>
            </w:tcMar>
          </w:tcPr>
          <w:p w14:paraId="66A4F428"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205FC148" w14:textId="77777777" w:rsidTr="00E3239C">
        <w:trPr>
          <w:trHeight w:val="319"/>
          <w:jc w:val="center"/>
        </w:trPr>
        <w:tc>
          <w:tcPr>
            <w:tcW w:w="2747" w:type="dxa"/>
            <w:tcBorders>
              <w:top w:val="single" w:sz="3" w:space="0" w:color="A0A0A0"/>
              <w:left w:val="single" w:sz="12" w:space="0" w:color="2E7D32"/>
              <w:bottom w:val="single" w:sz="12" w:space="0" w:color="2E7D32"/>
              <w:right w:val="none" w:sz="0" w:space="0" w:color="000000"/>
            </w:tcBorders>
            <w:shd w:val="clear" w:color="auto" w:fill="FFFFFF"/>
            <w:tcMar>
              <w:top w:w="0" w:type="dxa"/>
              <w:left w:w="0" w:type="dxa"/>
              <w:bottom w:w="0" w:type="dxa"/>
              <w:right w:w="0" w:type="dxa"/>
            </w:tcMar>
          </w:tcPr>
          <w:p w14:paraId="2B431C50"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GPS Post-Planting</w:t>
            </w:r>
          </w:p>
        </w:tc>
        <w:tc>
          <w:tcPr>
            <w:tcW w:w="2194"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48A1E335"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34,126,111 (57%)</w:t>
            </w:r>
          </w:p>
        </w:tc>
        <w:tc>
          <w:tcPr>
            <w:tcW w:w="2194"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0596404C"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2,501,444 (29%)</w:t>
            </w:r>
          </w:p>
        </w:tc>
        <w:tc>
          <w:tcPr>
            <w:tcW w:w="2194" w:type="dxa"/>
            <w:tcBorders>
              <w:top w:val="single" w:sz="3" w:space="0" w:color="A0A0A0"/>
              <w:left w:val="none" w:sz="0" w:space="0" w:color="000000"/>
              <w:bottom w:val="single" w:sz="12" w:space="0" w:color="2E7D32"/>
              <w:right w:val="none" w:sz="0" w:space="0" w:color="000000"/>
            </w:tcBorders>
            <w:shd w:val="clear" w:color="auto" w:fill="FFFFFF"/>
            <w:tcMar>
              <w:top w:w="0" w:type="dxa"/>
              <w:left w:w="0" w:type="dxa"/>
              <w:bottom w:w="0" w:type="dxa"/>
              <w:right w:w="0" w:type="dxa"/>
            </w:tcMar>
          </w:tcPr>
          <w:p w14:paraId="702D677E"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31,624,667 (62%)</w:t>
            </w:r>
          </w:p>
        </w:tc>
        <w:tc>
          <w:tcPr>
            <w:tcW w:w="967" w:type="dxa"/>
            <w:tcBorders>
              <w:top w:val="single" w:sz="3" w:space="0" w:color="A0A0A0"/>
              <w:left w:val="none" w:sz="0" w:space="0" w:color="000000"/>
              <w:bottom w:val="single" w:sz="12" w:space="0" w:color="2E7D32"/>
              <w:right w:val="single" w:sz="12" w:space="0" w:color="2E7D32"/>
            </w:tcBorders>
            <w:shd w:val="clear" w:color="auto" w:fill="FFFFFF"/>
            <w:tcMar>
              <w:top w:w="0" w:type="dxa"/>
              <w:left w:w="0" w:type="dxa"/>
              <w:bottom w:w="0" w:type="dxa"/>
              <w:right w:w="0" w:type="dxa"/>
            </w:tcMar>
          </w:tcPr>
          <w:p w14:paraId="18E83C58" w14:textId="77777777" w:rsidR="003C471F" w:rsidRDefault="003C471F">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3C471F" w14:paraId="0B00E95D" w14:textId="77777777" w:rsidTr="00E3239C">
        <w:trPr>
          <w:trHeight w:val="358"/>
          <w:jc w:val="center"/>
        </w:trPr>
        <w:tc>
          <w:tcPr>
            <w:tcW w:w="10297" w:type="dxa"/>
            <w:gridSpan w:val="5"/>
            <w:tcBorders>
              <w:top w:val="single" w:sz="12" w:space="0" w:color="2E7D32"/>
              <w:left w:val="single" w:sz="12" w:space="0" w:color="2E7D32"/>
              <w:bottom w:val="none" w:sz="0" w:space="0" w:color="000000"/>
              <w:right w:val="single" w:sz="12" w:space="0" w:color="2E7D32"/>
            </w:tcBorders>
            <w:shd w:val="clear" w:color="auto" w:fill="FFFFFF"/>
            <w:tcMar>
              <w:top w:w="0" w:type="dxa"/>
              <w:left w:w="0" w:type="dxa"/>
              <w:bottom w:w="0" w:type="dxa"/>
              <w:right w:w="0" w:type="dxa"/>
            </w:tcMar>
            <w:vAlign w:val="center"/>
          </w:tcPr>
          <w:p w14:paraId="14869B4F" w14:textId="77777777" w:rsidR="003C471F"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rPr>
            </w:pPr>
            <w:r>
              <w:rPr>
                <w:rFonts w:eastAsia="Garamond" w:cs="Garamond"/>
                <w:color w:val="000000"/>
                <w:sz w:val="22"/>
                <w:szCs w:val="22"/>
                <w:vertAlign w:val="superscript"/>
              </w:rPr>
              <w:t>1</w:t>
            </w:r>
            <w:r>
              <w:rPr>
                <w:rFonts w:eastAsia="Garamond" w:cs="Garamond"/>
                <w:color w:val="000000"/>
                <w:sz w:val="22"/>
                <w:szCs w:val="22"/>
              </w:rPr>
              <w:t>Median [Q1;Q3]; n (%)</w:t>
            </w:r>
          </w:p>
        </w:tc>
      </w:tr>
      <w:tr w:rsidR="003C471F" w:rsidRPr="00E3239C" w14:paraId="0ED1A298" w14:textId="77777777" w:rsidTr="00E3239C">
        <w:trPr>
          <w:trHeight w:val="351"/>
          <w:jc w:val="center"/>
        </w:trPr>
        <w:tc>
          <w:tcPr>
            <w:tcW w:w="10297" w:type="dxa"/>
            <w:gridSpan w:val="5"/>
            <w:tcBorders>
              <w:top w:val="none" w:sz="0" w:space="0" w:color="000000"/>
              <w:left w:val="single" w:sz="12" w:space="0" w:color="2E7D32"/>
              <w:bottom w:val="single" w:sz="12" w:space="0" w:color="2E7D32"/>
              <w:right w:val="single" w:sz="12" w:space="0" w:color="2E7D32"/>
            </w:tcBorders>
            <w:shd w:val="clear" w:color="auto" w:fill="FFFFFF"/>
            <w:tcMar>
              <w:top w:w="0" w:type="dxa"/>
              <w:left w:w="0" w:type="dxa"/>
              <w:bottom w:w="0" w:type="dxa"/>
              <w:right w:w="0" w:type="dxa"/>
            </w:tcMar>
            <w:vAlign w:val="center"/>
          </w:tcPr>
          <w:p w14:paraId="3D054916" w14:textId="77777777" w:rsidR="003C471F" w:rsidRPr="00E3239C" w:rsidRDefault="0075711C">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lang w:val="en-US"/>
              </w:rPr>
            </w:pPr>
            <w:r w:rsidRPr="00E3239C">
              <w:rPr>
                <w:rFonts w:eastAsia="Garamond" w:cs="Garamond"/>
                <w:color w:val="000000"/>
                <w:sz w:val="22"/>
                <w:szCs w:val="22"/>
                <w:vertAlign w:val="superscript"/>
                <w:lang w:val="en-US"/>
              </w:rPr>
              <w:t>2</w:t>
            </w:r>
            <w:r w:rsidRPr="00E3239C">
              <w:rPr>
                <w:rFonts w:eastAsia="Garamond" w:cs="Garamond"/>
                <w:color w:val="000000"/>
                <w:sz w:val="22"/>
                <w:szCs w:val="22"/>
                <w:lang w:val="en-US"/>
              </w:rPr>
              <w:t xml:space="preserve">Design-based </w:t>
            </w:r>
            <w:proofErr w:type="spellStart"/>
            <w:r w:rsidRPr="00E3239C">
              <w:rPr>
                <w:rFonts w:eastAsia="Garamond" w:cs="Garamond"/>
                <w:color w:val="000000"/>
                <w:sz w:val="22"/>
                <w:szCs w:val="22"/>
                <w:lang w:val="en-US"/>
              </w:rPr>
              <w:t>KruskalWallis</w:t>
            </w:r>
            <w:proofErr w:type="spellEnd"/>
            <w:r w:rsidRPr="00E3239C">
              <w:rPr>
                <w:rFonts w:eastAsia="Garamond" w:cs="Garamond"/>
                <w:color w:val="000000"/>
                <w:sz w:val="22"/>
                <w:szCs w:val="22"/>
                <w:lang w:val="en-US"/>
              </w:rPr>
              <w:t xml:space="preserve"> test; Pearson's X^2: Rao &amp; Scott adjustment</w:t>
            </w:r>
          </w:p>
        </w:tc>
      </w:tr>
    </w:tbl>
    <w:p w14:paraId="1B574D47" w14:textId="77777777" w:rsidR="003C471F" w:rsidRPr="00E3239C" w:rsidRDefault="0075711C">
      <w:pPr>
        <w:pStyle w:val="FirstParagraph"/>
        <w:rPr>
          <w:lang w:val="en-US"/>
        </w:rPr>
      </w:pPr>
      <w:r w:rsidRPr="00E3239C">
        <w:rPr>
          <w:lang w:val="en-US"/>
        </w:rPr>
        <w:t> </w:t>
      </w:r>
    </w:p>
    <w:p w14:paraId="7F3C6F23" w14:textId="77777777" w:rsidR="003C471F" w:rsidRDefault="0075711C">
      <w:pPr>
        <w:pStyle w:val="Corpsdetexte"/>
      </w:pPr>
      <w:r>
        <w:t>Ce tableau synthétise les caractéristiques des parcelles par milieu. La superficie médiane est légèrement plus élevée en milieu rural. L’héritage familial est plus fréquent en rural. La variable Source de la superficie montre la répartition des trois nivea</w:t>
      </w:r>
      <w:r>
        <w:t>ux de mesure (GPS PH, GPS PP, déclaration).</w:t>
      </w:r>
    </w:p>
    <w:p w14:paraId="4C808375" w14:textId="77777777" w:rsidR="003C471F" w:rsidRDefault="0075711C">
      <w:pPr>
        <w:pStyle w:val="Titre1"/>
      </w:pPr>
      <w:bookmarkStart w:id="24" w:name="discussion"/>
      <w:bookmarkStart w:id="25" w:name="_Toc227515554"/>
      <w:bookmarkEnd w:id="22"/>
      <w:r>
        <w:rPr>
          <w:rStyle w:val="SectionNumber"/>
        </w:rPr>
        <w:t>11</w:t>
      </w:r>
      <w:r>
        <w:tab/>
        <w:t>Discussion</w:t>
      </w:r>
      <w:bookmarkEnd w:id="25"/>
    </w:p>
    <w:p w14:paraId="793FEF26" w14:textId="77777777" w:rsidR="003C471F" w:rsidRDefault="0075711C">
      <w:pPr>
        <w:pStyle w:val="Titre2"/>
      </w:pPr>
      <w:bookmarkStart w:id="26" w:name="Xc49112d4b74d93041e7886bd1782de5e26d7217"/>
      <w:bookmarkStart w:id="27" w:name="_Toc227515555"/>
      <w:r>
        <w:rPr>
          <w:rStyle w:val="SectionNumber"/>
        </w:rPr>
        <w:t>11.1</w:t>
      </w:r>
      <w:r>
        <w:tab/>
        <w:t>Confrontation avec le rapport officiel NBS/World Bank</w:t>
      </w:r>
      <w:bookmarkEnd w:id="27"/>
    </w:p>
    <w:p w14:paraId="24C6883B" w14:textId="77777777" w:rsidR="003C471F" w:rsidRDefault="0075711C">
      <w:pPr>
        <w:pStyle w:val="FirstParagraph"/>
      </w:pPr>
      <w:r>
        <w:t xml:space="preserve">Les résultats sont cohérents avec la Table 6.4 du rapport officiel. Le nombre moyen de parcelles par ménage (2,81) est proche de la référence (2,85). La superficie moyenne totale par ménage (1,24 ha) est dans l’ordre de grandeur de la référence (1,28 ha). </w:t>
      </w:r>
      <w:r>
        <w:t>Les écarts s’expliquent par le traitement des valeurs aberrantes (winsorisation au P99) et la méthode de conversion.Les autres statistiques oscillent généralement près de celles du rapport ou ne sont pas énormément différentes.</w:t>
      </w:r>
    </w:p>
    <w:p w14:paraId="6F6509FC" w14:textId="77777777" w:rsidR="003C471F" w:rsidRDefault="0075711C">
      <w:pPr>
        <w:pStyle w:val="Titre2"/>
      </w:pPr>
      <w:bookmarkStart w:id="28" w:name="biais-potentiels"/>
      <w:bookmarkStart w:id="29" w:name="_Toc227515556"/>
      <w:bookmarkEnd w:id="26"/>
      <w:r>
        <w:rPr>
          <w:rStyle w:val="SectionNumber"/>
        </w:rPr>
        <w:t>11.2</w:t>
      </w:r>
      <w:r>
        <w:tab/>
        <w:t>Biais potentiels</w:t>
      </w:r>
      <w:bookmarkEnd w:id="29"/>
    </w:p>
    <w:p w14:paraId="123CFE7D" w14:textId="77777777" w:rsidR="003C471F" w:rsidRDefault="0075711C">
      <w:pPr>
        <w:pStyle w:val="FirstParagraph"/>
      </w:pPr>
      <w:r>
        <w:t>L’inve</w:t>
      </w:r>
      <w:r>
        <w:t>rsion de la hiérarchie entre la mesure GPS et la déclaration transformerait radicalement les résultats. La mesure GPS est l’innovation majeure du LSMS-ISA : elle corrige les biais de perception. Sans elle, on dépendrait des facteurs de conversion pour trad</w:t>
      </w:r>
      <w:r>
        <w:t>uire les heaps, ridges et stands en hectares, et toute imprécision dans ces coefficients se propagerait. Le biais de sélection GPS est documenté : les parcelles sans GPS sont concentrées dans le South East (inondations) et pour les parcelles éloignées du d</w:t>
      </w:r>
      <w:r>
        <w:t>omicile. L’exclusion de certaines zones de Borno pour raisons sécuritaires signifie que les résultats représentent le Nigeria accessible en 2018-2019. La saisonnalité de la mesure (Post-Planting en saison des pluies, Post-Harvest en saison sèche) affecte l</w:t>
      </w:r>
      <w:r>
        <w:t>a précision du signal GPS sous couvert forestier.</w:t>
      </w:r>
    </w:p>
    <w:p w14:paraId="48FBB14A" w14:textId="77777777" w:rsidR="003C471F" w:rsidRDefault="0075711C">
      <w:pPr>
        <w:pStyle w:val="Titre2"/>
      </w:pPr>
      <w:bookmarkStart w:id="30" w:name="X4646d9dac3743bd350cee47252e459f8fe740d2"/>
      <w:bookmarkStart w:id="31" w:name="_Toc227515557"/>
      <w:bookmarkEnd w:id="28"/>
      <w:r>
        <w:rPr>
          <w:rStyle w:val="SectionNumber"/>
        </w:rPr>
        <w:t>11.3</w:t>
      </w:r>
      <w:r>
        <w:tab/>
        <w:t>Implications pour les politiques publiques</w:t>
      </w:r>
      <w:bookmarkEnd w:id="31"/>
    </w:p>
    <w:p w14:paraId="7ACD4057" w14:textId="77777777" w:rsidR="003C471F" w:rsidRDefault="0075711C">
      <w:pPr>
        <w:pStyle w:val="FirstParagraph"/>
      </w:pPr>
      <w:r w:rsidRPr="00E3239C">
        <w:rPr>
          <w:b/>
          <w:bCs/>
          <w:color w:val="2E7D32"/>
        </w:rPr>
        <w:t>Fragmentation foncière.</w:t>
      </w:r>
      <w:r w:rsidRPr="00E3239C">
        <w:rPr>
          <w:color w:val="2E7D32"/>
        </w:rPr>
        <w:t xml:space="preserve"> </w:t>
      </w:r>
      <w:r>
        <w:t>Les parcelles se divisent de génération en génération par héritage, surtout dans le Sud-Est où les médianes sont les plus basses (&lt; 0,</w:t>
      </w:r>
      <w:r>
        <w:t>1 ha). À cette échelle, il devient difficile de produire suffisamment pour nourrir un ménage. Il faut faciliter le regroupement volontaire de parcelles voisines, par exemple via des incitations fiscales ou des programmes communautaires de remembrement.</w:t>
      </w:r>
    </w:p>
    <w:p w14:paraId="2F2A4F5B" w14:textId="77777777" w:rsidR="003C471F" w:rsidRDefault="0075711C">
      <w:pPr>
        <w:pStyle w:val="Corpsdetexte"/>
      </w:pPr>
      <w:r w:rsidRPr="00E3239C">
        <w:rPr>
          <w:b/>
          <w:bCs/>
          <w:color w:val="2E7D32"/>
        </w:rPr>
        <w:t>Acc</w:t>
      </w:r>
      <w:r w:rsidRPr="00E3239C">
        <w:rPr>
          <w:b/>
          <w:bCs/>
          <w:color w:val="2E7D32"/>
        </w:rPr>
        <w:t>ès des femmes à la terre.</w:t>
      </w:r>
      <w:r w:rsidRPr="00E3239C">
        <w:rPr>
          <w:color w:val="2E7D32"/>
        </w:rPr>
        <w:t xml:space="preserve"> </w:t>
      </w:r>
      <w:r>
        <w:t>Seulement 20 % des parcelles sont gérées par des femmes, alors qu’elles représentent la moitié de la main-d’oeuvre agricole. Les femmes accèdent à la terre principalement par le don ou la location, des modes précaires qui décourag</w:t>
      </w:r>
      <w:r>
        <w:t xml:space="preserve">ent l’investissement à long terme. Les programmes de délivrance de titres fonciers devraient réserver un quota explicite aux femmes gestionnaires, comme l’a fait le Rwanda avec sa réforme foncière de 2008 qui a imposé la co-titularisation systématique des </w:t>
      </w:r>
      <w:r>
        <w:t>conjoints.</w:t>
      </w:r>
    </w:p>
    <w:p w14:paraId="05331261" w14:textId="77777777" w:rsidR="003C471F" w:rsidRDefault="0075711C">
      <w:pPr>
        <w:pStyle w:val="Corpsdetexte"/>
      </w:pPr>
      <w:r w:rsidRPr="00E3239C">
        <w:rPr>
          <w:b/>
          <w:bCs/>
          <w:color w:val="2E7D32"/>
        </w:rPr>
        <w:t>Politiques différenciées Nord-Sud.</w:t>
      </w:r>
      <w:r w:rsidRPr="00E3239C">
        <w:rPr>
          <w:color w:val="2E7D32"/>
        </w:rPr>
        <w:t xml:space="preserve"> </w:t>
      </w:r>
      <w:r>
        <w:t>Le Nord dispose de grandes parcelles mais de rendements faibles : la priorité y est l’accès à l’irrigation et aux intrants. Le Sud a des parcelles petites mais un potentiel de diversification (maraîchage, cultu</w:t>
      </w:r>
      <w:r>
        <w:t>res de rente) : la priorité y est l’accompagnement technique et l’accès au crédit pour valoriser chaque hectare.</w:t>
      </w:r>
    </w:p>
    <w:p w14:paraId="1354CF2F" w14:textId="77777777" w:rsidR="003C471F" w:rsidRDefault="0075711C">
      <w:pPr>
        <w:pStyle w:val="Titre1"/>
      </w:pPr>
      <w:bookmarkStart w:id="32" w:name="conclusion"/>
      <w:bookmarkStart w:id="33" w:name="_Toc227515558"/>
      <w:bookmarkEnd w:id="24"/>
      <w:bookmarkEnd w:id="30"/>
      <w:r>
        <w:rPr>
          <w:rStyle w:val="SectionNumber"/>
        </w:rPr>
        <w:t>12</w:t>
      </w:r>
      <w:r>
        <w:tab/>
        <w:t>Conclusion</w:t>
      </w:r>
      <w:bookmarkEnd w:id="33"/>
    </w:p>
    <w:p w14:paraId="379CFD8A" w14:textId="77777777" w:rsidR="003C471F" w:rsidRDefault="0075711C">
      <w:pPr>
        <w:pStyle w:val="FirstParagraph"/>
      </w:pPr>
      <w:r>
        <w:t>L’agriculture nigériane est caractérisée par une multitude de petites parcelles, héritées de génération en génération, gérées pri</w:t>
      </w:r>
      <w:r>
        <w:t>ncipalement par des hommes, dans un gradient Nord-Sud marqué. La mesure GPS apportée par le LSMS-ISA corrige les biais de déclaration et produit des statistiques fiables. La fragmentation successorale, l’inégalité de genre dans l’accès à la terre, et les d</w:t>
      </w:r>
      <w:r>
        <w:t>isparités régionales sont les trois défis structurels que cette analyse met en lumière.</w:t>
      </w:r>
    </w:p>
    <w:p w14:paraId="1CB76B34" w14:textId="77777777" w:rsidR="003C471F" w:rsidRPr="00E3239C" w:rsidRDefault="0075711C">
      <w:pPr>
        <w:pStyle w:val="Titre1"/>
        <w:rPr>
          <w:lang w:val="en-US"/>
        </w:rPr>
      </w:pPr>
      <w:bookmarkStart w:id="34" w:name="références"/>
      <w:bookmarkStart w:id="35" w:name="_Toc227515559"/>
      <w:bookmarkEnd w:id="32"/>
      <w:r w:rsidRPr="00E3239C">
        <w:rPr>
          <w:rStyle w:val="SectionNumber"/>
          <w:lang w:val="en-US"/>
        </w:rPr>
        <w:t>13</w:t>
      </w:r>
      <w:r w:rsidRPr="00E3239C">
        <w:rPr>
          <w:lang w:val="en-US"/>
        </w:rPr>
        <w:tab/>
      </w:r>
      <w:proofErr w:type="spellStart"/>
      <w:r w:rsidRPr="00E3239C">
        <w:rPr>
          <w:lang w:val="en-US"/>
        </w:rPr>
        <w:t>Références</w:t>
      </w:r>
      <w:bookmarkEnd w:id="35"/>
      <w:proofErr w:type="spellEnd"/>
    </w:p>
    <w:p w14:paraId="43987C16" w14:textId="77777777" w:rsidR="003C471F" w:rsidRPr="00E3239C" w:rsidRDefault="0075711C">
      <w:pPr>
        <w:pStyle w:val="FirstParagraph"/>
        <w:rPr>
          <w:lang w:val="en-US"/>
        </w:rPr>
      </w:pPr>
      <w:r w:rsidRPr="00E3239C">
        <w:rPr>
          <w:lang w:val="en-US"/>
        </w:rPr>
        <w:t xml:space="preserve">[1] NBS &amp; World Bank (2019). </w:t>
      </w:r>
      <w:r w:rsidRPr="00E3239C">
        <w:rPr>
          <w:i/>
          <w:iCs/>
          <w:lang w:val="en-US"/>
        </w:rPr>
        <w:t>Nigeria GHS Panel W4</w:t>
      </w:r>
      <w:r w:rsidRPr="00E3239C">
        <w:rPr>
          <w:lang w:val="en-US"/>
        </w:rPr>
        <w:t>. LSMS-ISA. DOI: 10.48529/1hgw-dq47</w:t>
      </w:r>
    </w:p>
    <w:p w14:paraId="4BDD3BCC" w14:textId="77777777" w:rsidR="003C471F" w:rsidRPr="00E3239C" w:rsidRDefault="0075711C">
      <w:pPr>
        <w:pStyle w:val="Corpsdetexte"/>
        <w:rPr>
          <w:lang w:val="en-US"/>
        </w:rPr>
      </w:pPr>
      <w:r w:rsidRPr="00E3239C">
        <w:rPr>
          <w:lang w:val="en-US"/>
        </w:rPr>
        <w:t xml:space="preserve">[2] NBS &amp; World Bank (2021). </w:t>
      </w:r>
      <w:r w:rsidRPr="00E3239C">
        <w:rPr>
          <w:i/>
          <w:iCs/>
          <w:lang w:val="en-US"/>
        </w:rPr>
        <w:t>Basic Information Document, GHS-Panel W4</w:t>
      </w:r>
      <w:r w:rsidRPr="00E3239C">
        <w:rPr>
          <w:lang w:val="en-US"/>
        </w:rPr>
        <w:t>. Rev. Oct 2021.</w:t>
      </w:r>
    </w:p>
    <w:p w14:paraId="014BD8DB" w14:textId="77777777" w:rsidR="003C471F" w:rsidRDefault="0075711C">
      <w:pPr>
        <w:pStyle w:val="Corpsdetexte"/>
      </w:pPr>
      <w:r>
        <w:t xml:space="preserve">[3] </w:t>
      </w:r>
      <w:proofErr w:type="spellStart"/>
      <w:r>
        <w:t>Carletto</w:t>
      </w:r>
      <w:proofErr w:type="spellEnd"/>
      <w:r>
        <w:t xml:space="preserve">, C. et al. (2013). Fact or artefact. </w:t>
      </w:r>
      <w:r>
        <w:rPr>
          <w:i/>
          <w:iCs/>
        </w:rPr>
        <w:t>J. Dev. Econ.</w:t>
      </w:r>
      <w:r>
        <w:t>, 103, 254-261.</w:t>
      </w:r>
    </w:p>
    <w:p w14:paraId="55CAF192" w14:textId="77777777" w:rsidR="003C471F" w:rsidRPr="00E3239C" w:rsidRDefault="0075711C">
      <w:pPr>
        <w:pStyle w:val="Corpsdetexte"/>
        <w:rPr>
          <w:lang w:val="en-US"/>
        </w:rPr>
      </w:pPr>
      <w:r w:rsidRPr="00E3239C">
        <w:rPr>
          <w:lang w:val="en-US"/>
        </w:rPr>
        <w:t xml:space="preserve">[4] </w:t>
      </w:r>
      <w:proofErr w:type="spellStart"/>
      <w:r w:rsidRPr="00E3239C">
        <w:rPr>
          <w:lang w:val="en-US"/>
        </w:rPr>
        <w:t>Kilic</w:t>
      </w:r>
      <w:proofErr w:type="spellEnd"/>
      <w:r w:rsidRPr="00E3239C">
        <w:rPr>
          <w:lang w:val="en-US"/>
        </w:rPr>
        <w:t xml:space="preserve">, T. et al. (2017). Missing(ness) in action. </w:t>
      </w:r>
      <w:r w:rsidRPr="00E3239C">
        <w:rPr>
          <w:i/>
          <w:iCs/>
          <w:lang w:val="en-US"/>
        </w:rPr>
        <w:t>World Dev.</w:t>
      </w:r>
      <w:r w:rsidRPr="00E3239C">
        <w:rPr>
          <w:lang w:val="en-US"/>
        </w:rPr>
        <w:t xml:space="preserve">, 92, 59-77. </w:t>
      </w:r>
      <w:hyperlink r:id="rId16">
        <w:r w:rsidRPr="00E3239C">
          <w:rPr>
            <w:rStyle w:val="Lienhypertexte"/>
            <w:lang w:val="en-US"/>
          </w:rPr>
          <w:t>https://doi.org/10.1016/j.worlddev.2016.11.018</w:t>
        </w:r>
      </w:hyperlink>
    </w:p>
    <w:p w14:paraId="65A247BA" w14:textId="77777777" w:rsidR="003C471F" w:rsidRPr="00E3239C" w:rsidRDefault="0075711C">
      <w:pPr>
        <w:pStyle w:val="SourceCode"/>
        <w:rPr>
          <w:lang w:val="en-US"/>
        </w:rPr>
      </w:pPr>
      <w:r w:rsidRPr="00E3239C">
        <w:rPr>
          <w:rStyle w:val="VerbatimChar"/>
          <w:lang w:val="en-US"/>
        </w:rPr>
        <w:t xml:space="preserve">          </w:t>
      </w:r>
      <w:proofErr w:type="spellStart"/>
      <w:proofErr w:type="gramStart"/>
      <w:r w:rsidRPr="00E3239C">
        <w:rPr>
          <w:rStyle w:val="VerbatimChar"/>
          <w:lang w:val="en-US"/>
        </w:rPr>
        <w:t>Superviseur</w:t>
      </w:r>
      <w:proofErr w:type="spellEnd"/>
      <w:r w:rsidRPr="00E3239C">
        <w:rPr>
          <w:rStyle w:val="VerbatimChar"/>
          <w:lang w:val="en-US"/>
        </w:rPr>
        <w:t xml:space="preserve"> :</w:t>
      </w:r>
      <w:proofErr w:type="gramEnd"/>
      <w:r w:rsidRPr="00E3239C">
        <w:rPr>
          <w:rStyle w:val="VerbatimChar"/>
          <w:lang w:val="en-US"/>
        </w:rPr>
        <w:t xml:space="preserve"> M. </w:t>
      </w:r>
      <w:proofErr w:type="spellStart"/>
      <w:r w:rsidRPr="00E3239C">
        <w:rPr>
          <w:rStyle w:val="VerbatimChar"/>
          <w:lang w:val="en-US"/>
        </w:rPr>
        <w:t>Aboubacar</w:t>
      </w:r>
      <w:proofErr w:type="spellEnd"/>
      <w:r w:rsidRPr="00E3239C">
        <w:rPr>
          <w:rStyle w:val="VerbatimChar"/>
          <w:lang w:val="en-US"/>
        </w:rPr>
        <w:t xml:space="preserve"> HEMA, IFPRI Research Scientist</w:t>
      </w:r>
      <w:bookmarkEnd w:id="34"/>
    </w:p>
    <w:sectPr w:rsidR="003C471F" w:rsidRPr="00E3239C" w:rsidSect="00430AD9">
      <w:headerReference w:type="default" r:id="rId17"/>
      <w:footerReference w:type="default" r:id="rId18"/>
      <w:pgSz w:w="12240" w:h="15840"/>
      <w:pgMar w:top="1440" w:right="1440" w:bottom="1440" w:left="1440" w:header="720" w:footer="720" w:gutter="0"/>
      <w:pgBorders w:display="firstPage" w:offsetFrom="page">
        <w:top w:val="weavingAngles" w:sz="12" w:space="24" w:color="0A6C16"/>
        <w:left w:val="weavingAngles" w:sz="12" w:space="24" w:color="0A6C16"/>
        <w:bottom w:val="weavingAngles" w:sz="12" w:space="24" w:color="0A6C16"/>
        <w:right w:val="weavingAngles" w:sz="12" w:space="24" w:color="0A6C1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BB992" w14:textId="77777777" w:rsidR="0075711C" w:rsidRDefault="0075711C">
      <w:pPr>
        <w:spacing w:after="0" w:line="240" w:lineRule="auto"/>
      </w:pPr>
      <w:r>
        <w:separator/>
      </w:r>
    </w:p>
  </w:endnote>
  <w:endnote w:type="continuationSeparator" w:id="0">
    <w:p w14:paraId="73D47314" w14:textId="77777777" w:rsidR="0075711C" w:rsidRDefault="00757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F10CE" w14:textId="77777777" w:rsidR="0091330B" w:rsidRDefault="0091330B" w:rsidP="0091330B">
    <w:pPr>
      <w:pStyle w:val="Pieddepage"/>
      <w:tabs>
        <w:tab w:val="clear" w:pos="4513"/>
      </w:tabs>
    </w:pPr>
    <w:r>
      <w:t>Analyse statistique avec R sur les donn</w:t>
    </w:r>
    <w:r>
      <w:rPr>
        <w:lang w:val="fr-FR"/>
      </w:rPr>
      <w:t>é</w:t>
    </w:r>
    <w:r w:rsidRPr="0091330B">
      <w:rPr>
        <w:lang w:val="fr-FR"/>
      </w:rPr>
      <w:t>e</w:t>
    </w:r>
    <w:r>
      <w:rPr>
        <w:lang w:val="fr-FR"/>
      </w:rPr>
      <w:t>s du GHS Panel Nigé</w:t>
    </w:r>
    <w:r w:rsidRPr="0091330B">
      <w:rPr>
        <w:lang w:val="fr-FR"/>
      </w:rPr>
      <w:t>r</w:t>
    </w:r>
    <w:r>
      <w:rPr>
        <w:lang w:val="fr-FR"/>
      </w:rPr>
      <w:t>ian</w:t>
    </w:r>
    <w:r>
      <w:rPr>
        <w:lang w:val="fr-FR"/>
      </w:rPr>
      <w:tab/>
    </w:r>
    <w:r w:rsidRPr="0091330B">
      <w:rPr>
        <w:lang w:val="fr-FR"/>
      </w:rPr>
      <w:t xml:space="preserve">Page </w:t>
    </w:r>
    <w:r w:rsidRPr="0091330B">
      <w:rPr>
        <w:b w:val="0"/>
        <w:bCs/>
        <w:lang w:val="fr-FR"/>
      </w:rPr>
      <w:fldChar w:fldCharType="begin"/>
    </w:r>
    <w:r w:rsidRPr="0091330B">
      <w:rPr>
        <w:b w:val="0"/>
        <w:bCs/>
        <w:lang w:val="fr-FR"/>
      </w:rPr>
      <w:instrText>PAGE  \* Arabic  \* MERGEFORMAT</w:instrText>
    </w:r>
    <w:r w:rsidRPr="0091330B">
      <w:rPr>
        <w:b w:val="0"/>
        <w:bCs/>
        <w:lang w:val="fr-FR"/>
      </w:rPr>
      <w:fldChar w:fldCharType="separate"/>
    </w:r>
    <w:r w:rsidRPr="0091330B">
      <w:rPr>
        <w:b w:val="0"/>
        <w:bCs/>
        <w:lang w:val="fr-FR"/>
      </w:rPr>
      <w:t>1</w:t>
    </w:r>
    <w:r w:rsidRPr="0091330B">
      <w:rPr>
        <w:b w:val="0"/>
        <w:bCs/>
        <w:lang w:val="fr-FR"/>
      </w:rPr>
      <w:fldChar w:fldCharType="end"/>
    </w:r>
    <w:r w:rsidRPr="0091330B">
      <w:rPr>
        <w:lang w:val="fr-FR"/>
      </w:rPr>
      <w:t xml:space="preserve"> sur </w:t>
    </w:r>
    <w:r w:rsidRPr="0091330B">
      <w:rPr>
        <w:b w:val="0"/>
        <w:bCs/>
        <w:lang w:val="fr-FR"/>
      </w:rPr>
      <w:fldChar w:fldCharType="begin"/>
    </w:r>
    <w:r w:rsidRPr="0091330B">
      <w:rPr>
        <w:b w:val="0"/>
        <w:bCs/>
        <w:lang w:val="fr-FR"/>
      </w:rPr>
      <w:instrText>NUMPAGES  \* Arabic  \* MERGEFORMAT</w:instrText>
    </w:r>
    <w:r w:rsidRPr="0091330B">
      <w:rPr>
        <w:b w:val="0"/>
        <w:bCs/>
        <w:lang w:val="fr-FR"/>
      </w:rPr>
      <w:fldChar w:fldCharType="separate"/>
    </w:r>
    <w:r w:rsidRPr="0091330B">
      <w:rPr>
        <w:b w:val="0"/>
        <w:bCs/>
        <w:lang w:val="fr-FR"/>
      </w:rPr>
      <w:t>2</w:t>
    </w:r>
    <w:r w:rsidRPr="0091330B">
      <w:rPr>
        <w:b w:val="0"/>
        <w:bCs/>
        <w:lang w:val="fr-FR"/>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08036" w14:textId="77777777" w:rsidR="0075711C" w:rsidRDefault="0075711C">
      <w:r>
        <w:separator/>
      </w:r>
    </w:p>
  </w:footnote>
  <w:footnote w:type="continuationSeparator" w:id="0">
    <w:p w14:paraId="009C1CC3" w14:textId="77777777" w:rsidR="0075711C" w:rsidRDefault="00757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D2ECC" w14:textId="77777777" w:rsidR="0091330B" w:rsidRPr="0091330B" w:rsidRDefault="0091330B">
    <w:pPr>
      <w:pStyle w:val="En-tte"/>
      <w:rPr>
        <w:lang w:val="en-US"/>
      </w:rPr>
    </w:pPr>
    <w:r>
      <w:rPr>
        <w:lang w:val="en-US"/>
      </w:rPr>
      <w:t>TP</w:t>
    </w:r>
    <w:r w:rsidR="00325632">
      <w:rPr>
        <w:lang w:val="en-US"/>
      </w:rPr>
      <w:t>4</w:t>
    </w:r>
    <w:r>
      <w:rPr>
        <w:lang w:val="en-US"/>
      </w:rPr>
      <w:t>. R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EE293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2EA8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9AF3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F428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846B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E737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7647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649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D81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CE99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FDC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23B76F88"/>
    <w:multiLevelType w:val="hybridMultilevel"/>
    <w:tmpl w:val="68DC2440"/>
    <w:lvl w:ilvl="0" w:tplc="71309B32">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97A180C"/>
    <w:multiLevelType w:val="hybridMultilevel"/>
    <w:tmpl w:val="55647124"/>
    <w:lvl w:ilvl="0" w:tplc="EE829360">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1"/>
  </w:num>
  <w:num w:numId="3">
    <w:abstractNumId w:val="12"/>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00316"/>
    <w:rsid w:val="001277EC"/>
    <w:rsid w:val="001D0BBE"/>
    <w:rsid w:val="00314C10"/>
    <w:rsid w:val="003210E8"/>
    <w:rsid w:val="003226F8"/>
    <w:rsid w:val="00325632"/>
    <w:rsid w:val="00351BAA"/>
    <w:rsid w:val="003C471F"/>
    <w:rsid w:val="003F0EC7"/>
    <w:rsid w:val="00430AD9"/>
    <w:rsid w:val="00431909"/>
    <w:rsid w:val="004F7EF0"/>
    <w:rsid w:val="005326C5"/>
    <w:rsid w:val="005446BA"/>
    <w:rsid w:val="006E7228"/>
    <w:rsid w:val="0075711C"/>
    <w:rsid w:val="00787345"/>
    <w:rsid w:val="00850FC0"/>
    <w:rsid w:val="0091330B"/>
    <w:rsid w:val="009B188F"/>
    <w:rsid w:val="00AB6199"/>
    <w:rsid w:val="00B30A45"/>
    <w:rsid w:val="00BE40A1"/>
    <w:rsid w:val="00C1143B"/>
    <w:rsid w:val="00C442AA"/>
    <w:rsid w:val="00C57C0F"/>
    <w:rsid w:val="00D50879"/>
    <w:rsid w:val="00E3239C"/>
    <w:rsid w:val="00E40832"/>
    <w:rsid w:val="00E53A42"/>
    <w:rsid w:val="00E77B55"/>
    <w:rsid w:val="00F02665"/>
    <w:rsid w:val="00F703BB"/>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C8AE5B"/>
  <w15:docId w15:val="{2C2D8F02-47A2-4A72-8FBA-4C582CE3B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0A1"/>
    <w:pPr>
      <w:spacing w:line="360" w:lineRule="auto"/>
      <w:jc w:val="both"/>
    </w:pPr>
    <w:rPr>
      <w:rFonts w:ascii="Garamond" w:hAnsi="Garamond"/>
    </w:rPr>
  </w:style>
  <w:style w:type="paragraph" w:styleId="Titre1">
    <w:name w:val="heading 1"/>
    <w:basedOn w:val="Normal"/>
    <w:next w:val="Corpsdetexte"/>
    <w:uiPriority w:val="9"/>
    <w:qFormat/>
    <w:rsid w:val="003F0EC7"/>
    <w:pPr>
      <w:keepNext/>
      <w:keepLines/>
      <w:pBdr>
        <w:top w:val="dotDotDash" w:sz="8" w:space="1" w:color="2E7D32"/>
        <w:left w:val="dotDotDash" w:sz="12" w:space="4" w:color="2E7D32"/>
        <w:bottom w:val="dotDotDash" w:sz="8" w:space="1" w:color="2E7D32"/>
      </w:pBdr>
      <w:shd w:val="clear" w:color="auto" w:fill="E5F8E4"/>
      <w:spacing w:before="720" w:after="360"/>
      <w:outlineLvl w:val="0"/>
    </w:pPr>
    <w:rPr>
      <w:rFonts w:eastAsiaTheme="majorEastAsia" w:cstheme="majorBidi"/>
      <w:b/>
      <w:bCs/>
      <w:color w:val="2E7D32"/>
      <w:sz w:val="36"/>
      <w:szCs w:val="32"/>
    </w:rPr>
  </w:style>
  <w:style w:type="paragraph" w:styleId="Titre2">
    <w:name w:val="heading 2"/>
    <w:basedOn w:val="Normal"/>
    <w:next w:val="Corpsdetexte"/>
    <w:uiPriority w:val="9"/>
    <w:unhideWhenUsed/>
    <w:qFormat/>
    <w:rsid w:val="00325632"/>
    <w:pPr>
      <w:keepNext/>
      <w:keepLines/>
      <w:spacing w:before="440" w:after="240"/>
      <w:outlineLvl w:val="1"/>
    </w:pPr>
    <w:rPr>
      <w:rFonts w:eastAsiaTheme="majorEastAsia" w:cstheme="majorBidi"/>
      <w:b/>
      <w:bCs/>
      <w:color w:val="F57F17"/>
      <w:sz w:val="28"/>
      <w:szCs w:val="28"/>
      <w:u w:val="single"/>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BE40A1"/>
    <w:pPr>
      <w:spacing w:before="180" w:after="180"/>
    </w:pPr>
  </w:style>
  <w:style w:type="paragraph" w:customStyle="1" w:styleId="FirstParagraph">
    <w:name w:val="First Paragraph"/>
    <w:basedOn w:val="Corpsdetexte"/>
    <w:next w:val="Corpsdetexte"/>
    <w:qFormat/>
    <w:rsid w:val="00BE40A1"/>
  </w:style>
  <w:style w:type="paragraph" w:customStyle="1" w:styleId="Compact">
    <w:name w:val="Compact"/>
    <w:basedOn w:val="Corpsdetexte"/>
    <w:qFormat/>
    <w:pPr>
      <w:spacing w:before="36" w:after="36"/>
    </w:pPr>
  </w:style>
  <w:style w:type="paragraph" w:styleId="Titre">
    <w:name w:val="Title"/>
    <w:basedOn w:val="Normal"/>
    <w:next w:val="Corpsdetexte"/>
    <w:qFormat/>
    <w:rsid w:val="003F0EC7"/>
    <w:pPr>
      <w:keepNext/>
      <w:keepLines/>
      <w:pBdr>
        <w:top w:val="single" w:sz="12" w:space="1" w:color="auto" w:shadow="1"/>
        <w:left w:val="single" w:sz="12" w:space="4" w:color="auto" w:shadow="1"/>
        <w:bottom w:val="single" w:sz="12" w:space="1" w:color="auto" w:shadow="1"/>
        <w:right w:val="single" w:sz="12" w:space="4" w:color="auto" w:shadow="1"/>
      </w:pBdr>
      <w:shd w:val="clear" w:color="auto" w:fill="C1EEBC"/>
      <w:spacing w:before="600" w:after="360"/>
      <w:jc w:val="center"/>
    </w:pPr>
    <w:rPr>
      <w:rFonts w:eastAsiaTheme="majorEastAsia" w:cstheme="majorBidi"/>
      <w:b/>
      <w:bCs/>
      <w:color w:val="1B5E20"/>
      <w:sz w:val="48"/>
      <w:szCs w:val="36"/>
    </w:rPr>
  </w:style>
  <w:style w:type="paragraph" w:styleId="Sous-titre">
    <w:name w:val="Subtitle"/>
    <w:basedOn w:val="Titre"/>
    <w:next w:val="Corpsdetexte"/>
    <w:qFormat/>
    <w:rsid w:val="003F0EC7"/>
    <w:pPr>
      <w:pBdr>
        <w:top w:val="none" w:sz="0" w:space="0" w:color="auto"/>
        <w:left w:val="none" w:sz="0" w:space="0" w:color="auto"/>
        <w:bottom w:val="none" w:sz="0" w:space="0" w:color="auto"/>
        <w:right w:val="none" w:sz="0" w:space="0" w:color="auto"/>
      </w:pBdr>
      <w:shd w:val="clear" w:color="auto" w:fill="FFFFFF" w:themeFill="background1"/>
      <w:spacing w:before="240"/>
    </w:pPr>
    <w:rPr>
      <w:i/>
      <w:color w:val="F57F17"/>
      <w:sz w:val="30"/>
      <w:szCs w:val="30"/>
    </w:rPr>
  </w:style>
  <w:style w:type="paragraph" w:customStyle="1" w:styleId="Author">
    <w:name w:val="Author"/>
    <w:next w:val="Corpsdetexte"/>
    <w:qFormat/>
    <w:rsid w:val="000939D6"/>
    <w:pPr>
      <w:keepNext/>
      <w:keepLines/>
      <w:jc w:val="center"/>
    </w:pPr>
    <w:rPr>
      <w:rFonts w:ascii="Garamond" w:hAnsi="Garamond"/>
      <w:i/>
    </w:rPr>
  </w:style>
  <w:style w:type="paragraph" w:styleId="Date">
    <w:name w:val="Date"/>
    <w:next w:val="Corpsdetexte"/>
    <w:qFormat/>
    <w:rsid w:val="00013F06"/>
    <w:pPr>
      <w:keepNext/>
      <w:keepLines/>
      <w:jc w:val="center"/>
    </w:pPr>
    <w:rPr>
      <w:rFonts w:ascii="Bradley Hand ITC" w:hAnsi="Bradley Hand ITC"/>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013F06"/>
    <w:pPr>
      <w:keepNext/>
      <w:spacing w:before="240" w:after="360"/>
    </w:pPr>
    <w:rPr>
      <w:b/>
      <w:color w:val="595959" w:themeColor="text1" w:themeTint="A6"/>
      <w:sz w:val="16"/>
    </w:rPr>
  </w:style>
  <w:style w:type="paragraph" w:customStyle="1" w:styleId="ImageCaption">
    <w:name w:val="Image Caption"/>
    <w:basedOn w:val="Lgende"/>
    <w:rsid w:val="00013F06"/>
    <w:rPr>
      <w:b/>
      <w:color w:val="808080" w:themeColor="background1"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sid w:val="001D0BBE"/>
    <w:rPr>
      <w:rFonts w:ascii="Garamond" w:hAnsi="Garamond"/>
      <w:color w:val="4F81BD" w:themeColor="accent1"/>
    </w:rPr>
  </w:style>
  <w:style w:type="paragraph" w:styleId="En-ttedetabledesmatires">
    <w:name w:val="TOC Heading"/>
    <w:basedOn w:val="Titre1"/>
    <w:next w:val="Corpsdetexte"/>
    <w:uiPriority w:val="39"/>
    <w:unhideWhenUsed/>
    <w:qFormat/>
    <w:rsid w:val="00325632"/>
    <w:pPr>
      <w:pBdr>
        <w:top w:val="none" w:sz="0" w:space="0" w:color="auto"/>
        <w:left w:val="none" w:sz="0" w:space="0" w:color="auto"/>
        <w:bottom w:val="dashDotStroked" w:sz="24" w:space="1" w:color="008000"/>
      </w:pBdr>
      <w:spacing w:before="240" w:line="259" w:lineRule="auto"/>
      <w:jc w:val="center"/>
      <w:outlineLvl w:val="9"/>
    </w:pPr>
    <w:rPr>
      <w:bCs w:val="0"/>
      <w:color w:val="00800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325632"/>
    <w:pPr>
      <w:tabs>
        <w:tab w:val="center" w:pos="4513"/>
        <w:tab w:val="right" w:pos="9026"/>
      </w:tabs>
      <w:spacing w:after="0"/>
    </w:pPr>
    <w:rPr>
      <w:b/>
      <w:color w:val="003300"/>
      <w:sz w:val="22"/>
    </w:rPr>
  </w:style>
  <w:style w:type="character" w:customStyle="1" w:styleId="En-tteCar">
    <w:name w:val="En-tête Car"/>
    <w:basedOn w:val="Policepardfaut"/>
    <w:link w:val="En-tte"/>
    <w:rsid w:val="00325632"/>
    <w:rPr>
      <w:rFonts w:ascii="Garamond" w:hAnsi="Garamond"/>
      <w:b/>
      <w:color w:val="003300"/>
      <w:sz w:val="22"/>
    </w:rPr>
  </w:style>
  <w:style w:type="paragraph" w:styleId="Pieddepage">
    <w:name w:val="footer"/>
    <w:basedOn w:val="Normal"/>
    <w:link w:val="PieddepageCar"/>
    <w:uiPriority w:val="99"/>
    <w:unhideWhenUsed/>
    <w:rsid w:val="00325632"/>
    <w:pPr>
      <w:tabs>
        <w:tab w:val="center" w:pos="4513"/>
        <w:tab w:val="right" w:pos="9026"/>
      </w:tabs>
      <w:spacing w:after="0"/>
    </w:pPr>
    <w:rPr>
      <w:b/>
      <w:color w:val="1B5E20"/>
      <w:sz w:val="22"/>
    </w:rPr>
  </w:style>
  <w:style w:type="character" w:customStyle="1" w:styleId="PieddepageCar">
    <w:name w:val="Pied de page Car"/>
    <w:basedOn w:val="Policepardfaut"/>
    <w:link w:val="Pieddepage"/>
    <w:uiPriority w:val="99"/>
    <w:rsid w:val="00325632"/>
    <w:rPr>
      <w:rFonts w:ascii="Garamond" w:hAnsi="Garamond"/>
      <w:b/>
      <w:color w:val="1B5E20"/>
      <w:sz w:val="22"/>
    </w:rPr>
  </w:style>
  <w:style w:type="paragraph" w:styleId="TM1">
    <w:name w:val="toc 1"/>
    <w:basedOn w:val="Normal"/>
    <w:next w:val="Normal"/>
    <w:autoRedefine/>
    <w:uiPriority w:val="39"/>
    <w:unhideWhenUsed/>
    <w:rsid w:val="001D0BBE"/>
    <w:pPr>
      <w:spacing w:after="100"/>
    </w:pPr>
  </w:style>
  <w:style w:type="paragraph" w:styleId="TM2">
    <w:name w:val="toc 2"/>
    <w:basedOn w:val="Normal"/>
    <w:next w:val="Normal"/>
    <w:autoRedefine/>
    <w:uiPriority w:val="39"/>
    <w:unhideWhenUsed/>
    <w:rsid w:val="001D0BBE"/>
    <w:pPr>
      <w:spacing w:after="100"/>
      <w:ind w:left="240"/>
    </w:pPr>
  </w:style>
  <w:style w:type="character" w:customStyle="1" w:styleId="CorpsdetexteCa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16/j.worlddev.2016.11.01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17</Pages>
  <Words>3752</Words>
  <Characters>20642</Characters>
  <Application>Microsoft Office Word</Application>
  <DocSecurity>0</DocSecurity>
  <Lines>172</Lines>
  <Paragraphs>48</Paragraphs>
  <ScaleCrop>false</ScaleCrop>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Parcelles agricoles, superficie et tenure foncière</dc:title>
  <dc:creator>Nkwa T. Leslye &amp; Ouattara Ousmane</dc:creator>
  <cp:keywords/>
  <cp:lastModifiedBy>Leslye Nkwa</cp:lastModifiedBy>
  <cp:revision>2</cp:revision>
  <dcterms:created xsi:type="dcterms:W3CDTF">2026-04-19T18:22:00Z</dcterms:created>
  <dcterms:modified xsi:type="dcterms:W3CDTF">2026-04-19T18:29:00Z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avril 2026</vt:lpwstr>
  </property>
  <property fmtid="{D5CDD505-2E9C-101B-9397-08002B2CF9AE}" pid="3" name="output">
    <vt:lpwstr/>
  </property>
  <property fmtid="{D5CDD505-2E9C-101B-9397-08002B2CF9AE}" pid="4" name="subtitle">
    <vt:lpwstr>Nigeria General Household Survey Panel Wave 4 (2018-2019)</vt:lpwstr>
  </property>
</Properties>
</file>