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4767" w:rsidRDefault="00F36A65" w:rsidP="00387E3D">
      <w:pPr>
        <w:jc w:val="both"/>
      </w:pPr>
      <w:bookmarkStart w:id="0" w:name="_GoBack"/>
      <w:r>
        <w:t>Cultures, Intrants et Rendements Agricoles au Nigeria</w:t>
      </w:r>
    </w:p>
    <w:p w:rsidR="00184767" w:rsidRDefault="00F36A65" w:rsidP="00387E3D">
      <w:pPr>
        <w:jc w:val="both"/>
      </w:pPr>
      <w:r>
        <w:t>Nigeria General Household Survey Panel — Wave 4 (2018-2019)</w:t>
      </w:r>
    </w:p>
    <w:p w:rsidR="00184767" w:rsidRDefault="00F36A65" w:rsidP="00387E3D">
      <w:pPr>
        <w:jc w:val="both"/>
      </w:pPr>
      <w:r>
        <w:t>DIOP Marème &amp; BA Abdoul Aziz-ENSAE ISE1 2025-2026 | TP5</w:t>
      </w:r>
    </w:p>
    <w:p w:rsidR="00184767" w:rsidRDefault="00F36A65" w:rsidP="00387E3D">
      <w:pPr>
        <w:jc w:val="both"/>
      </w:pPr>
      <w:r>
        <w:t>Avril 2026</w:t>
      </w:r>
    </w:p>
    <w:sdt>
      <w:sdtPr>
        <w:id w:val="-289905412"/>
        <w:docPartObj>
          <w:docPartGallery w:val="Table of Contents"/>
          <w:docPartUnique/>
        </w:docPartObj>
      </w:sdtPr>
      <w:sdtEndPr/>
      <w:sdtContent>
        <w:p w:rsidR="00184767" w:rsidRDefault="00F36A65" w:rsidP="00387E3D">
          <w:pPr>
            <w:jc w:val="both"/>
          </w:pPr>
          <w:r>
            <w:t>Table of Contents</w:t>
          </w:r>
        </w:p>
        <w:p w:rsidR="00387E3D" w:rsidRDefault="00F36A65" w:rsidP="00387E3D">
          <w:pPr>
            <w:pStyle w:val="TM1"/>
            <w:tabs>
              <w:tab w:val="right" w:leader="dot" w:pos="9062"/>
            </w:tabs>
            <w:jc w:val="both"/>
            <w:rPr>
              <w:noProof/>
            </w:rPr>
          </w:pPr>
          <w:r>
            <w:fldChar w:fldCharType="begin"/>
          </w:r>
          <w:r>
            <w:instrText>TOC \o "1-3" \h \z \u</w:instrText>
          </w:r>
          <w:r w:rsidR="00387E3D">
            <w:fldChar w:fldCharType="separate"/>
          </w:r>
          <w:hyperlink w:anchor="_Toc227529480" w:history="1">
            <w:r w:rsidR="00387E3D" w:rsidRPr="007F1E77">
              <w:rPr>
                <w:rStyle w:val="Lienhypertexte"/>
                <w:noProof/>
              </w:rPr>
              <w:t>1. Messages clés</w:t>
            </w:r>
            <w:r w:rsidR="00387E3D">
              <w:rPr>
                <w:noProof/>
                <w:webHidden/>
              </w:rPr>
              <w:tab/>
            </w:r>
            <w:r w:rsidR="00387E3D">
              <w:rPr>
                <w:noProof/>
                <w:webHidden/>
              </w:rPr>
              <w:fldChar w:fldCharType="begin"/>
            </w:r>
            <w:r w:rsidR="00387E3D">
              <w:rPr>
                <w:noProof/>
                <w:webHidden/>
              </w:rPr>
              <w:instrText xml:space="preserve"> PAGEREF _Toc227529480 \h </w:instrText>
            </w:r>
            <w:r w:rsidR="00387E3D">
              <w:rPr>
                <w:noProof/>
                <w:webHidden/>
              </w:rPr>
            </w:r>
            <w:r w:rsidR="00387E3D">
              <w:rPr>
                <w:noProof/>
                <w:webHidden/>
              </w:rPr>
              <w:fldChar w:fldCharType="separate"/>
            </w:r>
            <w:r w:rsidR="00387E3D">
              <w:rPr>
                <w:noProof/>
                <w:webHidden/>
              </w:rPr>
              <w:t>2</w:t>
            </w:r>
            <w:r w:rsidR="00387E3D">
              <w:rPr>
                <w:noProof/>
                <w:webHidden/>
              </w:rPr>
              <w:fldChar w:fldCharType="end"/>
            </w:r>
          </w:hyperlink>
        </w:p>
        <w:p w:rsidR="00387E3D" w:rsidRDefault="00387E3D" w:rsidP="00387E3D">
          <w:pPr>
            <w:pStyle w:val="TM1"/>
            <w:tabs>
              <w:tab w:val="right" w:leader="dot" w:pos="9062"/>
            </w:tabs>
            <w:jc w:val="both"/>
            <w:rPr>
              <w:noProof/>
            </w:rPr>
          </w:pPr>
          <w:hyperlink w:anchor="_Toc227529481" w:history="1">
            <w:r w:rsidRPr="007F1E77">
              <w:rPr>
                <w:rStyle w:val="Lienhypertexte"/>
                <w:noProof/>
              </w:rPr>
              <w:t>2. Introduction</w:t>
            </w:r>
            <w:r>
              <w:rPr>
                <w:noProof/>
                <w:webHidden/>
              </w:rPr>
              <w:tab/>
            </w:r>
            <w:r>
              <w:rPr>
                <w:noProof/>
                <w:webHidden/>
              </w:rPr>
              <w:fldChar w:fldCharType="begin"/>
            </w:r>
            <w:r>
              <w:rPr>
                <w:noProof/>
                <w:webHidden/>
              </w:rPr>
              <w:instrText xml:space="preserve"> PAGEREF _Toc227529481 \h </w:instrText>
            </w:r>
            <w:r>
              <w:rPr>
                <w:noProof/>
                <w:webHidden/>
              </w:rPr>
            </w:r>
            <w:r>
              <w:rPr>
                <w:noProof/>
                <w:webHidden/>
              </w:rPr>
              <w:fldChar w:fldCharType="separate"/>
            </w:r>
            <w:r>
              <w:rPr>
                <w:noProof/>
                <w:webHidden/>
              </w:rPr>
              <w:t>3</w:t>
            </w:r>
            <w:r>
              <w:rPr>
                <w:noProof/>
                <w:webHidden/>
              </w:rPr>
              <w:fldChar w:fldCharType="end"/>
            </w:r>
          </w:hyperlink>
        </w:p>
        <w:p w:rsidR="00387E3D" w:rsidRDefault="00387E3D" w:rsidP="00387E3D">
          <w:pPr>
            <w:pStyle w:val="TM1"/>
            <w:tabs>
              <w:tab w:val="right" w:leader="dot" w:pos="9062"/>
            </w:tabs>
            <w:jc w:val="both"/>
            <w:rPr>
              <w:noProof/>
            </w:rPr>
          </w:pPr>
          <w:hyperlink w:anchor="_Toc227529482" w:history="1">
            <w:r w:rsidRPr="007F1E77">
              <w:rPr>
                <w:rStyle w:val="Lienhypertexte"/>
                <w:noProof/>
              </w:rPr>
              <w:t>3. Structure et données utilisées</w:t>
            </w:r>
            <w:r>
              <w:rPr>
                <w:noProof/>
                <w:webHidden/>
              </w:rPr>
              <w:tab/>
            </w:r>
            <w:r>
              <w:rPr>
                <w:noProof/>
                <w:webHidden/>
              </w:rPr>
              <w:fldChar w:fldCharType="begin"/>
            </w:r>
            <w:r>
              <w:rPr>
                <w:noProof/>
                <w:webHidden/>
              </w:rPr>
              <w:instrText xml:space="preserve"> PAGEREF _Toc227529482 \h </w:instrText>
            </w:r>
            <w:r>
              <w:rPr>
                <w:noProof/>
                <w:webHidden/>
              </w:rPr>
            </w:r>
            <w:r>
              <w:rPr>
                <w:noProof/>
                <w:webHidden/>
              </w:rPr>
              <w:fldChar w:fldCharType="separate"/>
            </w:r>
            <w:r>
              <w:rPr>
                <w:noProof/>
                <w:webHidden/>
              </w:rPr>
              <w:t>4</w:t>
            </w:r>
            <w:r>
              <w:rPr>
                <w:noProof/>
                <w:webHidden/>
              </w:rPr>
              <w:fldChar w:fldCharType="end"/>
            </w:r>
          </w:hyperlink>
        </w:p>
        <w:p w:rsidR="00387E3D" w:rsidRDefault="00387E3D" w:rsidP="00387E3D">
          <w:pPr>
            <w:pStyle w:val="TM2"/>
            <w:tabs>
              <w:tab w:val="right" w:leader="dot" w:pos="9062"/>
            </w:tabs>
            <w:jc w:val="both"/>
            <w:rPr>
              <w:noProof/>
            </w:rPr>
          </w:pPr>
          <w:hyperlink w:anchor="_Toc227529483" w:history="1">
            <w:r w:rsidRPr="007F1E77">
              <w:rPr>
                <w:rStyle w:val="Lienhypertexte"/>
                <w:noProof/>
              </w:rPr>
              <w:t>3.1 Fichiers mobilisés</w:t>
            </w:r>
            <w:r>
              <w:rPr>
                <w:noProof/>
                <w:webHidden/>
              </w:rPr>
              <w:tab/>
            </w:r>
            <w:r>
              <w:rPr>
                <w:noProof/>
                <w:webHidden/>
              </w:rPr>
              <w:fldChar w:fldCharType="begin"/>
            </w:r>
            <w:r>
              <w:rPr>
                <w:noProof/>
                <w:webHidden/>
              </w:rPr>
              <w:instrText xml:space="preserve"> PAGEREF _Toc227529483 \h </w:instrText>
            </w:r>
            <w:r>
              <w:rPr>
                <w:noProof/>
                <w:webHidden/>
              </w:rPr>
            </w:r>
            <w:r>
              <w:rPr>
                <w:noProof/>
                <w:webHidden/>
              </w:rPr>
              <w:fldChar w:fldCharType="separate"/>
            </w:r>
            <w:r>
              <w:rPr>
                <w:noProof/>
                <w:webHidden/>
              </w:rPr>
              <w:t>4</w:t>
            </w:r>
            <w:r>
              <w:rPr>
                <w:noProof/>
                <w:webHidden/>
              </w:rPr>
              <w:fldChar w:fldCharType="end"/>
            </w:r>
          </w:hyperlink>
        </w:p>
        <w:p w:rsidR="00387E3D" w:rsidRDefault="00387E3D" w:rsidP="00387E3D">
          <w:pPr>
            <w:pStyle w:val="TM2"/>
            <w:tabs>
              <w:tab w:val="right" w:leader="dot" w:pos="9062"/>
            </w:tabs>
            <w:jc w:val="both"/>
            <w:rPr>
              <w:noProof/>
            </w:rPr>
          </w:pPr>
          <w:hyperlink w:anchor="_Toc227529484" w:history="1">
            <w:r w:rsidRPr="007F1E77">
              <w:rPr>
                <w:rStyle w:val="Lienhypertexte"/>
                <w:noProof/>
              </w:rPr>
              <w:t>3.2 Population analytique</w:t>
            </w:r>
            <w:r>
              <w:rPr>
                <w:noProof/>
                <w:webHidden/>
              </w:rPr>
              <w:tab/>
            </w:r>
            <w:r>
              <w:rPr>
                <w:noProof/>
                <w:webHidden/>
              </w:rPr>
              <w:fldChar w:fldCharType="begin"/>
            </w:r>
            <w:r>
              <w:rPr>
                <w:noProof/>
                <w:webHidden/>
              </w:rPr>
              <w:instrText xml:space="preserve"> PAGEREF _Toc227529484 \h </w:instrText>
            </w:r>
            <w:r>
              <w:rPr>
                <w:noProof/>
                <w:webHidden/>
              </w:rPr>
            </w:r>
            <w:r>
              <w:rPr>
                <w:noProof/>
                <w:webHidden/>
              </w:rPr>
              <w:fldChar w:fldCharType="separate"/>
            </w:r>
            <w:r>
              <w:rPr>
                <w:noProof/>
                <w:webHidden/>
              </w:rPr>
              <w:t>4</w:t>
            </w:r>
            <w:r>
              <w:rPr>
                <w:noProof/>
                <w:webHidden/>
              </w:rPr>
              <w:fldChar w:fldCharType="end"/>
            </w:r>
          </w:hyperlink>
        </w:p>
        <w:p w:rsidR="00387E3D" w:rsidRDefault="00387E3D" w:rsidP="00387E3D">
          <w:pPr>
            <w:pStyle w:val="TM1"/>
            <w:tabs>
              <w:tab w:val="right" w:leader="dot" w:pos="9062"/>
            </w:tabs>
            <w:jc w:val="both"/>
            <w:rPr>
              <w:noProof/>
            </w:rPr>
          </w:pPr>
          <w:hyperlink w:anchor="_Toc227529485" w:history="1">
            <w:r w:rsidRPr="007F1E77">
              <w:rPr>
                <w:rStyle w:val="Lienhypertexte"/>
                <w:noProof/>
              </w:rPr>
              <w:t>4. Méthodologie</w:t>
            </w:r>
            <w:r>
              <w:rPr>
                <w:noProof/>
                <w:webHidden/>
              </w:rPr>
              <w:tab/>
            </w:r>
            <w:r>
              <w:rPr>
                <w:noProof/>
                <w:webHidden/>
              </w:rPr>
              <w:fldChar w:fldCharType="begin"/>
            </w:r>
            <w:r>
              <w:rPr>
                <w:noProof/>
                <w:webHidden/>
              </w:rPr>
              <w:instrText xml:space="preserve"> PAGEREF _Toc227529485 \h </w:instrText>
            </w:r>
            <w:r>
              <w:rPr>
                <w:noProof/>
                <w:webHidden/>
              </w:rPr>
            </w:r>
            <w:r>
              <w:rPr>
                <w:noProof/>
                <w:webHidden/>
              </w:rPr>
              <w:fldChar w:fldCharType="separate"/>
            </w:r>
            <w:r>
              <w:rPr>
                <w:noProof/>
                <w:webHidden/>
              </w:rPr>
              <w:t>5</w:t>
            </w:r>
            <w:r>
              <w:rPr>
                <w:noProof/>
                <w:webHidden/>
              </w:rPr>
              <w:fldChar w:fldCharType="end"/>
            </w:r>
          </w:hyperlink>
        </w:p>
        <w:p w:rsidR="00387E3D" w:rsidRDefault="00387E3D" w:rsidP="00387E3D">
          <w:pPr>
            <w:pStyle w:val="TM2"/>
            <w:tabs>
              <w:tab w:val="right" w:leader="dot" w:pos="9062"/>
            </w:tabs>
            <w:jc w:val="both"/>
            <w:rPr>
              <w:noProof/>
            </w:rPr>
          </w:pPr>
          <w:hyperlink w:anchor="_Toc227529486" w:history="1">
            <w:r w:rsidRPr="007F1E77">
              <w:rPr>
                <w:rStyle w:val="Lienhypertexte"/>
                <w:noProof/>
              </w:rPr>
              <w:t>4.1 Harmonisation et construction des variables</w:t>
            </w:r>
            <w:r>
              <w:rPr>
                <w:noProof/>
                <w:webHidden/>
              </w:rPr>
              <w:tab/>
            </w:r>
            <w:r>
              <w:rPr>
                <w:noProof/>
                <w:webHidden/>
              </w:rPr>
              <w:fldChar w:fldCharType="begin"/>
            </w:r>
            <w:r>
              <w:rPr>
                <w:noProof/>
                <w:webHidden/>
              </w:rPr>
              <w:instrText xml:space="preserve"> PAGEREF _Toc227529486 \h </w:instrText>
            </w:r>
            <w:r>
              <w:rPr>
                <w:noProof/>
                <w:webHidden/>
              </w:rPr>
            </w:r>
            <w:r>
              <w:rPr>
                <w:noProof/>
                <w:webHidden/>
              </w:rPr>
              <w:fldChar w:fldCharType="separate"/>
            </w:r>
            <w:r>
              <w:rPr>
                <w:noProof/>
                <w:webHidden/>
              </w:rPr>
              <w:t>5</w:t>
            </w:r>
            <w:r>
              <w:rPr>
                <w:noProof/>
                <w:webHidden/>
              </w:rPr>
              <w:fldChar w:fldCharType="end"/>
            </w:r>
          </w:hyperlink>
        </w:p>
        <w:p w:rsidR="00387E3D" w:rsidRDefault="00387E3D" w:rsidP="00387E3D">
          <w:pPr>
            <w:pStyle w:val="TM2"/>
            <w:tabs>
              <w:tab w:val="right" w:leader="dot" w:pos="9062"/>
            </w:tabs>
            <w:jc w:val="both"/>
            <w:rPr>
              <w:noProof/>
            </w:rPr>
          </w:pPr>
          <w:hyperlink w:anchor="_Toc227529487" w:history="1">
            <w:r w:rsidRPr="007F1E77">
              <w:rPr>
                <w:rStyle w:val="Lienhypertexte"/>
                <w:noProof/>
              </w:rPr>
              <w:t>4.2 Traitement des valeurs aberrantes</w:t>
            </w:r>
            <w:r>
              <w:rPr>
                <w:noProof/>
                <w:webHidden/>
              </w:rPr>
              <w:tab/>
            </w:r>
            <w:r>
              <w:rPr>
                <w:noProof/>
                <w:webHidden/>
              </w:rPr>
              <w:fldChar w:fldCharType="begin"/>
            </w:r>
            <w:r>
              <w:rPr>
                <w:noProof/>
                <w:webHidden/>
              </w:rPr>
              <w:instrText xml:space="preserve"> PAGEREF _Toc227529487 \h </w:instrText>
            </w:r>
            <w:r>
              <w:rPr>
                <w:noProof/>
                <w:webHidden/>
              </w:rPr>
            </w:r>
            <w:r>
              <w:rPr>
                <w:noProof/>
                <w:webHidden/>
              </w:rPr>
              <w:fldChar w:fldCharType="separate"/>
            </w:r>
            <w:r>
              <w:rPr>
                <w:noProof/>
                <w:webHidden/>
              </w:rPr>
              <w:t>5</w:t>
            </w:r>
            <w:r>
              <w:rPr>
                <w:noProof/>
                <w:webHidden/>
              </w:rPr>
              <w:fldChar w:fldCharType="end"/>
            </w:r>
          </w:hyperlink>
        </w:p>
        <w:p w:rsidR="00387E3D" w:rsidRDefault="00387E3D" w:rsidP="00387E3D">
          <w:pPr>
            <w:pStyle w:val="TM2"/>
            <w:tabs>
              <w:tab w:val="right" w:leader="dot" w:pos="9062"/>
            </w:tabs>
            <w:jc w:val="both"/>
            <w:rPr>
              <w:noProof/>
            </w:rPr>
          </w:pPr>
          <w:hyperlink w:anchor="_Toc227529488" w:history="1">
            <w:r w:rsidRPr="007F1E77">
              <w:rPr>
                <w:rStyle w:val="Lienhypertexte"/>
                <w:noProof/>
              </w:rPr>
              <w:t>4.3 Plan de sondage et inférence</w:t>
            </w:r>
            <w:r>
              <w:rPr>
                <w:noProof/>
                <w:webHidden/>
              </w:rPr>
              <w:tab/>
            </w:r>
            <w:r>
              <w:rPr>
                <w:noProof/>
                <w:webHidden/>
              </w:rPr>
              <w:fldChar w:fldCharType="begin"/>
            </w:r>
            <w:r>
              <w:rPr>
                <w:noProof/>
                <w:webHidden/>
              </w:rPr>
              <w:instrText xml:space="preserve"> PAGEREF _Toc227529488 \h </w:instrText>
            </w:r>
            <w:r>
              <w:rPr>
                <w:noProof/>
                <w:webHidden/>
              </w:rPr>
            </w:r>
            <w:r>
              <w:rPr>
                <w:noProof/>
                <w:webHidden/>
              </w:rPr>
              <w:fldChar w:fldCharType="separate"/>
            </w:r>
            <w:r>
              <w:rPr>
                <w:noProof/>
                <w:webHidden/>
              </w:rPr>
              <w:t>5</w:t>
            </w:r>
            <w:r>
              <w:rPr>
                <w:noProof/>
                <w:webHidden/>
              </w:rPr>
              <w:fldChar w:fldCharType="end"/>
            </w:r>
          </w:hyperlink>
        </w:p>
        <w:p w:rsidR="00387E3D" w:rsidRDefault="00387E3D" w:rsidP="00387E3D">
          <w:pPr>
            <w:pStyle w:val="TM1"/>
            <w:tabs>
              <w:tab w:val="right" w:leader="dot" w:pos="9062"/>
            </w:tabs>
            <w:jc w:val="both"/>
            <w:rPr>
              <w:noProof/>
            </w:rPr>
          </w:pPr>
          <w:hyperlink w:anchor="_Toc227529489" w:history="1">
            <w:r w:rsidRPr="007F1E77">
              <w:rPr>
                <w:rStyle w:val="Lienhypertexte"/>
                <w:noProof/>
              </w:rPr>
              <w:t>5. Résultats</w:t>
            </w:r>
            <w:r>
              <w:rPr>
                <w:noProof/>
                <w:webHidden/>
              </w:rPr>
              <w:tab/>
            </w:r>
            <w:r>
              <w:rPr>
                <w:noProof/>
                <w:webHidden/>
              </w:rPr>
              <w:fldChar w:fldCharType="begin"/>
            </w:r>
            <w:r>
              <w:rPr>
                <w:noProof/>
                <w:webHidden/>
              </w:rPr>
              <w:instrText xml:space="preserve"> PAGEREF _Toc227529489 \h </w:instrText>
            </w:r>
            <w:r>
              <w:rPr>
                <w:noProof/>
                <w:webHidden/>
              </w:rPr>
            </w:r>
            <w:r>
              <w:rPr>
                <w:noProof/>
                <w:webHidden/>
              </w:rPr>
              <w:fldChar w:fldCharType="separate"/>
            </w:r>
            <w:r>
              <w:rPr>
                <w:noProof/>
                <w:webHidden/>
              </w:rPr>
              <w:t>6</w:t>
            </w:r>
            <w:r>
              <w:rPr>
                <w:noProof/>
                <w:webHidden/>
              </w:rPr>
              <w:fldChar w:fldCharType="end"/>
            </w:r>
          </w:hyperlink>
        </w:p>
        <w:p w:rsidR="00387E3D" w:rsidRDefault="00387E3D" w:rsidP="00387E3D">
          <w:pPr>
            <w:pStyle w:val="TM2"/>
            <w:tabs>
              <w:tab w:val="right" w:leader="dot" w:pos="9062"/>
            </w:tabs>
            <w:jc w:val="both"/>
            <w:rPr>
              <w:noProof/>
            </w:rPr>
          </w:pPr>
          <w:hyperlink w:anchor="_Toc227529490" w:history="1">
            <w:r w:rsidRPr="007F1E77">
              <w:rPr>
                <w:rStyle w:val="Lienhypertexte"/>
                <w:noProof/>
              </w:rPr>
              <w:t>5.1 Q25 — Top 15 des cultures pratiquées</w:t>
            </w:r>
            <w:r>
              <w:rPr>
                <w:noProof/>
                <w:webHidden/>
              </w:rPr>
              <w:tab/>
            </w:r>
            <w:r>
              <w:rPr>
                <w:noProof/>
                <w:webHidden/>
              </w:rPr>
              <w:fldChar w:fldCharType="begin"/>
            </w:r>
            <w:r>
              <w:rPr>
                <w:noProof/>
                <w:webHidden/>
              </w:rPr>
              <w:instrText xml:space="preserve"> PAGEREF _Toc227529490 \h </w:instrText>
            </w:r>
            <w:r>
              <w:rPr>
                <w:noProof/>
                <w:webHidden/>
              </w:rPr>
            </w:r>
            <w:r>
              <w:rPr>
                <w:noProof/>
                <w:webHidden/>
              </w:rPr>
              <w:fldChar w:fldCharType="separate"/>
            </w:r>
            <w:r>
              <w:rPr>
                <w:noProof/>
                <w:webHidden/>
              </w:rPr>
              <w:t>6</w:t>
            </w:r>
            <w:r>
              <w:rPr>
                <w:noProof/>
                <w:webHidden/>
              </w:rPr>
              <w:fldChar w:fldCharType="end"/>
            </w:r>
          </w:hyperlink>
        </w:p>
        <w:p w:rsidR="00387E3D" w:rsidRDefault="00387E3D" w:rsidP="00387E3D">
          <w:pPr>
            <w:pStyle w:val="TM2"/>
            <w:tabs>
              <w:tab w:val="right" w:leader="dot" w:pos="9062"/>
            </w:tabs>
            <w:jc w:val="both"/>
            <w:rPr>
              <w:noProof/>
            </w:rPr>
          </w:pPr>
          <w:hyperlink w:anchor="_Toc227529491" w:history="1">
            <w:r w:rsidRPr="007F1E77">
              <w:rPr>
                <w:rStyle w:val="Lienhypertexte"/>
                <w:noProof/>
              </w:rPr>
              <w:t>5.2 Q26 — Diversification culturale des ménages</w:t>
            </w:r>
            <w:r>
              <w:rPr>
                <w:noProof/>
                <w:webHidden/>
              </w:rPr>
              <w:tab/>
            </w:r>
            <w:r>
              <w:rPr>
                <w:noProof/>
                <w:webHidden/>
              </w:rPr>
              <w:fldChar w:fldCharType="begin"/>
            </w:r>
            <w:r>
              <w:rPr>
                <w:noProof/>
                <w:webHidden/>
              </w:rPr>
              <w:instrText xml:space="preserve"> PAGEREF _Toc227529491 \h </w:instrText>
            </w:r>
            <w:r>
              <w:rPr>
                <w:noProof/>
                <w:webHidden/>
              </w:rPr>
            </w:r>
            <w:r>
              <w:rPr>
                <w:noProof/>
                <w:webHidden/>
              </w:rPr>
              <w:fldChar w:fldCharType="separate"/>
            </w:r>
            <w:r>
              <w:rPr>
                <w:noProof/>
                <w:webHidden/>
              </w:rPr>
              <w:t>7</w:t>
            </w:r>
            <w:r>
              <w:rPr>
                <w:noProof/>
                <w:webHidden/>
              </w:rPr>
              <w:fldChar w:fldCharType="end"/>
            </w:r>
          </w:hyperlink>
        </w:p>
        <w:p w:rsidR="00387E3D" w:rsidRDefault="00387E3D" w:rsidP="00387E3D">
          <w:pPr>
            <w:pStyle w:val="TM2"/>
            <w:tabs>
              <w:tab w:val="right" w:leader="dot" w:pos="9062"/>
            </w:tabs>
            <w:jc w:val="both"/>
            <w:rPr>
              <w:noProof/>
            </w:rPr>
          </w:pPr>
          <w:hyperlink w:anchor="_Toc227529492" w:history="1">
            <w:r w:rsidRPr="007F1E77">
              <w:rPr>
                <w:rStyle w:val="Lienhypertexte"/>
                <w:noProof/>
              </w:rPr>
              <w:t>5.3 Q27 — Utilisation des engrais</w:t>
            </w:r>
            <w:r>
              <w:rPr>
                <w:noProof/>
                <w:webHidden/>
              </w:rPr>
              <w:tab/>
            </w:r>
            <w:r>
              <w:rPr>
                <w:noProof/>
                <w:webHidden/>
              </w:rPr>
              <w:fldChar w:fldCharType="begin"/>
            </w:r>
            <w:r>
              <w:rPr>
                <w:noProof/>
                <w:webHidden/>
              </w:rPr>
              <w:instrText xml:space="preserve"> PAGEREF _Toc227529492 \h </w:instrText>
            </w:r>
            <w:r>
              <w:rPr>
                <w:noProof/>
                <w:webHidden/>
              </w:rPr>
            </w:r>
            <w:r>
              <w:rPr>
                <w:noProof/>
                <w:webHidden/>
              </w:rPr>
              <w:fldChar w:fldCharType="separate"/>
            </w:r>
            <w:r>
              <w:rPr>
                <w:noProof/>
                <w:webHidden/>
              </w:rPr>
              <w:t>8</w:t>
            </w:r>
            <w:r>
              <w:rPr>
                <w:noProof/>
                <w:webHidden/>
              </w:rPr>
              <w:fldChar w:fldCharType="end"/>
            </w:r>
          </w:hyperlink>
        </w:p>
        <w:p w:rsidR="00387E3D" w:rsidRDefault="00387E3D" w:rsidP="00387E3D">
          <w:pPr>
            <w:pStyle w:val="TM3"/>
            <w:tabs>
              <w:tab w:val="right" w:leader="dot" w:pos="9062"/>
            </w:tabs>
            <w:jc w:val="both"/>
            <w:rPr>
              <w:noProof/>
            </w:rPr>
          </w:pPr>
          <w:hyperlink w:anchor="_Toc227529493" w:history="1">
            <w:r w:rsidRPr="007F1E77">
              <w:rPr>
                <w:rStyle w:val="Lienhypertexte"/>
                <w:noProof/>
              </w:rPr>
              <w:t>Suivant le milieu rural ou urbain</w:t>
            </w:r>
            <w:r>
              <w:rPr>
                <w:noProof/>
                <w:webHidden/>
              </w:rPr>
              <w:tab/>
            </w:r>
            <w:r>
              <w:rPr>
                <w:noProof/>
                <w:webHidden/>
              </w:rPr>
              <w:fldChar w:fldCharType="begin"/>
            </w:r>
            <w:r>
              <w:rPr>
                <w:noProof/>
                <w:webHidden/>
              </w:rPr>
              <w:instrText xml:space="preserve"> PAGEREF _Toc227529493 \h </w:instrText>
            </w:r>
            <w:r>
              <w:rPr>
                <w:noProof/>
                <w:webHidden/>
              </w:rPr>
            </w:r>
            <w:r>
              <w:rPr>
                <w:noProof/>
                <w:webHidden/>
              </w:rPr>
              <w:fldChar w:fldCharType="separate"/>
            </w:r>
            <w:r>
              <w:rPr>
                <w:noProof/>
                <w:webHidden/>
              </w:rPr>
              <w:t>8</w:t>
            </w:r>
            <w:r>
              <w:rPr>
                <w:noProof/>
                <w:webHidden/>
              </w:rPr>
              <w:fldChar w:fldCharType="end"/>
            </w:r>
          </w:hyperlink>
        </w:p>
        <w:p w:rsidR="00387E3D" w:rsidRDefault="00387E3D" w:rsidP="00387E3D">
          <w:pPr>
            <w:pStyle w:val="TM3"/>
            <w:tabs>
              <w:tab w:val="right" w:leader="dot" w:pos="9062"/>
            </w:tabs>
            <w:jc w:val="both"/>
            <w:rPr>
              <w:noProof/>
            </w:rPr>
          </w:pPr>
          <w:hyperlink w:anchor="_Toc227529494" w:history="1">
            <w:r w:rsidRPr="007F1E77">
              <w:rPr>
                <w:rStyle w:val="Lienhypertexte"/>
                <w:noProof/>
              </w:rPr>
              <w:t>Suivant les Etas</w:t>
            </w:r>
            <w:r>
              <w:rPr>
                <w:noProof/>
                <w:webHidden/>
              </w:rPr>
              <w:tab/>
            </w:r>
            <w:r>
              <w:rPr>
                <w:noProof/>
                <w:webHidden/>
              </w:rPr>
              <w:fldChar w:fldCharType="begin"/>
            </w:r>
            <w:r>
              <w:rPr>
                <w:noProof/>
                <w:webHidden/>
              </w:rPr>
              <w:instrText xml:space="preserve"> PAGEREF _Toc227529494 \h </w:instrText>
            </w:r>
            <w:r>
              <w:rPr>
                <w:noProof/>
                <w:webHidden/>
              </w:rPr>
            </w:r>
            <w:r>
              <w:rPr>
                <w:noProof/>
                <w:webHidden/>
              </w:rPr>
              <w:fldChar w:fldCharType="separate"/>
            </w:r>
            <w:r>
              <w:rPr>
                <w:noProof/>
                <w:webHidden/>
              </w:rPr>
              <w:t>9</w:t>
            </w:r>
            <w:r>
              <w:rPr>
                <w:noProof/>
                <w:webHidden/>
              </w:rPr>
              <w:fldChar w:fldCharType="end"/>
            </w:r>
          </w:hyperlink>
        </w:p>
        <w:p w:rsidR="00387E3D" w:rsidRDefault="00387E3D" w:rsidP="00387E3D">
          <w:pPr>
            <w:pStyle w:val="TM2"/>
            <w:tabs>
              <w:tab w:val="right" w:leader="dot" w:pos="9062"/>
            </w:tabs>
            <w:jc w:val="both"/>
            <w:rPr>
              <w:noProof/>
            </w:rPr>
          </w:pPr>
          <w:hyperlink w:anchor="_Toc227529495" w:history="1">
            <w:r w:rsidRPr="007F1E77">
              <w:rPr>
                <w:rStyle w:val="Lienhypertexte"/>
                <w:noProof/>
              </w:rPr>
              <w:t>5.4 Q28 — Rendements agricoles par État</w:t>
            </w:r>
            <w:r>
              <w:rPr>
                <w:noProof/>
                <w:webHidden/>
              </w:rPr>
              <w:tab/>
            </w:r>
            <w:r>
              <w:rPr>
                <w:noProof/>
                <w:webHidden/>
              </w:rPr>
              <w:fldChar w:fldCharType="begin"/>
            </w:r>
            <w:r>
              <w:rPr>
                <w:noProof/>
                <w:webHidden/>
              </w:rPr>
              <w:instrText xml:space="preserve"> PAGEREF _Toc227529495 \h </w:instrText>
            </w:r>
            <w:r>
              <w:rPr>
                <w:noProof/>
                <w:webHidden/>
              </w:rPr>
            </w:r>
            <w:r>
              <w:rPr>
                <w:noProof/>
                <w:webHidden/>
              </w:rPr>
              <w:fldChar w:fldCharType="separate"/>
            </w:r>
            <w:r>
              <w:rPr>
                <w:noProof/>
                <w:webHidden/>
              </w:rPr>
              <w:t>10</w:t>
            </w:r>
            <w:r>
              <w:rPr>
                <w:noProof/>
                <w:webHidden/>
              </w:rPr>
              <w:fldChar w:fldCharType="end"/>
            </w:r>
          </w:hyperlink>
        </w:p>
        <w:p w:rsidR="00387E3D" w:rsidRDefault="00387E3D" w:rsidP="00387E3D">
          <w:pPr>
            <w:pStyle w:val="TM2"/>
            <w:tabs>
              <w:tab w:val="right" w:leader="dot" w:pos="9062"/>
            </w:tabs>
            <w:jc w:val="both"/>
            <w:rPr>
              <w:noProof/>
            </w:rPr>
          </w:pPr>
          <w:hyperlink w:anchor="_Toc227529496" w:history="1">
            <w:r w:rsidRPr="007F1E77">
              <w:rPr>
                <w:rStyle w:val="Lienhypertexte"/>
                <w:noProof/>
              </w:rPr>
              <w:t>5.5 Q29 — Engrais chimique et rendement</w:t>
            </w:r>
            <w:r>
              <w:rPr>
                <w:noProof/>
                <w:webHidden/>
              </w:rPr>
              <w:tab/>
            </w:r>
            <w:r>
              <w:rPr>
                <w:noProof/>
                <w:webHidden/>
              </w:rPr>
              <w:fldChar w:fldCharType="begin"/>
            </w:r>
            <w:r>
              <w:rPr>
                <w:noProof/>
                <w:webHidden/>
              </w:rPr>
              <w:instrText xml:space="preserve"> PAGEREF _Toc227529496 \h </w:instrText>
            </w:r>
            <w:r>
              <w:rPr>
                <w:noProof/>
                <w:webHidden/>
              </w:rPr>
            </w:r>
            <w:r>
              <w:rPr>
                <w:noProof/>
                <w:webHidden/>
              </w:rPr>
              <w:fldChar w:fldCharType="separate"/>
            </w:r>
            <w:r>
              <w:rPr>
                <w:noProof/>
                <w:webHidden/>
              </w:rPr>
              <w:t>11</w:t>
            </w:r>
            <w:r>
              <w:rPr>
                <w:noProof/>
                <w:webHidden/>
              </w:rPr>
              <w:fldChar w:fldCharType="end"/>
            </w:r>
          </w:hyperlink>
        </w:p>
        <w:p w:rsidR="00387E3D" w:rsidRDefault="00387E3D" w:rsidP="00387E3D">
          <w:pPr>
            <w:pStyle w:val="TM1"/>
            <w:tabs>
              <w:tab w:val="right" w:leader="dot" w:pos="9062"/>
            </w:tabs>
            <w:jc w:val="both"/>
            <w:rPr>
              <w:noProof/>
            </w:rPr>
          </w:pPr>
          <w:hyperlink w:anchor="_Toc227529497" w:history="1">
            <w:r w:rsidRPr="007F1E77">
              <w:rPr>
                <w:rStyle w:val="Lienhypertexte"/>
                <w:noProof/>
              </w:rPr>
              <w:t>6. Conclusion</w:t>
            </w:r>
            <w:r>
              <w:rPr>
                <w:noProof/>
                <w:webHidden/>
              </w:rPr>
              <w:tab/>
            </w:r>
            <w:r>
              <w:rPr>
                <w:noProof/>
                <w:webHidden/>
              </w:rPr>
              <w:fldChar w:fldCharType="begin"/>
            </w:r>
            <w:r>
              <w:rPr>
                <w:noProof/>
                <w:webHidden/>
              </w:rPr>
              <w:instrText xml:space="preserve"> PAGEREF _Toc227529497 \h </w:instrText>
            </w:r>
            <w:r>
              <w:rPr>
                <w:noProof/>
                <w:webHidden/>
              </w:rPr>
            </w:r>
            <w:r>
              <w:rPr>
                <w:noProof/>
                <w:webHidden/>
              </w:rPr>
              <w:fldChar w:fldCharType="separate"/>
            </w:r>
            <w:r>
              <w:rPr>
                <w:noProof/>
                <w:webHidden/>
              </w:rPr>
              <w:t>13</w:t>
            </w:r>
            <w:r>
              <w:rPr>
                <w:noProof/>
                <w:webHidden/>
              </w:rPr>
              <w:fldChar w:fldCharType="end"/>
            </w:r>
          </w:hyperlink>
        </w:p>
        <w:p w:rsidR="00184767" w:rsidRDefault="00F36A65" w:rsidP="00387E3D">
          <w:pPr>
            <w:jc w:val="both"/>
          </w:pPr>
          <w:r>
            <w:fldChar w:fldCharType="end"/>
          </w:r>
        </w:p>
      </w:sdtContent>
    </w:sdt>
    <w:p w:rsidR="00184767" w:rsidRDefault="00F36A65" w:rsidP="00387E3D">
      <w:pPr>
        <w:jc w:val="both"/>
      </w:pPr>
      <w:r>
        <w:br w:type="page"/>
      </w:r>
    </w:p>
    <w:p w:rsidR="00184767" w:rsidRDefault="00F36A65" w:rsidP="00387E3D">
      <w:pPr>
        <w:pStyle w:val="Titre1"/>
      </w:pPr>
      <w:bookmarkStart w:id="1" w:name="messages-clés"/>
      <w:bookmarkStart w:id="2" w:name="_Toc227529480"/>
      <w:r>
        <w:lastRenderedPageBreak/>
        <w:t>1. Messages clés</w:t>
      </w:r>
      <w:bookmarkEnd w:id="2"/>
    </w:p>
    <w:p w:rsidR="00184767" w:rsidRDefault="00F36A65" w:rsidP="00387E3D">
      <w:pPr>
        <w:jc w:val="both"/>
      </w:pPr>
      <w:r>
        <w:rPr>
          <w:b/>
          <w:bCs/>
        </w:rPr>
        <w:t>Cultures dominantes.</w:t>
      </w:r>
      <w:r>
        <w:t xml:space="preserve"> Le maïs et le cassava sont les deux cultures principales, cultivées respectivement par </w:t>
      </w:r>
      <w:r>
        <w:rPr>
          <w:b/>
          <w:bCs/>
        </w:rPr>
        <w:t>49.8%</w:t>
      </w:r>
      <w:r>
        <w:t xml:space="preserve"> et </w:t>
      </w:r>
      <w:r>
        <w:rPr>
          <w:b/>
          <w:bCs/>
        </w:rPr>
        <w:t>46.3%</w:t>
      </w:r>
      <w:r>
        <w:t xml:space="preserve"> des ménages agricoles nigérians en 2018-2019. Les céréales (maïs, sorgho, millet, riz) dominent le paysage dans toutes les zones géop</w:t>
      </w:r>
      <w:r>
        <w:t>olitiques, suivies des tubercules.</w:t>
      </w:r>
    </w:p>
    <w:p w:rsidR="00184767" w:rsidRDefault="00F36A65" w:rsidP="00387E3D">
      <w:pPr>
        <w:jc w:val="both"/>
      </w:pPr>
      <w:r>
        <w:rPr>
          <w:b/>
          <w:bCs/>
        </w:rPr>
        <w:t>Diversification modérée.</w:t>
      </w:r>
      <w:r>
        <w:t xml:space="preserve"> Les ménages nigérians cultivent en médiane </w:t>
      </w:r>
      <w:r>
        <w:rPr>
          <w:b/>
          <w:bCs/>
        </w:rPr>
        <w:t>3 cultures différentes</w:t>
      </w:r>
      <w:r>
        <w:t xml:space="preserve"> par saison agricole (IQR : 2-4). La diversification ne diffère pas significativement entre zones rurales et urbaines (test de Wilc</w:t>
      </w:r>
      <w:r>
        <w:t>oxon pondéré, p = 0,131), suggérant une stratégie de résilience universelle.</w:t>
      </w:r>
    </w:p>
    <w:p w:rsidR="00184767" w:rsidRDefault="00F36A65" w:rsidP="00387E3D">
      <w:pPr>
        <w:jc w:val="both"/>
      </w:pPr>
      <w:r>
        <w:rPr>
          <w:b/>
          <w:bCs/>
        </w:rPr>
        <w:t>Adoption des engrais.</w:t>
      </w:r>
      <w:r>
        <w:t xml:space="preserve"> </w:t>
      </w:r>
      <w:r>
        <w:rPr>
          <w:b/>
          <w:bCs/>
        </w:rPr>
        <w:t>Près d’un cultivateur sur 2</w:t>
      </w:r>
      <w:r>
        <w:t xml:space="preserve"> utilise de l’engrais.Le NPK s’impose comme le fertilisant de référence avec un taux d’utilisation de 34,9%, suivi par l’Urée (23,</w:t>
      </w:r>
      <w:r>
        <w:t>9%). L’engrais organique, concerne 27,9% des exploitations.</w:t>
      </w:r>
    </w:p>
    <w:p w:rsidR="00184767" w:rsidRDefault="00F36A65" w:rsidP="00387E3D">
      <w:pPr>
        <w:jc w:val="both"/>
      </w:pPr>
      <w:r>
        <w:rPr>
          <w:b/>
          <w:bCs/>
        </w:rPr>
        <w:t>Rendements faibles et très dispersés.</w:t>
      </w:r>
      <w:r>
        <w:t xml:space="preserve"> Le rendement médian pondéré est de </w:t>
      </w:r>
      <w:r>
        <w:rPr>
          <w:b/>
          <w:bCs/>
        </w:rPr>
        <w:t>823 kg/ha</w:t>
      </w:r>
      <w:r>
        <w:t xml:space="preserve"> pour le maïs et </w:t>
      </w:r>
      <w:r>
        <w:rPr>
          <w:b/>
          <w:bCs/>
        </w:rPr>
        <w:t>613 kg/ha</w:t>
      </w:r>
      <w:r>
        <w:t xml:space="preserve"> pour le millet — bien en deçà des potentiels agronomiques (5 000-8 000 kg/ha en conditi</w:t>
      </w:r>
      <w:r>
        <w:t>ons optimales). Le ratio P90/P10 atteint 19 pour le maïs, révélant des inégalités de productivité extrêmes entre exploitations.</w:t>
      </w:r>
    </w:p>
    <w:p w:rsidR="00184767" w:rsidRDefault="00F36A65" w:rsidP="00387E3D">
      <w:pPr>
        <w:jc w:val="both"/>
      </w:pPr>
      <w:r>
        <w:rPr>
          <w:b/>
          <w:bCs/>
        </w:rPr>
        <w:t>L’engrais, un levier de performance majeur.</w:t>
      </w:r>
      <w:r>
        <w:t xml:space="preserve"> L’utilisation d’engrais chimique est associée à un gain de rendement médian de </w:t>
      </w:r>
      <w:r>
        <w:rPr>
          <w:b/>
          <w:bCs/>
        </w:rPr>
        <w:t>+59%</w:t>
      </w:r>
      <w:r>
        <w:t xml:space="preserve"> </w:t>
      </w:r>
      <w:r>
        <w:t>(823 vs 518 kg/ha sans engrais), une différence hautement significative (test de Wilcoxon pondéré, p &lt; 0,001).</w:t>
      </w:r>
    </w:p>
    <w:p w:rsidR="00184767" w:rsidRDefault="00F36A65" w:rsidP="00387E3D">
      <w:pPr>
        <w:jc w:val="both"/>
      </w:pPr>
      <w:r>
        <w:rPr>
          <w:b/>
          <w:bCs/>
        </w:rPr>
        <w:t>Pondération.</w:t>
      </w:r>
      <w:r>
        <w:t xml:space="preserve"> Toutes les statistiques sont calculées avec les poids wt_wave4 et le plan de sondage complexe (stratifié en grappes, 408 grappes, st</w:t>
      </w:r>
      <w:r>
        <w:t>rates = secteur × zone géopolitique).</w:t>
      </w:r>
    </w:p>
    <w:p w:rsidR="00184767" w:rsidRDefault="00F36A65" w:rsidP="00387E3D">
      <w:pPr>
        <w:jc w:val="both"/>
      </w:pPr>
      <w:r>
        <w:br w:type="page"/>
      </w:r>
    </w:p>
    <w:p w:rsidR="00184767" w:rsidRDefault="00F36A65" w:rsidP="00387E3D">
      <w:pPr>
        <w:pStyle w:val="Titre1"/>
      </w:pPr>
      <w:bookmarkStart w:id="3" w:name="introduction"/>
      <w:bookmarkStart w:id="4" w:name="_Toc227529481"/>
      <w:bookmarkEnd w:id="1"/>
      <w:r>
        <w:lastRenderedPageBreak/>
        <w:t>2. Introduction</w:t>
      </w:r>
      <w:bookmarkEnd w:id="4"/>
    </w:p>
    <w:p w:rsidR="00184767" w:rsidRDefault="00F36A65" w:rsidP="00387E3D">
      <w:pPr>
        <w:jc w:val="both"/>
      </w:pPr>
      <w:r>
        <w:t>Le Nigeria est le premier producteur agricole d’Afrique subsaharienne, avec une agriculture dominée par les petits exploitants familiaux (80 à 90% des agriculteurs travaillent sur de petites parcelles</w:t>
      </w:r>
      <w:r>
        <w:t>). Dans ce contexte, comprendre les choix de cultures, l’utilisation des intrants et les rendements obtenus est essentiel pour orienter les politiques agricoles.</w:t>
      </w:r>
    </w:p>
    <w:p w:rsidR="00184767" w:rsidRDefault="00F36A65" w:rsidP="00387E3D">
      <w:pPr>
        <w:jc w:val="both"/>
      </w:pPr>
      <w:r>
        <w:t xml:space="preserve">Ce rapport analyse le module agriculture du Nigeria General Household Survey (GHS) Panel Wave </w:t>
      </w:r>
      <w:r>
        <w:t>4 (2018-2019), enquête longitudinale du programme LSMS-ISA de la Banque Mondiale couvrant 4 976 ménages répartis sur l’ensemble du territoire nigérian. L’analyse couvre les questions 25 à 29 du TP5 : cultures pratiquées, diversification culturale, utilisat</w:t>
      </w:r>
      <w:r>
        <w:t>ion des engrais, rendements agricoles et lien engrais-rendement.</w:t>
      </w:r>
    </w:p>
    <w:p w:rsidR="00184767" w:rsidRDefault="00F36A65" w:rsidP="00387E3D">
      <w:pPr>
        <w:jc w:val="both"/>
      </w:pPr>
      <w:r>
        <w:br w:type="page"/>
      </w:r>
    </w:p>
    <w:p w:rsidR="00184767" w:rsidRDefault="00F36A65" w:rsidP="00387E3D">
      <w:pPr>
        <w:pStyle w:val="Titre1"/>
      </w:pPr>
      <w:bookmarkStart w:id="5" w:name="structure-et-données-utilisées"/>
      <w:bookmarkStart w:id="6" w:name="_Toc227529482"/>
      <w:bookmarkEnd w:id="3"/>
      <w:r>
        <w:lastRenderedPageBreak/>
        <w:t>3. Structure et données utilisées</w:t>
      </w:r>
      <w:bookmarkEnd w:id="6"/>
    </w:p>
    <w:p w:rsidR="00184767" w:rsidRDefault="00F36A65" w:rsidP="00387E3D">
      <w:pPr>
        <w:pStyle w:val="Titre2"/>
      </w:pPr>
      <w:bookmarkStart w:id="7" w:name="fichiers-mobilisés"/>
      <w:bookmarkStart w:id="8" w:name="_Toc227529483"/>
      <w:r>
        <w:t>3.1 Fichiers mobilisés</w:t>
      </w:r>
      <w:bookmarkEnd w:id="8"/>
    </w:p>
    <w:p w:rsidR="00184767" w:rsidRDefault="00F36A65" w:rsidP="00387E3D">
      <w:pPr>
        <w:jc w:val="both"/>
      </w:pPr>
      <w:r>
        <w:t>Les analyses s’appuient sur les fichiers suivants de la Wave 4 :</w:t>
      </w:r>
    </w:p>
    <w:p w:rsidR="00184767" w:rsidRDefault="00F36A65" w:rsidP="00387E3D">
      <w:pPr>
        <w:jc w:val="both"/>
      </w:pPr>
      <w:r>
        <w:t>Tableau 1 — Fichiers de données mobilisés (GHS Panel W4)</w:t>
      </w:r>
    </w:p>
    <w:tbl>
      <w:tblPr>
        <w:tblW w:w="5000" w:type="pct"/>
        <w:tblLayout w:type="fixed"/>
        <w:tblLook w:val="0020" w:firstRow="1" w:lastRow="0" w:firstColumn="0" w:lastColumn="0" w:noHBand="0" w:noVBand="0"/>
        <w:tblCaption w:val="Tableau 1 — Fichiers de données mobilisés (GHS Panel W4)"/>
      </w:tblPr>
      <w:tblGrid>
        <w:gridCol w:w="2629"/>
        <w:gridCol w:w="3945"/>
        <w:gridCol w:w="2498"/>
      </w:tblGrid>
      <w:tr w:rsidR="00184767">
        <w:trPr>
          <w:tblHeader/>
        </w:trPr>
        <w:tc>
          <w:tcPr>
            <w:tcW w:w="2295" w:type="dxa"/>
          </w:tcPr>
          <w:p w:rsidR="00184767" w:rsidRDefault="00F36A65" w:rsidP="00387E3D">
            <w:pPr>
              <w:jc w:val="both"/>
            </w:pPr>
            <w:r>
              <w:t>Fichier</w:t>
            </w:r>
          </w:p>
        </w:tc>
        <w:tc>
          <w:tcPr>
            <w:tcW w:w="3443" w:type="dxa"/>
          </w:tcPr>
          <w:p w:rsidR="00184767" w:rsidRDefault="00F36A65" w:rsidP="00387E3D">
            <w:pPr>
              <w:jc w:val="both"/>
            </w:pPr>
            <w:r>
              <w:t>Co</w:t>
            </w:r>
            <w:r>
              <w:t>ntenu</w:t>
            </w:r>
          </w:p>
        </w:tc>
        <w:tc>
          <w:tcPr>
            <w:tcW w:w="2180" w:type="dxa"/>
          </w:tcPr>
          <w:p w:rsidR="00184767" w:rsidRDefault="00F36A65" w:rsidP="00387E3D">
            <w:pPr>
              <w:jc w:val="both"/>
            </w:pPr>
            <w:r>
              <w:t>Questions</w:t>
            </w:r>
          </w:p>
        </w:tc>
      </w:tr>
      <w:tr w:rsidR="00184767">
        <w:tc>
          <w:tcPr>
            <w:tcW w:w="2295" w:type="dxa"/>
          </w:tcPr>
          <w:p w:rsidR="00184767" w:rsidRDefault="00F36A65" w:rsidP="00387E3D">
            <w:pPr>
              <w:jc w:val="both"/>
            </w:pPr>
            <w:r>
              <w:t>secta3i_harvestw4</w:t>
            </w:r>
          </w:p>
        </w:tc>
        <w:tc>
          <w:tcPr>
            <w:tcW w:w="3443" w:type="dxa"/>
          </w:tcPr>
          <w:p w:rsidR="00184767" w:rsidRDefault="00F36A65" w:rsidP="00387E3D">
            <w:pPr>
              <w:jc w:val="both"/>
            </w:pPr>
            <w:r>
              <w:t>Cultures de champ récoltées</w:t>
            </w:r>
          </w:p>
        </w:tc>
        <w:tc>
          <w:tcPr>
            <w:tcW w:w="2180" w:type="dxa"/>
          </w:tcPr>
          <w:p w:rsidR="00184767" w:rsidRDefault="00F36A65" w:rsidP="00387E3D">
            <w:pPr>
              <w:jc w:val="both"/>
            </w:pPr>
            <w:r>
              <w:t>Q25, Q26, Q28, Q29</w:t>
            </w:r>
          </w:p>
        </w:tc>
      </w:tr>
      <w:tr w:rsidR="00184767">
        <w:tc>
          <w:tcPr>
            <w:tcW w:w="2295" w:type="dxa"/>
          </w:tcPr>
          <w:p w:rsidR="00184767" w:rsidRDefault="00F36A65" w:rsidP="00387E3D">
            <w:pPr>
              <w:jc w:val="both"/>
            </w:pPr>
            <w:r>
              <w:t>secta3ii_harvestw4</w:t>
            </w:r>
          </w:p>
        </w:tc>
        <w:tc>
          <w:tcPr>
            <w:tcW w:w="3443" w:type="dxa"/>
          </w:tcPr>
          <w:p w:rsidR="00184767" w:rsidRDefault="00F36A65" w:rsidP="00387E3D">
            <w:pPr>
              <w:jc w:val="both"/>
            </w:pPr>
            <w:r>
              <w:t>Cultures arborées récoltées</w:t>
            </w:r>
          </w:p>
        </w:tc>
        <w:tc>
          <w:tcPr>
            <w:tcW w:w="2180" w:type="dxa"/>
          </w:tcPr>
          <w:p w:rsidR="00184767" w:rsidRDefault="00F36A65" w:rsidP="00387E3D">
            <w:pPr>
              <w:jc w:val="both"/>
            </w:pPr>
            <w:r>
              <w:t>Q25</w:t>
            </w:r>
          </w:p>
        </w:tc>
      </w:tr>
      <w:tr w:rsidR="00184767">
        <w:tc>
          <w:tcPr>
            <w:tcW w:w="2295" w:type="dxa"/>
          </w:tcPr>
          <w:p w:rsidR="00184767" w:rsidRDefault="00F36A65" w:rsidP="00387E3D">
            <w:pPr>
              <w:jc w:val="both"/>
            </w:pPr>
            <w:r>
              <w:t>sect11a1_plantingw4</w:t>
            </w:r>
          </w:p>
        </w:tc>
        <w:tc>
          <w:tcPr>
            <w:tcW w:w="3443" w:type="dxa"/>
          </w:tcPr>
          <w:p w:rsidR="00184767" w:rsidRDefault="00F36A65" w:rsidP="00387E3D">
            <w:pPr>
              <w:jc w:val="both"/>
            </w:pPr>
            <w:r>
              <w:t>Superficie GPS des parcelles</w:t>
            </w:r>
          </w:p>
        </w:tc>
        <w:tc>
          <w:tcPr>
            <w:tcW w:w="2180" w:type="dxa"/>
          </w:tcPr>
          <w:p w:rsidR="00184767" w:rsidRDefault="00F36A65" w:rsidP="00387E3D">
            <w:pPr>
              <w:jc w:val="both"/>
            </w:pPr>
            <w:r>
              <w:t>Q28, Q29</w:t>
            </w:r>
          </w:p>
        </w:tc>
      </w:tr>
      <w:tr w:rsidR="00184767">
        <w:tc>
          <w:tcPr>
            <w:tcW w:w="2295" w:type="dxa"/>
          </w:tcPr>
          <w:p w:rsidR="00184767" w:rsidRDefault="00F36A65" w:rsidP="00387E3D">
            <w:pPr>
              <w:jc w:val="both"/>
            </w:pPr>
            <w:r>
              <w:t>secta11c2_harvestw4</w:t>
            </w:r>
          </w:p>
        </w:tc>
        <w:tc>
          <w:tcPr>
            <w:tcW w:w="3443" w:type="dxa"/>
          </w:tcPr>
          <w:p w:rsidR="00184767" w:rsidRDefault="00F36A65" w:rsidP="00387E3D">
            <w:pPr>
              <w:jc w:val="both"/>
            </w:pPr>
            <w:r>
              <w:t>Utilisation des engrais</w:t>
            </w:r>
          </w:p>
        </w:tc>
        <w:tc>
          <w:tcPr>
            <w:tcW w:w="2180" w:type="dxa"/>
          </w:tcPr>
          <w:p w:rsidR="00184767" w:rsidRDefault="00F36A65" w:rsidP="00387E3D">
            <w:pPr>
              <w:jc w:val="both"/>
            </w:pPr>
            <w:r>
              <w:t>Q27, Q29</w:t>
            </w:r>
          </w:p>
        </w:tc>
      </w:tr>
      <w:tr w:rsidR="00184767">
        <w:tc>
          <w:tcPr>
            <w:tcW w:w="2295" w:type="dxa"/>
          </w:tcPr>
          <w:p w:rsidR="00184767" w:rsidRDefault="00F36A65" w:rsidP="00387E3D">
            <w:pPr>
              <w:jc w:val="both"/>
            </w:pPr>
            <w:r>
              <w:t>secta_plantingw4</w:t>
            </w:r>
          </w:p>
        </w:tc>
        <w:tc>
          <w:tcPr>
            <w:tcW w:w="3443" w:type="dxa"/>
          </w:tcPr>
          <w:p w:rsidR="00184767" w:rsidRDefault="00F36A65" w:rsidP="00387E3D">
            <w:pPr>
              <w:jc w:val="both"/>
            </w:pPr>
            <w:r>
              <w:t>Poids de sondage, EA, secteur</w:t>
            </w:r>
          </w:p>
        </w:tc>
        <w:tc>
          <w:tcPr>
            <w:tcW w:w="2180" w:type="dxa"/>
          </w:tcPr>
          <w:p w:rsidR="00184767" w:rsidRDefault="00F36A65" w:rsidP="00387E3D">
            <w:pPr>
              <w:jc w:val="both"/>
            </w:pPr>
            <w:r>
              <w:t>Toutes</w:t>
            </w:r>
          </w:p>
        </w:tc>
      </w:tr>
    </w:tbl>
    <w:p w:rsidR="00184767" w:rsidRDefault="00F36A65" w:rsidP="00387E3D">
      <w:pPr>
        <w:pStyle w:val="Titre2"/>
      </w:pPr>
      <w:bookmarkStart w:id="9" w:name="population-analytique"/>
      <w:bookmarkStart w:id="10" w:name="_Toc227529484"/>
      <w:bookmarkEnd w:id="7"/>
      <w:r>
        <w:t>3.2 Population analytique</w:t>
      </w:r>
      <w:bookmarkEnd w:id="10"/>
    </w:p>
    <w:p w:rsidR="00184767" w:rsidRDefault="00F36A65" w:rsidP="00387E3D">
      <w:pPr>
        <w:jc w:val="both"/>
      </w:pPr>
      <w:r>
        <w:t>Tableau 2 — Population analytique</w:t>
      </w:r>
    </w:p>
    <w:tbl>
      <w:tblPr>
        <w:tblW w:w="5000" w:type="pct"/>
        <w:tblLayout w:type="fixed"/>
        <w:tblLook w:val="0020" w:firstRow="1" w:lastRow="0" w:firstColumn="0" w:lastColumn="0" w:noHBand="0" w:noVBand="0"/>
        <w:tblCaption w:val="Tableau 2 — Population analytique"/>
      </w:tblPr>
      <w:tblGrid>
        <w:gridCol w:w="4855"/>
        <w:gridCol w:w="4217"/>
      </w:tblGrid>
      <w:tr w:rsidR="00184767">
        <w:trPr>
          <w:tblHeader/>
        </w:trPr>
        <w:tc>
          <w:tcPr>
            <w:tcW w:w="4238" w:type="dxa"/>
          </w:tcPr>
          <w:p w:rsidR="00184767" w:rsidRDefault="00F36A65" w:rsidP="00387E3D">
            <w:pPr>
              <w:jc w:val="both"/>
            </w:pPr>
            <w:r>
              <w:t>Indicateur</w:t>
            </w:r>
          </w:p>
        </w:tc>
        <w:tc>
          <w:tcPr>
            <w:tcW w:w="3681" w:type="dxa"/>
          </w:tcPr>
          <w:p w:rsidR="00184767" w:rsidRDefault="00F36A65" w:rsidP="00387E3D">
            <w:pPr>
              <w:jc w:val="both"/>
            </w:pPr>
            <w:r>
              <w:t>Valeur</w:t>
            </w:r>
          </w:p>
        </w:tc>
      </w:tr>
      <w:tr w:rsidR="00184767">
        <w:tc>
          <w:tcPr>
            <w:tcW w:w="4238" w:type="dxa"/>
          </w:tcPr>
          <w:p w:rsidR="00184767" w:rsidRDefault="00F36A65" w:rsidP="00387E3D">
            <w:pPr>
              <w:jc w:val="both"/>
            </w:pPr>
            <w:r>
              <w:t>Ménages avec cultures valides</w:t>
            </w:r>
          </w:p>
        </w:tc>
        <w:tc>
          <w:tcPr>
            <w:tcW w:w="3681" w:type="dxa"/>
          </w:tcPr>
          <w:p w:rsidR="00184767" w:rsidRDefault="00F36A65" w:rsidP="00387E3D">
            <w:pPr>
              <w:jc w:val="both"/>
            </w:pPr>
            <w:r>
              <w:t>3 448</w:t>
            </w:r>
          </w:p>
        </w:tc>
      </w:tr>
      <w:tr w:rsidR="00184767">
        <w:tc>
          <w:tcPr>
            <w:tcW w:w="4238" w:type="dxa"/>
          </w:tcPr>
          <w:p w:rsidR="00184767" w:rsidRDefault="00F36A65" w:rsidP="00387E3D">
            <w:pPr>
              <w:jc w:val="both"/>
            </w:pPr>
            <w:r>
              <w:t>Observations (parcelles-culture)</w:t>
            </w:r>
          </w:p>
        </w:tc>
        <w:tc>
          <w:tcPr>
            <w:tcW w:w="3681" w:type="dxa"/>
          </w:tcPr>
          <w:p w:rsidR="00184767" w:rsidRDefault="00F36A65" w:rsidP="00387E3D">
            <w:pPr>
              <w:jc w:val="both"/>
            </w:pPr>
            <w:r>
              <w:t>23 036</w:t>
            </w:r>
          </w:p>
        </w:tc>
      </w:tr>
      <w:tr w:rsidR="00184767">
        <w:tc>
          <w:tcPr>
            <w:tcW w:w="4238" w:type="dxa"/>
          </w:tcPr>
          <w:p w:rsidR="00184767" w:rsidRDefault="00F36A65" w:rsidP="00387E3D">
            <w:pPr>
              <w:jc w:val="both"/>
            </w:pPr>
            <w:r>
              <w:t>Cultures distinctes recensées</w:t>
            </w:r>
          </w:p>
        </w:tc>
        <w:tc>
          <w:tcPr>
            <w:tcW w:w="3681" w:type="dxa"/>
          </w:tcPr>
          <w:p w:rsidR="00184767" w:rsidRDefault="00F36A65" w:rsidP="00387E3D">
            <w:pPr>
              <w:jc w:val="both"/>
            </w:pPr>
            <w:r>
              <w:t>65</w:t>
            </w:r>
          </w:p>
        </w:tc>
      </w:tr>
      <w:tr w:rsidR="00184767">
        <w:tc>
          <w:tcPr>
            <w:tcW w:w="4238" w:type="dxa"/>
          </w:tcPr>
          <w:p w:rsidR="00184767" w:rsidRDefault="00F36A65" w:rsidP="00387E3D">
            <w:pPr>
              <w:jc w:val="both"/>
            </w:pPr>
            <w:r>
              <w:t>Ménages avec rendement calculable</w:t>
            </w:r>
          </w:p>
        </w:tc>
        <w:tc>
          <w:tcPr>
            <w:tcW w:w="3681" w:type="dxa"/>
          </w:tcPr>
          <w:p w:rsidR="00184767" w:rsidRDefault="00F36A65" w:rsidP="00387E3D">
            <w:pPr>
              <w:jc w:val="both"/>
            </w:pPr>
            <w:r>
              <w:t>2 793</w:t>
            </w:r>
          </w:p>
        </w:tc>
      </w:tr>
      <w:tr w:rsidR="00184767">
        <w:tc>
          <w:tcPr>
            <w:tcW w:w="4238" w:type="dxa"/>
          </w:tcPr>
          <w:p w:rsidR="00184767" w:rsidRDefault="00F36A65" w:rsidP="00387E3D">
            <w:pPr>
              <w:jc w:val="both"/>
            </w:pPr>
            <w:r>
              <w:t>Couverture GPS (superficie parcelles)</w:t>
            </w:r>
          </w:p>
        </w:tc>
        <w:tc>
          <w:tcPr>
            <w:tcW w:w="3681" w:type="dxa"/>
          </w:tcPr>
          <w:p w:rsidR="00184767" w:rsidRDefault="00F36A65" w:rsidP="00387E3D">
            <w:pPr>
              <w:jc w:val="both"/>
            </w:pPr>
            <w:r>
              <w:t>62% (85% pour maïs/millet)</w:t>
            </w:r>
          </w:p>
        </w:tc>
      </w:tr>
      <w:tr w:rsidR="00184767">
        <w:tc>
          <w:tcPr>
            <w:tcW w:w="4238" w:type="dxa"/>
          </w:tcPr>
          <w:p w:rsidR="00184767" w:rsidRDefault="00F36A65" w:rsidP="00387E3D">
            <w:pPr>
              <w:jc w:val="both"/>
            </w:pPr>
            <w:r>
              <w:t>Ménages exclus (poids manquant)</w:t>
            </w:r>
          </w:p>
        </w:tc>
        <w:tc>
          <w:tcPr>
            <w:tcW w:w="3681" w:type="dxa"/>
          </w:tcPr>
          <w:p w:rsidR="00184767" w:rsidRDefault="00F36A65" w:rsidP="00387E3D">
            <w:pPr>
              <w:jc w:val="both"/>
            </w:pPr>
            <w:r>
              <w:t>49 (&lt; 1%)</w:t>
            </w:r>
          </w:p>
        </w:tc>
      </w:tr>
      <w:tr w:rsidR="00184767">
        <w:tc>
          <w:tcPr>
            <w:tcW w:w="4238" w:type="dxa"/>
          </w:tcPr>
          <w:p w:rsidR="00184767" w:rsidRDefault="00F36A65" w:rsidP="00387E3D">
            <w:pPr>
              <w:jc w:val="both"/>
            </w:pPr>
            <w:r>
              <w:t>Plan de sondage</w:t>
            </w:r>
          </w:p>
        </w:tc>
        <w:tc>
          <w:tcPr>
            <w:tcW w:w="3681" w:type="dxa"/>
          </w:tcPr>
          <w:p w:rsidR="00184767" w:rsidRDefault="00F36A65" w:rsidP="00387E3D">
            <w:pPr>
              <w:jc w:val="both"/>
            </w:pPr>
            <w:r>
              <w:t>Stratifié, 408 grappes, wt_wave4</w:t>
            </w:r>
          </w:p>
        </w:tc>
      </w:tr>
    </w:tbl>
    <w:p w:rsidR="00184767" w:rsidRDefault="00F36A65" w:rsidP="00387E3D">
      <w:pPr>
        <w:jc w:val="both"/>
      </w:pPr>
      <w:r>
        <w:br w:type="page"/>
      </w:r>
    </w:p>
    <w:p w:rsidR="00184767" w:rsidRDefault="00F36A65" w:rsidP="00387E3D">
      <w:pPr>
        <w:pStyle w:val="Titre1"/>
      </w:pPr>
      <w:bookmarkStart w:id="11" w:name="méthodologie"/>
      <w:bookmarkStart w:id="12" w:name="_Toc227529485"/>
      <w:bookmarkEnd w:id="5"/>
      <w:bookmarkEnd w:id="9"/>
      <w:r>
        <w:lastRenderedPageBreak/>
        <w:t>4. Méthodologie</w:t>
      </w:r>
      <w:bookmarkEnd w:id="12"/>
    </w:p>
    <w:p w:rsidR="00184767" w:rsidRDefault="00F36A65" w:rsidP="00387E3D">
      <w:pPr>
        <w:pStyle w:val="Titre2"/>
      </w:pPr>
      <w:bookmarkStart w:id="13" w:name="Xa8fa702a86621ed40d5ce53472d4c258dff9275"/>
      <w:bookmarkStart w:id="14" w:name="_Toc227529486"/>
      <w:r>
        <w:t>4.1 Harmonisation et construction des variables</w:t>
      </w:r>
      <w:bookmarkEnd w:id="14"/>
    </w:p>
    <w:p w:rsidR="00184767" w:rsidRDefault="00F36A65" w:rsidP="00387E3D">
      <w:pPr>
        <w:jc w:val="both"/>
      </w:pPr>
      <w:r>
        <w:rPr>
          <w:b/>
          <w:bCs/>
        </w:rPr>
        <w:t>Conversion des quantités récoltées.</w:t>
      </w:r>
      <w:r>
        <w:t xml:space="preserve"> Les quantités déclarées en unités locales (sacs, bols, bassines, etc.) ont été converties en kilogrammes via le facteur de conversion fourni par la Banque Mondiale (sa3iq6_</w:t>
      </w:r>
      <w:r>
        <w:t>conv), tel que : prod_kg = quantité × facteur_conversion.</w:t>
      </w:r>
    </w:p>
    <w:p w:rsidR="00184767" w:rsidRDefault="00F36A65" w:rsidP="00387E3D">
      <w:pPr>
        <w:jc w:val="both"/>
      </w:pPr>
      <w:r>
        <w:rPr>
          <w:b/>
          <w:bCs/>
        </w:rPr>
        <w:t>Construction de la superficie.</w:t>
      </w:r>
      <w:r>
        <w:t xml:space="preserve"> La superficie de chaque parcelle est issue en priorité de la mesure GPS (s11aq4c ÷ 10 000), complétée par la superficie déclarée convertie en hectares (acres, m²), pui</w:t>
      </w:r>
      <w:r>
        <w:t xml:space="preserve">s par les unités locales (Heaps, Ridges, Stands) via la grille zone-spécifique GHS-Panel. Une analyse de cohérence révèle un biais systématique de surestimation de </w:t>
      </w:r>
      <w:r>
        <w:rPr>
          <w:b/>
          <w:bCs/>
        </w:rPr>
        <w:t>28%</w:t>
      </w:r>
      <w:r>
        <w:t xml:space="preserve"> dans les déclarations des agriculteurs, confirmant la supériorité de la mesure GPS.</w:t>
      </w:r>
    </w:p>
    <w:p w:rsidR="00184767" w:rsidRDefault="00F36A65" w:rsidP="00387E3D">
      <w:pPr>
        <w:jc w:val="both"/>
      </w:pPr>
      <w:r>
        <w:rPr>
          <w:b/>
          <w:bCs/>
        </w:rPr>
        <w:t>Calc</w:t>
      </w:r>
      <w:r>
        <w:rPr>
          <w:b/>
          <w:bCs/>
        </w:rPr>
        <w:t>ul du rendement.</w:t>
      </w:r>
      <w:r>
        <w:t xml:space="preserve"> Le rendement est défini comme :</w:t>
      </w:r>
    </w:p>
    <w:p w:rsidR="00184767" w:rsidRDefault="00F36A65" w:rsidP="00387E3D">
      <w:pPr>
        <w:jc w:val="both"/>
      </w:pPr>
      <m:oMathPara>
        <m:oMathParaPr>
          <m:jc m:val="center"/>
        </m:oMathParaPr>
        <m:oMath>
          <m:r>
            <m:rPr>
              <m:nor/>
            </m:rPr>
            <m:t>Rendement (kg/ha)</m:t>
          </m:r>
          <m:r>
            <m:rPr>
              <m:sty m:val="p"/>
            </m:rPr>
            <w:rPr>
              <w:rFonts w:ascii="Cambria Math" w:hAnsi="Cambria Math"/>
            </w:rPr>
            <m:t>=</m:t>
          </m:r>
          <m:f>
            <m:fPr>
              <m:ctrlPr>
                <w:rPr>
                  <w:rFonts w:ascii="Cambria Math" w:hAnsi="Cambria Math"/>
                </w:rPr>
              </m:ctrlPr>
            </m:fPr>
            <m:num>
              <m:r>
                <m:rPr>
                  <m:nor/>
                </m:rPr>
                <m:t>Production (kg)</m:t>
              </m:r>
            </m:num>
            <m:den>
              <m:r>
                <m:rPr>
                  <m:nor/>
                </m:rPr>
                <m:t>Superficie (ha)</m:t>
              </m:r>
            </m:den>
          </m:f>
        </m:oMath>
      </m:oMathPara>
    </w:p>
    <w:p w:rsidR="00184767" w:rsidRDefault="00F36A65" w:rsidP="00387E3D">
      <w:pPr>
        <w:jc w:val="both"/>
      </w:pPr>
      <w:r>
        <w:t xml:space="preserve">Pour Q28-Q29, la </w:t>
      </w:r>
      <w:r>
        <w:rPr>
          <w:b/>
          <w:bCs/>
        </w:rPr>
        <w:t>culture principale</w:t>
      </w:r>
      <w:r>
        <w:t xml:space="preserve"> est identifiée par ménage comme la culture (maïs ou millet) ayant la plus grande production totale.</w:t>
      </w:r>
    </w:p>
    <w:p w:rsidR="00184767" w:rsidRDefault="00F36A65" w:rsidP="00387E3D">
      <w:pPr>
        <w:pStyle w:val="Titre2"/>
      </w:pPr>
      <w:bookmarkStart w:id="15" w:name="traitement-des-valeurs-aberrantes"/>
      <w:bookmarkStart w:id="16" w:name="_Toc227529487"/>
      <w:bookmarkEnd w:id="13"/>
      <w:r>
        <w:t>4.2 Traitement des val</w:t>
      </w:r>
      <w:r>
        <w:t>eurs aberrantes</w:t>
      </w:r>
      <w:bookmarkEnd w:id="16"/>
    </w:p>
    <w:p w:rsidR="00184767" w:rsidRDefault="00F36A65" w:rsidP="00387E3D">
      <w:pPr>
        <w:jc w:val="both"/>
      </w:pPr>
      <w:r>
        <w:t xml:space="preserve">Les valeurs aberrantes de rendement sont exclues selon la règle </w:t>
      </w:r>
      <w:r>
        <w:rPr>
          <w:b/>
          <w:bCs/>
        </w:rPr>
        <w:t>IQR × 3 pondéré</w:t>
      </w:r>
      <w:r>
        <w:t xml:space="preserve"> par culture :</w:t>
      </w:r>
    </w:p>
    <w:p w:rsidR="00184767" w:rsidRDefault="00F36A65" w:rsidP="00387E3D">
      <w:pPr>
        <w:jc w:val="both"/>
      </w:pPr>
      <m:oMathPara>
        <m:oMathParaPr>
          <m:jc m:val="center"/>
        </m:oMathParaPr>
        <m:oMath>
          <m:r>
            <m:rPr>
              <m:nor/>
            </m:rPr>
            <m:t xml:space="preserve">Outlier si : </m:t>
          </m:r>
          <m:r>
            <w:rPr>
              <w:rFonts w:ascii="Cambria Math" w:hAnsi="Cambria Math"/>
            </w:rPr>
            <m:t>y</m:t>
          </m:r>
          <m:r>
            <m:rPr>
              <m:sty m:val="p"/>
            </m:rPr>
            <w:rPr>
              <w:rFonts w:ascii="Cambria Math" w:hAnsi="Cambria Math"/>
            </w:rPr>
            <m:t>&lt;</m:t>
          </m:r>
          <m:r>
            <w:rPr>
              <w:rFonts w:ascii="Cambria Math" w:hAnsi="Cambria Math"/>
            </w:rPr>
            <m:t>Q</m:t>
          </m:r>
          <m:sSub>
            <m:sSubPr>
              <m:ctrlPr>
                <w:rPr>
                  <w:rFonts w:ascii="Cambria Math" w:hAnsi="Cambria Math"/>
                </w:rPr>
              </m:ctrlPr>
            </m:sSubPr>
            <m:e>
              <m:r>
                <w:rPr>
                  <w:rFonts w:ascii="Cambria Math" w:hAnsi="Cambria Math"/>
                </w:rPr>
                <m:t>1</m:t>
              </m:r>
            </m:e>
            <m:sub>
              <m:r>
                <w:rPr>
                  <w:rFonts w:ascii="Cambria Math" w:hAnsi="Cambria Math"/>
                </w:rPr>
                <m:t>w</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IQ</m:t>
          </m:r>
          <m:sSub>
            <m:sSubPr>
              <m:ctrlPr>
                <w:rPr>
                  <w:rFonts w:ascii="Cambria Math" w:hAnsi="Cambria Math"/>
                </w:rPr>
              </m:ctrlPr>
            </m:sSubPr>
            <m:e>
              <m:r>
                <w:rPr>
                  <w:rFonts w:ascii="Cambria Math" w:hAnsi="Cambria Math"/>
                </w:rPr>
                <m:t>R</m:t>
              </m:r>
            </m:e>
            <m:sub>
              <m:r>
                <w:rPr>
                  <w:rFonts w:ascii="Cambria Math" w:hAnsi="Cambria Math"/>
                </w:rPr>
                <m:t>w</m:t>
              </m:r>
            </m:sub>
          </m:sSub>
          <m:r>
            <m:rPr>
              <m:nor/>
            </m:rPr>
            <m:t xml:space="preserve"> ou </m:t>
          </m:r>
          <m:r>
            <w:rPr>
              <w:rFonts w:ascii="Cambria Math" w:hAnsi="Cambria Math"/>
            </w:rPr>
            <m:t>y</m:t>
          </m:r>
          <m:r>
            <m:rPr>
              <m:sty m:val="p"/>
            </m:rPr>
            <w:rPr>
              <w:rFonts w:ascii="Cambria Math" w:hAnsi="Cambria Math"/>
            </w:rPr>
            <m:t>&gt;</m:t>
          </m:r>
          <m:r>
            <w:rPr>
              <w:rFonts w:ascii="Cambria Math" w:hAnsi="Cambria Math"/>
            </w:rPr>
            <m:t>Q</m:t>
          </m:r>
          <m:sSub>
            <m:sSubPr>
              <m:ctrlPr>
                <w:rPr>
                  <w:rFonts w:ascii="Cambria Math" w:hAnsi="Cambria Math"/>
                </w:rPr>
              </m:ctrlPr>
            </m:sSubPr>
            <m:e>
              <m:r>
                <w:rPr>
                  <w:rFonts w:ascii="Cambria Math" w:hAnsi="Cambria Math"/>
                </w:rPr>
                <m:t>3</m:t>
              </m:r>
            </m:e>
            <m:sub>
              <m:r>
                <w:rPr>
                  <w:rFonts w:ascii="Cambria Math" w:hAnsi="Cambria Math"/>
                </w:rPr>
                <m:t>w</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IQ</m:t>
          </m:r>
          <m:sSub>
            <m:sSubPr>
              <m:ctrlPr>
                <w:rPr>
                  <w:rFonts w:ascii="Cambria Math" w:hAnsi="Cambria Math"/>
                </w:rPr>
              </m:ctrlPr>
            </m:sSubPr>
            <m:e>
              <m:r>
                <w:rPr>
                  <w:rFonts w:ascii="Cambria Math" w:hAnsi="Cambria Math"/>
                </w:rPr>
                <m:t>R</m:t>
              </m:r>
            </m:e>
            <m:sub>
              <m:r>
                <w:rPr>
                  <w:rFonts w:ascii="Cambria Math" w:hAnsi="Cambria Math"/>
                </w:rPr>
                <m:t>w</m:t>
              </m:r>
            </m:sub>
          </m:sSub>
        </m:oMath>
      </m:oMathPara>
    </w:p>
    <w:p w:rsidR="00184767" w:rsidRDefault="00F36A65" w:rsidP="00387E3D">
      <w:pPr>
        <w:jc w:val="both"/>
      </w:pPr>
      <w:r>
        <w:t xml:space="preserve">Cette règle conservatrice (vs. le classique IQR × 1,5) préserve la variabilité naturelle des rendements agricoles tout en éliminant les erreurs de saisie manifestes. Elle a conduit à l’exclusion de </w:t>
      </w:r>
      <w:r>
        <w:rPr>
          <w:b/>
          <w:bCs/>
        </w:rPr>
        <w:t>93 parcelles de maïs (3,9%)</w:t>
      </w:r>
      <w:r>
        <w:t xml:space="preserve"> et </w:t>
      </w:r>
      <w:r>
        <w:rPr>
          <w:b/>
          <w:bCs/>
        </w:rPr>
        <w:t>32 parcelles de millet (3,3</w:t>
      </w:r>
      <w:r>
        <w:rPr>
          <w:b/>
          <w:bCs/>
        </w:rPr>
        <w:t>%)</w:t>
      </w:r>
      <w:r>
        <w:t>.</w:t>
      </w:r>
    </w:p>
    <w:p w:rsidR="00184767" w:rsidRDefault="00F36A65" w:rsidP="00387E3D">
      <w:pPr>
        <w:pStyle w:val="Titre2"/>
      </w:pPr>
      <w:bookmarkStart w:id="17" w:name="plan-de-sondage-et-inférence"/>
      <w:bookmarkStart w:id="18" w:name="_Toc227529488"/>
      <w:bookmarkEnd w:id="15"/>
      <w:r>
        <w:t>4.3 Plan de sondage et inférence</w:t>
      </w:r>
      <w:bookmarkEnd w:id="18"/>
    </w:p>
    <w:p w:rsidR="00184767" w:rsidRDefault="00F36A65" w:rsidP="00387E3D">
      <w:pPr>
        <w:jc w:val="both"/>
      </w:pPr>
      <w:r>
        <w:t>Le GHS Panel W4 utilise un sondage stratifié à deux degrés — les strates étant définies par le croisement État × zone (rural/urbain), et les unités primaires de sondage étant les Enumeration Areas (EA). Le plan est déclaré via le package srvyr :</w:t>
      </w:r>
    </w:p>
    <w:p w:rsidR="00184767" w:rsidRDefault="00F36A65" w:rsidP="00387E3D">
      <w:pPr>
        <w:pStyle w:val="SourceCode"/>
        <w:jc w:val="both"/>
      </w:pPr>
      <w:r>
        <w:rPr>
          <w:rStyle w:val="NormalTok"/>
        </w:rPr>
        <w:t xml:space="preserve">design </w:t>
      </w:r>
      <w:r>
        <w:rPr>
          <w:rStyle w:val="OtherTok"/>
        </w:rPr>
        <w:t>&lt;-</w:t>
      </w:r>
      <w:r>
        <w:rPr>
          <w:rStyle w:val="NormalTok"/>
        </w:rPr>
        <w:t xml:space="preserve"> </w:t>
      </w:r>
      <w:r>
        <w:rPr>
          <w:rStyle w:val="NormalTok"/>
        </w:rPr>
        <w:t xml:space="preserve">data </w:t>
      </w:r>
      <w:r>
        <w:rPr>
          <w:rStyle w:val="SpecialCharTok"/>
        </w:rPr>
        <w:t>%&gt;%</w:t>
      </w:r>
      <w:r>
        <w:br/>
      </w:r>
      <w:r>
        <w:rPr>
          <w:rStyle w:val="NormalTok"/>
        </w:rPr>
        <w:t xml:space="preserve">  </w:t>
      </w:r>
      <w:r>
        <w:rPr>
          <w:rStyle w:val="FunctionTok"/>
        </w:rPr>
        <w:t>as_survey_design</w:t>
      </w:r>
      <w:r>
        <w:rPr>
          <w:rStyle w:val="NormalTok"/>
        </w:rPr>
        <w:t>(</w:t>
      </w:r>
      <w:r>
        <w:rPr>
          <w:rStyle w:val="AttributeTok"/>
        </w:rPr>
        <w:t>ids =</w:t>
      </w:r>
      <w:r>
        <w:rPr>
          <w:rStyle w:val="NormalTok"/>
        </w:rPr>
        <w:t xml:space="preserve"> ea, </w:t>
      </w:r>
      <w:r>
        <w:rPr>
          <w:rStyle w:val="AttributeTok"/>
        </w:rPr>
        <w:t>strata =</w:t>
      </w:r>
      <w:r>
        <w:rPr>
          <w:rStyle w:val="NormalTok"/>
        </w:rPr>
        <w:t xml:space="preserve"> sector,</w:t>
      </w:r>
      <w:r>
        <w:br/>
      </w:r>
      <w:r>
        <w:rPr>
          <w:rStyle w:val="NormalTok"/>
        </w:rPr>
        <w:t xml:space="preserve">                   </w:t>
      </w:r>
      <w:r>
        <w:rPr>
          <w:rStyle w:val="AttributeTok"/>
        </w:rPr>
        <w:t>weights =</w:t>
      </w:r>
      <w:r>
        <w:rPr>
          <w:rStyle w:val="NormalTok"/>
        </w:rPr>
        <w:t xml:space="preserve"> wt_wave4, </w:t>
      </w:r>
      <w:r>
        <w:rPr>
          <w:rStyle w:val="AttributeTok"/>
        </w:rPr>
        <w:t>nest =</w:t>
      </w:r>
      <w:r>
        <w:rPr>
          <w:rStyle w:val="NormalTok"/>
        </w:rPr>
        <w:t xml:space="preserve"> </w:t>
      </w:r>
      <w:r>
        <w:rPr>
          <w:rStyle w:val="ConstantTok"/>
        </w:rPr>
        <w:t>TRUE</w:t>
      </w:r>
      <w:r>
        <w:rPr>
          <w:rStyle w:val="NormalTok"/>
        </w:rPr>
        <w:t>)</w:t>
      </w:r>
    </w:p>
    <w:p w:rsidR="00184767" w:rsidRDefault="00F36A65" w:rsidP="00387E3D">
      <w:pPr>
        <w:jc w:val="both"/>
      </w:pPr>
      <w:r>
        <w:t>Toutes les statistiques (proportions, moyennes, médianes, tests) intègrent cette structure complexe. Les tests de comparaison utilisent svyranktest()</w:t>
      </w:r>
      <w:r>
        <w:t xml:space="preserve"> (version pondérée du test de Wilcoxon), adapté à la non-normalité des distributions de rendements.</w:t>
      </w:r>
    </w:p>
    <w:p w:rsidR="00184767" w:rsidRDefault="00F36A65" w:rsidP="00387E3D">
      <w:pPr>
        <w:jc w:val="both"/>
      </w:pPr>
      <w:r>
        <w:br w:type="page"/>
      </w:r>
    </w:p>
    <w:p w:rsidR="00184767" w:rsidRDefault="00F36A65" w:rsidP="00387E3D">
      <w:pPr>
        <w:pStyle w:val="Titre1"/>
      </w:pPr>
      <w:bookmarkStart w:id="19" w:name="résultats"/>
      <w:bookmarkStart w:id="20" w:name="_Toc227529489"/>
      <w:bookmarkEnd w:id="11"/>
      <w:bookmarkEnd w:id="17"/>
      <w:r>
        <w:lastRenderedPageBreak/>
        <w:t>5. Résultats</w:t>
      </w:r>
      <w:bookmarkEnd w:id="20"/>
    </w:p>
    <w:p w:rsidR="00184767" w:rsidRDefault="00F36A65" w:rsidP="00387E3D">
      <w:pPr>
        <w:pStyle w:val="Titre2"/>
      </w:pPr>
      <w:bookmarkStart w:id="21" w:name="q25-top-15-des-cultures-pratiquées"/>
      <w:bookmarkStart w:id="22" w:name="_Toc227529490"/>
      <w:r>
        <w:t>5.1 Q25 — Top 15 des cultures pratiquées</w:t>
      </w:r>
      <w:bookmarkEnd w:id="22"/>
    </w:p>
    <w:p w:rsidR="00184767" w:rsidRDefault="00F36A65" w:rsidP="00387E3D">
      <w:pPr>
        <w:jc w:val="both"/>
      </w:pPr>
      <w:r>
        <w:rPr>
          <w:noProof/>
          <w:lang w:eastAsia="fr-FR"/>
        </w:rPr>
        <w:drawing>
          <wp:inline distT="0" distB="0" distL="0" distR="0">
            <wp:extent cx="5753100" cy="4027170"/>
            <wp:effectExtent l="0" t="0" r="0" b="0"/>
            <wp:docPr id="30" name="Picture" descr="Figure 1 — Top 15 des cultures pratiquées au Nigeria (W4, 2018-2019). Fréquence pondérée = % de ménages ayant récolté chaque culture. Source : secta3i + secta3ii harvestw4."/>
            <wp:cNvGraphicFramePr/>
            <a:graphic xmlns:a="http://schemas.openxmlformats.org/drawingml/2006/main">
              <a:graphicData uri="http://schemas.openxmlformats.org/drawingml/2006/picture">
                <pic:pic xmlns:pic="http://schemas.openxmlformats.org/drawingml/2006/picture">
                  <pic:nvPicPr>
                    <pic:cNvPr id="31" name="Picture" descr="tp5_rapport_final_files/outputs/figures/Q25_top15_cultures.png"/>
                    <pic:cNvPicPr>
                      <a:picLocks noChangeAspect="1" noChangeArrowheads="1"/>
                    </pic:cNvPicPr>
                  </pic:nvPicPr>
                  <pic:blipFill>
                    <a:blip r:embed="rId7"/>
                    <a:stretch>
                      <a:fillRect/>
                    </a:stretch>
                  </pic:blipFill>
                  <pic:spPr bwMode="auto">
                    <a:xfrm>
                      <a:off x="0" y="0"/>
                      <a:ext cx="5753100" cy="4027170"/>
                    </a:xfrm>
                    <a:prstGeom prst="rect">
                      <a:avLst/>
                    </a:prstGeom>
                    <a:noFill/>
                    <a:ln w="9525">
                      <a:noFill/>
                      <a:headEnd/>
                      <a:tailEnd/>
                    </a:ln>
                  </pic:spPr>
                </pic:pic>
              </a:graphicData>
            </a:graphic>
          </wp:inline>
        </w:drawing>
      </w:r>
    </w:p>
    <w:p w:rsidR="00184767" w:rsidRDefault="00F36A65" w:rsidP="00387E3D">
      <w:pPr>
        <w:jc w:val="both"/>
      </w:pPr>
      <w:r>
        <w:t>Figure 1 — Top 15 des cultures pratiquées au Nigeria (W4, 2018-2019). Fréquence pondérée = % de mé</w:t>
      </w:r>
      <w:r>
        <w:t>nages ayant récolté chaque culture. Source : secta3i + secta3ii harvestw4.</w:t>
      </w:r>
    </w:p>
    <w:p w:rsidR="00184767" w:rsidRDefault="00F36A65" w:rsidP="00387E3D">
      <w:pPr>
        <w:jc w:val="both"/>
      </w:pPr>
      <w:r>
        <w:t xml:space="preserve">Le maïs et le cassava dominent le paysage agricole nigérian, cultivés respectivement par </w:t>
      </w:r>
      <w:r>
        <w:rPr>
          <w:b/>
          <w:bCs/>
        </w:rPr>
        <w:t>49,8%</w:t>
      </w:r>
      <w:r>
        <w:t xml:space="preserve"> et </w:t>
      </w:r>
      <w:r>
        <w:rPr>
          <w:b/>
          <w:bCs/>
        </w:rPr>
        <w:t>46,3%</w:t>
      </w:r>
      <w:r>
        <w:t xml:space="preserve"> des ménages. Les céréales (maïs, sorgho, millet, riz) représentent les cultur</w:t>
      </w:r>
      <w:r>
        <w:t>es les plus répandues, présentes dans toutes les zones géopolitiques. Les tubercules (cassava, igname blanche, cocoyam) occupent une place majeure dans l’alimentation de base, notamment dans les zones humides du Sud. Les légumineuses (niébé, arachide, soja</w:t>
      </w:r>
      <w:r>
        <w:t>) jouent un rôle clé dans la diversification et la fixation d’azote. En revanche, les cultures de rente (palmier à huile, cacao, plantain, kolanut) et les légumes (okro, potiron) sont moins répandus, bien qu’importants dans certaines zones spécialisées.</w:t>
      </w:r>
    </w:p>
    <w:p w:rsidR="00184767" w:rsidRDefault="00F36A65" w:rsidP="00387E3D">
      <w:pPr>
        <w:pStyle w:val="Titre2"/>
      </w:pPr>
      <w:bookmarkStart w:id="23" w:name="X905997c90040d659add69f9a71479b292f60530"/>
      <w:bookmarkStart w:id="24" w:name="_Toc227529491"/>
      <w:bookmarkEnd w:id="21"/>
      <w:r>
        <w:lastRenderedPageBreak/>
        <w:t>5.</w:t>
      </w:r>
      <w:r>
        <w:t>2 Q26 — Diversification culturale des ménages</w:t>
      </w:r>
      <w:bookmarkEnd w:id="24"/>
    </w:p>
    <w:p w:rsidR="00184767" w:rsidRDefault="00F36A65" w:rsidP="00387E3D">
      <w:pPr>
        <w:jc w:val="both"/>
      </w:pPr>
      <w:r>
        <w:rPr>
          <w:noProof/>
          <w:lang w:eastAsia="fr-FR"/>
        </w:rPr>
        <w:drawing>
          <wp:inline distT="0" distB="0" distL="0" distR="0">
            <wp:extent cx="5753100" cy="6903720"/>
            <wp:effectExtent l="0" t="0" r="0" b="0"/>
            <wp:docPr id="34" name="Picture" descr="Figure 2 — Distribution du nombre de cultures par ménage (histogramme) et comparaison rural/urbain (violin plot). Test de Wilcoxon pondéré (svyranktest)."/>
            <wp:cNvGraphicFramePr/>
            <a:graphic xmlns:a="http://schemas.openxmlformats.org/drawingml/2006/main">
              <a:graphicData uri="http://schemas.openxmlformats.org/drawingml/2006/picture">
                <pic:pic xmlns:pic="http://schemas.openxmlformats.org/drawingml/2006/picture">
                  <pic:nvPicPr>
                    <pic:cNvPr id="35" name="Picture" descr="tp5_rapport_final_files/outputs/figures/Q26_diversification.png"/>
                    <pic:cNvPicPr>
                      <a:picLocks noChangeAspect="1" noChangeArrowheads="1"/>
                    </pic:cNvPicPr>
                  </pic:nvPicPr>
                  <pic:blipFill>
                    <a:blip r:embed="rId8"/>
                    <a:stretch>
                      <a:fillRect/>
                    </a:stretch>
                  </pic:blipFill>
                  <pic:spPr bwMode="auto">
                    <a:xfrm>
                      <a:off x="0" y="0"/>
                      <a:ext cx="5753100" cy="6903720"/>
                    </a:xfrm>
                    <a:prstGeom prst="rect">
                      <a:avLst/>
                    </a:prstGeom>
                    <a:noFill/>
                    <a:ln w="9525">
                      <a:noFill/>
                      <a:headEnd/>
                      <a:tailEnd/>
                    </a:ln>
                  </pic:spPr>
                </pic:pic>
              </a:graphicData>
            </a:graphic>
          </wp:inline>
        </w:drawing>
      </w:r>
    </w:p>
    <w:p w:rsidR="00184767" w:rsidRDefault="00F36A65" w:rsidP="00387E3D">
      <w:pPr>
        <w:jc w:val="both"/>
      </w:pPr>
      <w:r>
        <w:t>Figure 2 — Distribution du nombre de cultures par ménage (histogramme) et comparaison rural/urbain (violin plot). Test de Wilcoxon pondéré (svyranktest).</w:t>
      </w:r>
    </w:p>
    <w:p w:rsidR="00184767" w:rsidRDefault="00F36A65" w:rsidP="00387E3D">
      <w:pPr>
        <w:jc w:val="both"/>
      </w:pPr>
      <w:r>
        <w:t xml:space="preserve">Tableau 3 — Statistiques de diversification culturale </w:t>
      </w:r>
      <w:r>
        <w:t>par zone</w:t>
      </w:r>
    </w:p>
    <w:tbl>
      <w:tblPr>
        <w:tblW w:w="0" w:type="auto"/>
        <w:tblLook w:val="0020" w:firstRow="1" w:lastRow="0" w:firstColumn="0" w:lastColumn="0" w:noHBand="0" w:noVBand="0"/>
        <w:tblCaption w:val="Tableau 3 — Statistiques de diversification culturale par zone"/>
      </w:tblPr>
      <w:tblGrid>
        <w:gridCol w:w="1312"/>
        <w:gridCol w:w="1213"/>
        <w:gridCol w:w="1011"/>
        <w:gridCol w:w="1070"/>
        <w:gridCol w:w="476"/>
        <w:gridCol w:w="476"/>
        <w:gridCol w:w="1123"/>
      </w:tblGrid>
      <w:tr w:rsidR="00184767">
        <w:trPr>
          <w:tblHeader/>
        </w:trPr>
        <w:tc>
          <w:tcPr>
            <w:tcW w:w="0" w:type="auto"/>
          </w:tcPr>
          <w:p w:rsidR="00184767" w:rsidRDefault="00F36A65" w:rsidP="00387E3D">
            <w:pPr>
              <w:jc w:val="both"/>
            </w:pPr>
            <w:r>
              <w:t>sector_label</w:t>
            </w:r>
          </w:p>
        </w:tc>
        <w:tc>
          <w:tcPr>
            <w:tcW w:w="0" w:type="auto"/>
          </w:tcPr>
          <w:p w:rsidR="00184767" w:rsidRDefault="00F36A65" w:rsidP="00387E3D">
            <w:pPr>
              <w:jc w:val="both"/>
            </w:pPr>
            <w:r>
              <w:t>N ménages</w:t>
            </w:r>
          </w:p>
        </w:tc>
        <w:tc>
          <w:tcPr>
            <w:tcW w:w="0" w:type="auto"/>
          </w:tcPr>
          <w:p w:rsidR="00184767" w:rsidRDefault="00F36A65" w:rsidP="00387E3D">
            <w:pPr>
              <w:jc w:val="both"/>
            </w:pPr>
            <w:r>
              <w:t>Médiane</w:t>
            </w:r>
          </w:p>
        </w:tc>
        <w:tc>
          <w:tcPr>
            <w:tcW w:w="0" w:type="auto"/>
          </w:tcPr>
          <w:p w:rsidR="00184767" w:rsidRDefault="00F36A65" w:rsidP="00387E3D">
            <w:pPr>
              <w:jc w:val="both"/>
            </w:pPr>
            <w:r>
              <w:t>Moyenne</w:t>
            </w:r>
          </w:p>
        </w:tc>
        <w:tc>
          <w:tcPr>
            <w:tcW w:w="0" w:type="auto"/>
          </w:tcPr>
          <w:p w:rsidR="00184767" w:rsidRDefault="00F36A65" w:rsidP="00387E3D">
            <w:pPr>
              <w:jc w:val="both"/>
            </w:pPr>
            <w:r>
              <w:t>Q1</w:t>
            </w:r>
          </w:p>
        </w:tc>
        <w:tc>
          <w:tcPr>
            <w:tcW w:w="0" w:type="auto"/>
          </w:tcPr>
          <w:p w:rsidR="00184767" w:rsidRDefault="00F36A65" w:rsidP="00387E3D">
            <w:pPr>
              <w:jc w:val="both"/>
            </w:pPr>
            <w:r>
              <w:t>Q3</w:t>
            </w:r>
          </w:p>
        </w:tc>
        <w:tc>
          <w:tcPr>
            <w:tcW w:w="0" w:type="auto"/>
          </w:tcPr>
          <w:p w:rsidR="00184767" w:rsidRDefault="00F36A65" w:rsidP="00387E3D">
            <w:pPr>
              <w:jc w:val="both"/>
            </w:pPr>
            <w:r>
              <w:t>Maximum</w:t>
            </w:r>
          </w:p>
        </w:tc>
      </w:tr>
      <w:tr w:rsidR="00184767">
        <w:tc>
          <w:tcPr>
            <w:tcW w:w="0" w:type="auto"/>
          </w:tcPr>
          <w:p w:rsidR="00184767" w:rsidRDefault="00F36A65" w:rsidP="00387E3D">
            <w:pPr>
              <w:jc w:val="both"/>
            </w:pPr>
            <w:r>
              <w:t>Rural</w:t>
            </w:r>
          </w:p>
        </w:tc>
        <w:tc>
          <w:tcPr>
            <w:tcW w:w="0" w:type="auto"/>
          </w:tcPr>
          <w:p w:rsidR="00184767" w:rsidRDefault="00F36A65" w:rsidP="00387E3D">
            <w:pPr>
              <w:jc w:val="both"/>
            </w:pPr>
            <w:r>
              <w:t>2911</w:t>
            </w:r>
          </w:p>
        </w:tc>
        <w:tc>
          <w:tcPr>
            <w:tcW w:w="0" w:type="auto"/>
          </w:tcPr>
          <w:p w:rsidR="00184767" w:rsidRDefault="00F36A65" w:rsidP="00387E3D">
            <w:pPr>
              <w:jc w:val="both"/>
            </w:pPr>
            <w:r>
              <w:t>3</w:t>
            </w:r>
          </w:p>
        </w:tc>
        <w:tc>
          <w:tcPr>
            <w:tcW w:w="0" w:type="auto"/>
          </w:tcPr>
          <w:p w:rsidR="00184767" w:rsidRDefault="00F36A65" w:rsidP="00387E3D">
            <w:pPr>
              <w:jc w:val="both"/>
            </w:pPr>
            <w:r>
              <w:t>3.14</w:t>
            </w:r>
          </w:p>
        </w:tc>
        <w:tc>
          <w:tcPr>
            <w:tcW w:w="0" w:type="auto"/>
          </w:tcPr>
          <w:p w:rsidR="00184767" w:rsidRDefault="00F36A65" w:rsidP="00387E3D">
            <w:pPr>
              <w:jc w:val="both"/>
            </w:pPr>
            <w:r>
              <w:t>2</w:t>
            </w:r>
          </w:p>
        </w:tc>
        <w:tc>
          <w:tcPr>
            <w:tcW w:w="0" w:type="auto"/>
          </w:tcPr>
          <w:p w:rsidR="00184767" w:rsidRDefault="00F36A65" w:rsidP="00387E3D">
            <w:pPr>
              <w:jc w:val="both"/>
            </w:pPr>
            <w:r>
              <w:t>4</w:t>
            </w:r>
          </w:p>
        </w:tc>
        <w:tc>
          <w:tcPr>
            <w:tcW w:w="0" w:type="auto"/>
          </w:tcPr>
          <w:p w:rsidR="00184767" w:rsidRDefault="00F36A65" w:rsidP="00387E3D">
            <w:pPr>
              <w:jc w:val="both"/>
            </w:pPr>
            <w:r>
              <w:t>18</w:t>
            </w:r>
          </w:p>
        </w:tc>
      </w:tr>
      <w:tr w:rsidR="00184767">
        <w:tc>
          <w:tcPr>
            <w:tcW w:w="0" w:type="auto"/>
          </w:tcPr>
          <w:p w:rsidR="00184767" w:rsidRDefault="00F36A65" w:rsidP="00387E3D">
            <w:pPr>
              <w:jc w:val="both"/>
            </w:pPr>
            <w:r>
              <w:lastRenderedPageBreak/>
              <w:t>Urban</w:t>
            </w:r>
          </w:p>
        </w:tc>
        <w:tc>
          <w:tcPr>
            <w:tcW w:w="0" w:type="auto"/>
          </w:tcPr>
          <w:p w:rsidR="00184767" w:rsidRDefault="00F36A65" w:rsidP="00387E3D">
            <w:pPr>
              <w:jc w:val="both"/>
            </w:pPr>
            <w:r>
              <w:t>542</w:t>
            </w:r>
          </w:p>
        </w:tc>
        <w:tc>
          <w:tcPr>
            <w:tcW w:w="0" w:type="auto"/>
          </w:tcPr>
          <w:p w:rsidR="00184767" w:rsidRDefault="00F36A65" w:rsidP="00387E3D">
            <w:pPr>
              <w:jc w:val="both"/>
            </w:pPr>
            <w:r>
              <w:t>2</w:t>
            </w:r>
          </w:p>
        </w:tc>
        <w:tc>
          <w:tcPr>
            <w:tcW w:w="0" w:type="auto"/>
          </w:tcPr>
          <w:p w:rsidR="00184767" w:rsidRDefault="00F36A65" w:rsidP="00387E3D">
            <w:pPr>
              <w:jc w:val="both"/>
            </w:pPr>
            <w:r>
              <w:t>2.85</w:t>
            </w:r>
          </w:p>
        </w:tc>
        <w:tc>
          <w:tcPr>
            <w:tcW w:w="0" w:type="auto"/>
          </w:tcPr>
          <w:p w:rsidR="00184767" w:rsidRDefault="00F36A65" w:rsidP="00387E3D">
            <w:pPr>
              <w:jc w:val="both"/>
            </w:pPr>
            <w:r>
              <w:t>2</w:t>
            </w:r>
          </w:p>
        </w:tc>
        <w:tc>
          <w:tcPr>
            <w:tcW w:w="0" w:type="auto"/>
          </w:tcPr>
          <w:p w:rsidR="00184767" w:rsidRDefault="00F36A65" w:rsidP="00387E3D">
            <w:pPr>
              <w:jc w:val="both"/>
            </w:pPr>
            <w:r>
              <w:t>4</w:t>
            </w:r>
          </w:p>
        </w:tc>
        <w:tc>
          <w:tcPr>
            <w:tcW w:w="0" w:type="auto"/>
          </w:tcPr>
          <w:p w:rsidR="00184767" w:rsidRDefault="00F36A65" w:rsidP="00387E3D">
            <w:pPr>
              <w:jc w:val="both"/>
            </w:pPr>
            <w:r>
              <w:t>11</w:t>
            </w:r>
          </w:p>
        </w:tc>
      </w:tr>
    </w:tbl>
    <w:p w:rsidR="00184767" w:rsidRDefault="00F36A65" w:rsidP="00387E3D">
      <w:pPr>
        <w:jc w:val="both"/>
      </w:pPr>
      <w:r>
        <w:t xml:space="preserve">La médiane du nombre de cultures par ménage est de </w:t>
      </w:r>
      <w:r>
        <w:rPr>
          <w:b/>
          <w:bCs/>
        </w:rPr>
        <w:t>3</w:t>
      </w:r>
      <w:r>
        <w:t xml:space="preserve"> </w:t>
      </w:r>
      <w:r>
        <w:t>(IQR : 2-4), avec 75% des ménages cultivant au moins 2 espèces distinctes. La distribution est asymétrique à droite — la majorité des ménages cultivent 2 à 4 cultures, mais quelques exploitations intègrent jusqu’à 11 cultures différentes. Le test de Wilcox</w:t>
      </w:r>
      <w:r>
        <w:t xml:space="preserve">on pondéré ne révèle </w:t>
      </w:r>
      <w:r>
        <w:rPr>
          <w:b/>
          <w:bCs/>
        </w:rPr>
        <w:t>pas de différence significative</w:t>
      </w:r>
      <w:r>
        <w:t xml:space="preserve"> entre zones rurales et urbaines (p = 0,131, r = 0,120 — effet faible). Ce résultat suggère que la polyculture est une stratégie universelle de résilience, adoptée indépendamment du milieu de résidence, p</w:t>
      </w:r>
      <w:r>
        <w:t>robablement pour diversifier les sources alimentaires et minimiser les risques climatiques.</w:t>
      </w:r>
    </w:p>
    <w:p w:rsidR="00184767" w:rsidRDefault="00F36A65" w:rsidP="00387E3D">
      <w:pPr>
        <w:pStyle w:val="Titre2"/>
      </w:pPr>
      <w:bookmarkStart w:id="25" w:name="q27-utilisation-des-engrais"/>
      <w:bookmarkStart w:id="26" w:name="_Toc227529492"/>
      <w:bookmarkEnd w:id="23"/>
      <w:r>
        <w:t>5.3 Q27 — Utilisation des engrais</w:t>
      </w:r>
      <w:bookmarkEnd w:id="26"/>
    </w:p>
    <w:p w:rsidR="00184767" w:rsidRDefault="00F36A65" w:rsidP="00387E3D">
      <w:pPr>
        <w:pStyle w:val="Titre3"/>
      </w:pPr>
      <w:bookmarkStart w:id="27" w:name="suivant-le-milieu-rural-ou-urbain"/>
      <w:bookmarkStart w:id="28" w:name="_Toc227529493"/>
      <w:r>
        <w:t>Suivant le milieu rural ou urbain</w:t>
      </w:r>
      <w:bookmarkEnd w:id="28"/>
    </w:p>
    <w:p w:rsidR="00184767" w:rsidRDefault="00F36A65" w:rsidP="00387E3D">
      <w:pPr>
        <w:jc w:val="both"/>
      </w:pPr>
      <w:r>
        <w:t>Tableau 4 — Taux d’adoption des engrais (pondéré, niveau national)</w:t>
      </w:r>
    </w:p>
    <w:tbl>
      <w:tblPr>
        <w:tblW w:w="0" w:type="auto"/>
        <w:tblLook w:val="0020" w:firstRow="1" w:lastRow="0" w:firstColumn="0" w:lastColumn="0" w:noHBand="0" w:noVBand="0"/>
        <w:tblCaption w:val="Tableau 4 — Taux d’adoption des engrais (pondéré, niveau national)"/>
      </w:tblPr>
      <w:tblGrid>
        <w:gridCol w:w="1572"/>
        <w:gridCol w:w="927"/>
        <w:gridCol w:w="994"/>
        <w:gridCol w:w="1495"/>
      </w:tblGrid>
      <w:tr w:rsidR="00184767">
        <w:trPr>
          <w:tblHeader/>
        </w:trPr>
        <w:tc>
          <w:tcPr>
            <w:tcW w:w="0" w:type="auto"/>
          </w:tcPr>
          <w:p w:rsidR="00184767" w:rsidRDefault="00F36A65" w:rsidP="00387E3D">
            <w:pPr>
              <w:jc w:val="both"/>
            </w:pPr>
            <w:r>
              <w:t>Taux global (%)</w:t>
            </w:r>
          </w:p>
        </w:tc>
        <w:tc>
          <w:tcPr>
            <w:tcW w:w="0" w:type="auto"/>
          </w:tcPr>
          <w:p w:rsidR="00184767" w:rsidRDefault="00F36A65" w:rsidP="00387E3D">
            <w:pPr>
              <w:jc w:val="both"/>
            </w:pPr>
            <w:r>
              <w:t>NPK (%)</w:t>
            </w:r>
          </w:p>
        </w:tc>
        <w:tc>
          <w:tcPr>
            <w:tcW w:w="0" w:type="auto"/>
          </w:tcPr>
          <w:p w:rsidR="00184767" w:rsidRDefault="00F36A65" w:rsidP="00387E3D">
            <w:pPr>
              <w:jc w:val="both"/>
            </w:pPr>
            <w:r>
              <w:t xml:space="preserve">Urée </w:t>
            </w:r>
            <w:r>
              <w:t>(%)</w:t>
            </w:r>
          </w:p>
        </w:tc>
        <w:tc>
          <w:tcPr>
            <w:tcW w:w="0" w:type="auto"/>
          </w:tcPr>
          <w:p w:rsidR="00184767" w:rsidRDefault="00F36A65" w:rsidP="00387E3D">
            <w:pPr>
              <w:jc w:val="both"/>
            </w:pPr>
            <w:r>
              <w:t>Organique (%)</w:t>
            </w:r>
          </w:p>
        </w:tc>
      </w:tr>
      <w:tr w:rsidR="00184767">
        <w:tc>
          <w:tcPr>
            <w:tcW w:w="0" w:type="auto"/>
          </w:tcPr>
          <w:p w:rsidR="00184767" w:rsidRDefault="00F36A65" w:rsidP="00387E3D">
            <w:pPr>
              <w:jc w:val="both"/>
            </w:pPr>
            <w:r>
              <w:t>50.4</w:t>
            </w:r>
          </w:p>
        </w:tc>
        <w:tc>
          <w:tcPr>
            <w:tcW w:w="0" w:type="auto"/>
          </w:tcPr>
          <w:p w:rsidR="00184767" w:rsidRDefault="00F36A65" w:rsidP="00387E3D">
            <w:pPr>
              <w:jc w:val="both"/>
            </w:pPr>
            <w:r>
              <w:t>34.9</w:t>
            </w:r>
          </w:p>
        </w:tc>
        <w:tc>
          <w:tcPr>
            <w:tcW w:w="0" w:type="auto"/>
          </w:tcPr>
          <w:p w:rsidR="00184767" w:rsidRDefault="00F36A65" w:rsidP="00387E3D">
            <w:pPr>
              <w:jc w:val="both"/>
            </w:pPr>
            <w:r>
              <w:t>23.9</w:t>
            </w:r>
          </w:p>
        </w:tc>
        <w:tc>
          <w:tcPr>
            <w:tcW w:w="0" w:type="auto"/>
          </w:tcPr>
          <w:p w:rsidR="00184767" w:rsidRDefault="00F36A65" w:rsidP="00387E3D">
            <w:pPr>
              <w:jc w:val="both"/>
            </w:pPr>
            <w:r>
              <w:t>27.9</w:t>
            </w:r>
          </w:p>
        </w:tc>
      </w:tr>
    </w:tbl>
    <w:p w:rsidR="00184767" w:rsidRDefault="00F36A65" w:rsidP="00387E3D">
      <w:pPr>
        <w:jc w:val="both"/>
      </w:pPr>
      <w:r>
        <w:t>Les résultats pondérés à l’échelle nationale indiquent que plus de la moitié des parcelles nigérianes (50,4%) bénéficient d’un apport nutritif. Cependant, cette moyenne cache une fracture territoriale : le secteur rural affiche un taux d’adoption global de</w:t>
      </w:r>
      <w:r>
        <w:t xml:space="preserve"> 53% contre seulement 36% en zone urbaine.</w:t>
      </w:r>
    </w:p>
    <w:p w:rsidR="00184767" w:rsidRDefault="00F36A65" w:rsidP="00387E3D">
      <w:pPr>
        <w:jc w:val="both"/>
      </w:pPr>
      <w:r>
        <w:t>Le tableau ci-dessous présente les estimations nationales de l’usage des intrants. Ces chiffres ne sont pas de simples moyennes d’échantillon, mais des inférences statistiques pondérées représentatives de l’ensemb</w:t>
      </w:r>
      <w:r>
        <w:t>le des ménages agricoles du pays.</w:t>
      </w:r>
    </w:p>
    <w:p w:rsidR="00184767" w:rsidRDefault="00F36A65" w:rsidP="00387E3D">
      <w:pPr>
        <w:jc w:val="both"/>
      </w:pPr>
      <w:r>
        <w:rPr>
          <w:noProof/>
          <w:lang w:eastAsia="fr-FR"/>
        </w:rPr>
        <w:drawing>
          <wp:inline distT="0" distB="0" distL="0" distR="0">
            <wp:extent cx="5753100" cy="3588867"/>
            <wp:effectExtent l="0" t="0" r="0" b="0"/>
            <wp:docPr id="38" name="Picture" descr="Figure 2 — Distribution du nombre de cultures par ménage (histogramme) et comparaison rural/urbain (violin plot). Test de Wilcoxon pondéré (svyranktest). Source : secta3i + secta3ii harvestw4."/>
            <wp:cNvGraphicFramePr/>
            <a:graphic xmlns:a="http://schemas.openxmlformats.org/drawingml/2006/main">
              <a:graphicData uri="http://schemas.openxmlformats.org/drawingml/2006/picture">
                <pic:pic xmlns:pic="http://schemas.openxmlformats.org/drawingml/2006/picture">
                  <pic:nvPicPr>
                    <pic:cNvPr id="39" name="Picture" descr="tp5_rapport_final_files/outputs/figures/tableau_27.png"/>
                    <pic:cNvPicPr>
                      <a:picLocks noChangeAspect="1" noChangeArrowheads="1"/>
                    </pic:cNvPicPr>
                  </pic:nvPicPr>
                  <pic:blipFill>
                    <a:blip r:embed="rId9"/>
                    <a:stretch>
                      <a:fillRect/>
                    </a:stretch>
                  </pic:blipFill>
                  <pic:spPr bwMode="auto">
                    <a:xfrm>
                      <a:off x="0" y="0"/>
                      <a:ext cx="5753100" cy="3588867"/>
                    </a:xfrm>
                    <a:prstGeom prst="rect">
                      <a:avLst/>
                    </a:prstGeom>
                    <a:noFill/>
                    <a:ln w="9525">
                      <a:noFill/>
                      <a:headEnd/>
                      <a:tailEnd/>
                    </a:ln>
                  </pic:spPr>
                </pic:pic>
              </a:graphicData>
            </a:graphic>
          </wp:inline>
        </w:drawing>
      </w:r>
    </w:p>
    <w:p w:rsidR="00184767" w:rsidRDefault="00F36A65" w:rsidP="00387E3D">
      <w:pPr>
        <w:jc w:val="both"/>
      </w:pPr>
      <w:r>
        <w:t>Figure 2 — Distribution du nombre de cultures par ménage (histogramme) et comparaison rural/urbain (violin plot). Test de Wilcoxon pondéré (svyranktest). Source : secta3i + secta3ii harvestw4.</w:t>
      </w:r>
    </w:p>
    <w:p w:rsidR="00184767" w:rsidRDefault="00F36A65" w:rsidP="00387E3D">
      <w:pPr>
        <w:pStyle w:val="Titre3"/>
      </w:pPr>
      <w:bookmarkStart w:id="29" w:name="suivant-les-etas"/>
      <w:bookmarkStart w:id="30" w:name="_Toc227529494"/>
      <w:bookmarkEnd w:id="27"/>
      <w:r>
        <w:lastRenderedPageBreak/>
        <w:t>Suivant les Etas</w:t>
      </w:r>
      <w:bookmarkEnd w:id="30"/>
    </w:p>
    <w:p w:rsidR="00184767" w:rsidRDefault="00F36A65" w:rsidP="00387E3D">
      <w:pPr>
        <w:jc w:val="both"/>
      </w:pPr>
      <w:r>
        <w:rPr>
          <w:noProof/>
          <w:lang w:eastAsia="fr-FR"/>
        </w:rPr>
        <w:drawing>
          <wp:inline distT="0" distB="0" distL="0" distR="0">
            <wp:extent cx="5753100" cy="3835399"/>
            <wp:effectExtent l="0" t="0" r="0" b="0"/>
            <wp:docPr id="42" name="Picture" descr="Figure 2 — Distribution du nombre de cultures par ménage (histogramme) et comparaison rural/urbain (violin plot). Test de Wilcoxon pondéré (svyranktest). Source : secta3i + secta3ii harvestw4."/>
            <wp:cNvGraphicFramePr/>
            <a:graphic xmlns:a="http://schemas.openxmlformats.org/drawingml/2006/main">
              <a:graphicData uri="http://schemas.openxmlformats.org/drawingml/2006/picture">
                <pic:pic xmlns:pic="http://schemas.openxmlformats.org/drawingml/2006/picture">
                  <pic:nvPicPr>
                    <pic:cNvPr id="43" name="Picture" descr="tp5_rapport_final_files/outputs/figures/Q27_etats_comparatif_pondere.png"/>
                    <pic:cNvPicPr>
                      <a:picLocks noChangeAspect="1" noChangeArrowheads="1"/>
                    </pic:cNvPicPr>
                  </pic:nvPicPr>
                  <pic:blipFill>
                    <a:blip r:embed="rId10"/>
                    <a:stretch>
                      <a:fillRect/>
                    </a:stretch>
                  </pic:blipFill>
                  <pic:spPr bwMode="auto">
                    <a:xfrm>
                      <a:off x="0" y="0"/>
                      <a:ext cx="5753100" cy="3835399"/>
                    </a:xfrm>
                    <a:prstGeom prst="rect">
                      <a:avLst/>
                    </a:prstGeom>
                    <a:noFill/>
                    <a:ln w="9525">
                      <a:noFill/>
                      <a:headEnd/>
                      <a:tailEnd/>
                    </a:ln>
                  </pic:spPr>
                </pic:pic>
              </a:graphicData>
            </a:graphic>
          </wp:inline>
        </w:drawing>
      </w:r>
    </w:p>
    <w:p w:rsidR="00184767" w:rsidRDefault="00F36A65" w:rsidP="00387E3D">
      <w:pPr>
        <w:jc w:val="both"/>
      </w:pPr>
      <w:r>
        <w:t>Figure 2</w:t>
      </w:r>
      <w:r>
        <w:t xml:space="preserve"> — Distribution du nombre de cultures par ménage (histogramme) et comparaison rural/urbain (violin plot). Test de Wilcoxon pondéré (svyranktest). Source : secta3i + secta3ii harvestw4.</w:t>
      </w:r>
    </w:p>
    <w:p w:rsidR="00184767" w:rsidRDefault="00F36A65" w:rsidP="00387E3D">
      <w:pPr>
        <w:jc w:val="both"/>
      </w:pPr>
      <w:r>
        <w:t>L’analyse désagrégée au niveau des États (Figure 2) révèle des stratégi</w:t>
      </w:r>
      <w:r>
        <w:t>es de fertilisation contrastées, témoignant de l’adaptation des ménages aux conditions agro-écologiques et aux marchés locaux.</w:t>
      </w:r>
    </w:p>
    <w:p w:rsidR="00184767" w:rsidRDefault="00F36A65" w:rsidP="00387E3D">
      <w:pPr>
        <w:jc w:val="both"/>
      </w:pPr>
      <w:r>
        <w:rPr>
          <w:b/>
          <w:bCs/>
        </w:rPr>
        <w:t>Prédominance du NPK et de l’Urée dans la “Grain Belt”</w:t>
      </w:r>
    </w:p>
    <w:p w:rsidR="00184767" w:rsidRDefault="00F36A65" w:rsidP="00387E3D">
      <w:pPr>
        <w:jc w:val="both"/>
      </w:pPr>
      <w:r>
        <w:t>Dans les États de Kaduna, Kano et Katsina, on observe un taux d’adoption ma</w:t>
      </w:r>
      <w:r>
        <w:t>ssif des engrais minéraux.</w:t>
      </w:r>
    </w:p>
    <w:p w:rsidR="00184767" w:rsidRDefault="00F36A65" w:rsidP="00387E3D">
      <w:pPr>
        <w:jc w:val="both"/>
      </w:pPr>
      <w:r>
        <w:t>À Kaduna, le NPK atteint un sommet avec près de 90 % d’adoption, couplé à une utilisation d’Urée dépassant les 75 %. Ce profil est caractéristique d’une agriculture céréalière intensive (Maïs notamment).</w:t>
      </w:r>
    </w:p>
    <w:p w:rsidR="00184767" w:rsidRDefault="00F36A65" w:rsidP="00387E3D">
      <w:pPr>
        <w:jc w:val="both"/>
      </w:pPr>
      <w:r>
        <w:t>À Kano, l’adoption de l’o</w:t>
      </w:r>
      <w:r>
        <w:t>rganique est exceptionnellement élevée (~88 %), surpassant même le NPK. Cela indique une synergie forte entre l’élevage et les cultures dans cette zone.</w:t>
      </w:r>
    </w:p>
    <w:p w:rsidR="00184767" w:rsidRDefault="00F36A65" w:rsidP="00387E3D">
      <w:pPr>
        <w:jc w:val="both"/>
      </w:pPr>
      <w:r>
        <w:rPr>
          <w:b/>
          <w:bCs/>
        </w:rPr>
        <w:t>Le cas spécifique de Zamfara</w:t>
      </w:r>
    </w:p>
    <w:p w:rsidR="00184767" w:rsidRDefault="00F36A65" w:rsidP="00387E3D">
      <w:pPr>
        <w:jc w:val="both"/>
      </w:pPr>
      <w:r>
        <w:t>L’État de Zamfara présente un profil atypique : si le NPK et l’engrais organique sont largement utilisés (tous deux au-dessus de 75 %), l’usage de l’Urée y est marginal (moins de 15 %). Ce déficit en engrais de couverture pourrait constituer un goulot d’ét</w:t>
      </w:r>
      <w:r>
        <w:t>ranglement pour l’optimisation des rendements céréaliers dans cet État.</w:t>
      </w:r>
    </w:p>
    <w:p w:rsidR="00184767" w:rsidRDefault="00F36A65" w:rsidP="00387E3D">
      <w:pPr>
        <w:jc w:val="both"/>
      </w:pPr>
      <w:r>
        <w:rPr>
          <w:b/>
          <w:bCs/>
        </w:rPr>
        <w:t>Plateau : Une adoption plus équilibrée mais modérée</w:t>
      </w:r>
    </w:p>
    <w:p w:rsidR="00184767" w:rsidRDefault="00F36A65" w:rsidP="00387E3D">
      <w:pPr>
        <w:jc w:val="both"/>
      </w:pPr>
      <w:r>
        <w:t>L’État de Plateau montre des taux d’adoption plus homogènes entre les trois types d’intrants (entre 45 % et 80 %), mais avec une int</w:t>
      </w:r>
      <w:r>
        <w:t>ensité globale moindre que dans les États situés plus au Nord.</w:t>
      </w:r>
    </w:p>
    <w:p w:rsidR="00184767" w:rsidRDefault="00F36A65" w:rsidP="00387E3D">
      <w:pPr>
        <w:jc w:val="both"/>
      </w:pPr>
      <w:r>
        <w:lastRenderedPageBreak/>
        <w:t>Ces résultats soulignent que l’accès aux intrants n’est pas seulement une question de milieu (Rural vs Urbain), mais dépend fortement de la géographie politique. Les États du Nord restent les m</w:t>
      </w:r>
      <w:r>
        <w:t>oteurs de l’intensification minérale, tandis que l’engrais organique s’impose comme un pilier de la fertilité dans des zones comme Kano et Zamfara.</w:t>
      </w:r>
    </w:p>
    <w:p w:rsidR="00184767" w:rsidRDefault="00F36A65" w:rsidP="00387E3D">
      <w:pPr>
        <w:pStyle w:val="Titre2"/>
      </w:pPr>
      <w:bookmarkStart w:id="31" w:name="q28-rendements-agricoles-par-état"/>
      <w:bookmarkStart w:id="32" w:name="_Toc227529495"/>
      <w:bookmarkEnd w:id="25"/>
      <w:bookmarkEnd w:id="29"/>
      <w:r>
        <w:t>5.4 Q28 — Rendements agricoles par État</w:t>
      </w:r>
      <w:bookmarkEnd w:id="32"/>
    </w:p>
    <w:p w:rsidR="00184767" w:rsidRDefault="00F36A65" w:rsidP="00387E3D">
      <w:pPr>
        <w:jc w:val="both"/>
      </w:pPr>
      <w:r>
        <w:rPr>
          <w:noProof/>
          <w:lang w:eastAsia="fr-FR"/>
        </w:rPr>
        <w:drawing>
          <wp:inline distT="0" distB="0" distL="0" distR="0">
            <wp:extent cx="5753100" cy="4794250"/>
            <wp:effectExtent l="0" t="0" r="0" b="0"/>
            <wp:docPr id="47" name="Picture" descr="Figure 4 — Distribution des rendements à l’hectare pour le maïs et le millet par État (W4, 2018-2019). Culture principale identifiée par ménage (production maximale). Outliers exclus selon IQR × 3 pondéré. Source : secta3i_harvestw4 + sect11a1_plantingw4."/>
            <wp:cNvGraphicFramePr/>
            <a:graphic xmlns:a="http://schemas.openxmlformats.org/drawingml/2006/main">
              <a:graphicData uri="http://schemas.openxmlformats.org/drawingml/2006/picture">
                <pic:pic xmlns:pic="http://schemas.openxmlformats.org/drawingml/2006/picture">
                  <pic:nvPicPr>
                    <pic:cNvPr id="48" name="Picture" descr="tp5_rapport_final_files/outputs/figures/Q28_rendements_etat.png"/>
                    <pic:cNvPicPr>
                      <a:picLocks noChangeAspect="1" noChangeArrowheads="1"/>
                    </pic:cNvPicPr>
                  </pic:nvPicPr>
                  <pic:blipFill>
                    <a:blip r:embed="rId11"/>
                    <a:stretch>
                      <a:fillRect/>
                    </a:stretch>
                  </pic:blipFill>
                  <pic:spPr bwMode="auto">
                    <a:xfrm>
                      <a:off x="0" y="0"/>
                      <a:ext cx="5753100" cy="4794250"/>
                    </a:xfrm>
                    <a:prstGeom prst="rect">
                      <a:avLst/>
                    </a:prstGeom>
                    <a:noFill/>
                    <a:ln w="9525">
                      <a:noFill/>
                      <a:headEnd/>
                      <a:tailEnd/>
                    </a:ln>
                  </pic:spPr>
                </pic:pic>
              </a:graphicData>
            </a:graphic>
          </wp:inline>
        </w:drawing>
      </w:r>
    </w:p>
    <w:p w:rsidR="00184767" w:rsidRDefault="00F36A65" w:rsidP="00387E3D">
      <w:pPr>
        <w:jc w:val="both"/>
      </w:pPr>
      <w:r>
        <w:t>Figure 4 — Distribution des rendements à l’hectare pour le maïs et</w:t>
      </w:r>
      <w:r>
        <w:t xml:space="preserve"> le millet par État (W4, 2018-2019). Culture principale identifiée par ménage (production maximale). Outliers exclus selon IQR × 3 pondéré. Source : secta3i_harvestw4 + sect11a1_plantingw4.</w:t>
      </w:r>
    </w:p>
    <w:p w:rsidR="00184767" w:rsidRDefault="00F36A65" w:rsidP="00387E3D">
      <w:pPr>
        <w:jc w:val="both"/>
      </w:pPr>
      <w:r>
        <w:t>Tableau 5 — Statistiques pondérées des rendements agricoles (kg/ha</w:t>
      </w:r>
      <w:r>
        <w:t>)</w:t>
      </w:r>
    </w:p>
    <w:tbl>
      <w:tblPr>
        <w:tblW w:w="5000" w:type="pct"/>
        <w:tblLayout w:type="fixed"/>
        <w:tblLook w:val="0020" w:firstRow="1" w:lastRow="0" w:firstColumn="0" w:lastColumn="0" w:noHBand="0" w:noVBand="0"/>
        <w:tblCaption w:val="Tableau 5 — Statistiques pondérées des rendements agricoles (kg/ha)"/>
      </w:tblPr>
      <w:tblGrid>
        <w:gridCol w:w="968"/>
        <w:gridCol w:w="1452"/>
        <w:gridCol w:w="1452"/>
        <w:gridCol w:w="967"/>
        <w:gridCol w:w="967"/>
        <w:gridCol w:w="1452"/>
        <w:gridCol w:w="847"/>
        <w:gridCol w:w="967"/>
      </w:tblGrid>
      <w:tr w:rsidR="00184767">
        <w:trPr>
          <w:tblHeader/>
        </w:trPr>
        <w:tc>
          <w:tcPr>
            <w:tcW w:w="844" w:type="dxa"/>
          </w:tcPr>
          <w:p w:rsidR="00184767" w:rsidRDefault="00F36A65" w:rsidP="00387E3D">
            <w:pPr>
              <w:jc w:val="both"/>
            </w:pPr>
            <w:r>
              <w:t>Culture</w:t>
            </w:r>
          </w:p>
        </w:tc>
        <w:tc>
          <w:tcPr>
            <w:tcW w:w="1267" w:type="dxa"/>
          </w:tcPr>
          <w:p w:rsidR="00184767" w:rsidRDefault="00F36A65" w:rsidP="00387E3D">
            <w:pPr>
              <w:jc w:val="both"/>
            </w:pPr>
            <w:r>
              <w:t>N parcelles</w:t>
            </w:r>
          </w:p>
        </w:tc>
        <w:tc>
          <w:tcPr>
            <w:tcW w:w="1267" w:type="dxa"/>
          </w:tcPr>
          <w:p w:rsidR="00184767" w:rsidRDefault="00F36A65" w:rsidP="00387E3D">
            <w:pPr>
              <w:jc w:val="both"/>
            </w:pPr>
            <w:r>
              <w:t>P10 (kg/ha)</w:t>
            </w:r>
          </w:p>
        </w:tc>
        <w:tc>
          <w:tcPr>
            <w:tcW w:w="844" w:type="dxa"/>
          </w:tcPr>
          <w:p w:rsidR="00184767" w:rsidRDefault="00F36A65" w:rsidP="00387E3D">
            <w:pPr>
              <w:jc w:val="both"/>
            </w:pPr>
            <w:r>
              <w:t>Médiane</w:t>
            </w:r>
          </w:p>
        </w:tc>
        <w:tc>
          <w:tcPr>
            <w:tcW w:w="844" w:type="dxa"/>
          </w:tcPr>
          <w:p w:rsidR="00184767" w:rsidRDefault="00F36A65" w:rsidP="00387E3D">
            <w:pPr>
              <w:jc w:val="both"/>
            </w:pPr>
            <w:r>
              <w:t>Moyenne</w:t>
            </w:r>
          </w:p>
        </w:tc>
        <w:tc>
          <w:tcPr>
            <w:tcW w:w="1267" w:type="dxa"/>
          </w:tcPr>
          <w:p w:rsidR="00184767" w:rsidRDefault="00F36A65" w:rsidP="00387E3D">
            <w:pPr>
              <w:jc w:val="both"/>
            </w:pPr>
            <w:r>
              <w:t>P90 (kg/ha)</w:t>
            </w:r>
          </w:p>
        </w:tc>
        <w:tc>
          <w:tcPr>
            <w:tcW w:w="739" w:type="dxa"/>
          </w:tcPr>
          <w:p w:rsidR="00184767" w:rsidRDefault="00F36A65" w:rsidP="00387E3D">
            <w:pPr>
              <w:jc w:val="both"/>
            </w:pPr>
            <w:r>
              <w:t>CV (%)</w:t>
            </w:r>
          </w:p>
        </w:tc>
        <w:tc>
          <w:tcPr>
            <w:tcW w:w="844" w:type="dxa"/>
          </w:tcPr>
          <w:p w:rsidR="00184767" w:rsidRDefault="00F36A65" w:rsidP="00387E3D">
            <w:pPr>
              <w:jc w:val="both"/>
            </w:pPr>
            <w:r>
              <w:t>P90/P10</w:t>
            </w:r>
          </w:p>
        </w:tc>
      </w:tr>
      <w:tr w:rsidR="00184767">
        <w:tc>
          <w:tcPr>
            <w:tcW w:w="844" w:type="dxa"/>
          </w:tcPr>
          <w:p w:rsidR="00184767" w:rsidRDefault="00F36A65" w:rsidP="00387E3D">
            <w:pPr>
              <w:jc w:val="both"/>
            </w:pPr>
            <w:r>
              <w:t>Maïs</w:t>
            </w:r>
          </w:p>
        </w:tc>
        <w:tc>
          <w:tcPr>
            <w:tcW w:w="1267" w:type="dxa"/>
          </w:tcPr>
          <w:p w:rsidR="00184767" w:rsidRDefault="00F36A65" w:rsidP="00387E3D">
            <w:pPr>
              <w:jc w:val="both"/>
            </w:pPr>
            <w:r>
              <w:t>2269</w:t>
            </w:r>
          </w:p>
        </w:tc>
        <w:tc>
          <w:tcPr>
            <w:tcW w:w="1267" w:type="dxa"/>
          </w:tcPr>
          <w:p w:rsidR="00184767" w:rsidRDefault="00F36A65" w:rsidP="00387E3D">
            <w:pPr>
              <w:jc w:val="both"/>
            </w:pPr>
            <w:r>
              <w:t>133</w:t>
            </w:r>
          </w:p>
        </w:tc>
        <w:tc>
          <w:tcPr>
            <w:tcW w:w="844" w:type="dxa"/>
          </w:tcPr>
          <w:p w:rsidR="00184767" w:rsidRDefault="00F36A65" w:rsidP="00387E3D">
            <w:pPr>
              <w:jc w:val="both"/>
            </w:pPr>
            <w:r>
              <w:t>801</w:t>
            </w:r>
          </w:p>
        </w:tc>
        <w:tc>
          <w:tcPr>
            <w:tcW w:w="844" w:type="dxa"/>
          </w:tcPr>
          <w:p w:rsidR="00184767" w:rsidRDefault="00F36A65" w:rsidP="00387E3D">
            <w:pPr>
              <w:jc w:val="both"/>
            </w:pPr>
            <w:r>
              <w:t>1246</w:t>
            </w:r>
          </w:p>
        </w:tc>
        <w:tc>
          <w:tcPr>
            <w:tcW w:w="1267" w:type="dxa"/>
          </w:tcPr>
          <w:p w:rsidR="00184767" w:rsidRDefault="00F36A65" w:rsidP="00387E3D">
            <w:pPr>
              <w:jc w:val="both"/>
            </w:pPr>
            <w:r>
              <w:t>3102</w:t>
            </w:r>
          </w:p>
        </w:tc>
        <w:tc>
          <w:tcPr>
            <w:tcW w:w="739" w:type="dxa"/>
          </w:tcPr>
          <w:p w:rsidR="00184767" w:rsidRDefault="00F36A65" w:rsidP="00387E3D">
            <w:pPr>
              <w:jc w:val="both"/>
            </w:pPr>
            <w:r>
              <w:t>102.3</w:t>
            </w:r>
          </w:p>
        </w:tc>
        <w:tc>
          <w:tcPr>
            <w:tcW w:w="844" w:type="dxa"/>
          </w:tcPr>
          <w:p w:rsidR="00184767" w:rsidRDefault="00F36A65" w:rsidP="00387E3D">
            <w:pPr>
              <w:jc w:val="both"/>
            </w:pPr>
            <w:r>
              <w:t>23.3</w:t>
            </w:r>
          </w:p>
        </w:tc>
      </w:tr>
      <w:tr w:rsidR="00184767">
        <w:tc>
          <w:tcPr>
            <w:tcW w:w="844" w:type="dxa"/>
          </w:tcPr>
          <w:p w:rsidR="00184767" w:rsidRDefault="00F36A65" w:rsidP="00387E3D">
            <w:pPr>
              <w:jc w:val="both"/>
            </w:pPr>
            <w:r>
              <w:t>Millet</w:t>
            </w:r>
          </w:p>
        </w:tc>
        <w:tc>
          <w:tcPr>
            <w:tcW w:w="1267" w:type="dxa"/>
          </w:tcPr>
          <w:p w:rsidR="00184767" w:rsidRDefault="00F36A65" w:rsidP="00387E3D">
            <w:pPr>
              <w:jc w:val="both"/>
            </w:pPr>
            <w:r>
              <w:t>928</w:t>
            </w:r>
          </w:p>
        </w:tc>
        <w:tc>
          <w:tcPr>
            <w:tcW w:w="1267" w:type="dxa"/>
          </w:tcPr>
          <w:p w:rsidR="00184767" w:rsidRDefault="00F36A65" w:rsidP="00387E3D">
            <w:pPr>
              <w:jc w:val="both"/>
            </w:pPr>
            <w:r>
              <w:t>124</w:t>
            </w:r>
          </w:p>
        </w:tc>
        <w:tc>
          <w:tcPr>
            <w:tcW w:w="844" w:type="dxa"/>
          </w:tcPr>
          <w:p w:rsidR="00184767" w:rsidRDefault="00F36A65" w:rsidP="00387E3D">
            <w:pPr>
              <w:jc w:val="both"/>
            </w:pPr>
            <w:r>
              <w:t>494</w:t>
            </w:r>
          </w:p>
        </w:tc>
        <w:tc>
          <w:tcPr>
            <w:tcW w:w="844" w:type="dxa"/>
          </w:tcPr>
          <w:p w:rsidR="00184767" w:rsidRDefault="00F36A65" w:rsidP="00387E3D">
            <w:pPr>
              <w:jc w:val="both"/>
            </w:pPr>
            <w:r>
              <w:t>769</w:t>
            </w:r>
          </w:p>
        </w:tc>
        <w:tc>
          <w:tcPr>
            <w:tcW w:w="1267" w:type="dxa"/>
          </w:tcPr>
          <w:p w:rsidR="00184767" w:rsidRDefault="00F36A65" w:rsidP="00387E3D">
            <w:pPr>
              <w:jc w:val="both"/>
            </w:pPr>
            <w:r>
              <w:t>1979</w:t>
            </w:r>
          </w:p>
        </w:tc>
        <w:tc>
          <w:tcPr>
            <w:tcW w:w="739" w:type="dxa"/>
          </w:tcPr>
          <w:p w:rsidR="00184767" w:rsidRDefault="00F36A65" w:rsidP="00387E3D">
            <w:pPr>
              <w:jc w:val="both"/>
            </w:pPr>
            <w:r>
              <w:t>96.4</w:t>
            </w:r>
          </w:p>
        </w:tc>
        <w:tc>
          <w:tcPr>
            <w:tcW w:w="844" w:type="dxa"/>
          </w:tcPr>
          <w:p w:rsidR="00184767" w:rsidRDefault="00F36A65" w:rsidP="00387E3D">
            <w:pPr>
              <w:jc w:val="both"/>
            </w:pPr>
            <w:r>
              <w:t>16.0</w:t>
            </w:r>
          </w:p>
        </w:tc>
      </w:tr>
    </w:tbl>
    <w:p w:rsidR="00184767" w:rsidRDefault="00F36A65" w:rsidP="00387E3D">
      <w:pPr>
        <w:jc w:val="both"/>
      </w:pPr>
      <w:r>
        <w:t xml:space="preserve">Le rendement médian pondéré du maïs est de </w:t>
      </w:r>
      <w:r>
        <w:rPr>
          <w:b/>
          <w:bCs/>
        </w:rPr>
        <w:t>823 kg/ha</w:t>
      </w:r>
      <w:r>
        <w:t xml:space="preserve"> (CV = 99%) et celui du millet de </w:t>
      </w:r>
      <w:r>
        <w:rPr>
          <w:b/>
          <w:bCs/>
        </w:rPr>
        <w:t>613 kg/ha</w:t>
      </w:r>
      <w:r>
        <w:t xml:space="preserve"> </w:t>
      </w:r>
      <w:r>
        <w:t xml:space="preserve">(CV = 96%), bien en deçà des potentiels agronomiques documentés (5 000-8 000 kg/ha en conditions optimales). La dispersion est extrême : le ratio P90/P10 atteint </w:t>
      </w:r>
      <w:r>
        <w:rPr>
          <w:b/>
          <w:bCs/>
        </w:rPr>
        <w:t>19</w:t>
      </w:r>
      <w:r>
        <w:t xml:space="preserve"> pour le maïs, signifiant que les exploitations les plus productives produisent 19 fois plus</w:t>
      </w:r>
      <w:r>
        <w:t xml:space="preserve"> que les moins productives.</w:t>
      </w:r>
    </w:p>
    <w:p w:rsidR="00184767" w:rsidRDefault="00F36A65" w:rsidP="00387E3D">
      <w:pPr>
        <w:jc w:val="both"/>
      </w:pPr>
      <w:r>
        <w:lastRenderedPageBreak/>
        <w:t xml:space="preserve">Par zone géopolitique, le </w:t>
      </w:r>
      <w:r>
        <w:rPr>
          <w:b/>
          <w:bCs/>
        </w:rPr>
        <w:t>Nord-Ouest</w:t>
      </w:r>
      <w:r>
        <w:t xml:space="preserve"> affiche les rendements les plus élevés (médiane 1 066 kg/ha), tandis que le </w:t>
      </w:r>
      <w:r>
        <w:rPr>
          <w:b/>
          <w:bCs/>
        </w:rPr>
        <w:t>Sud-Sud</w:t>
      </w:r>
      <w:r>
        <w:t xml:space="preserve"> enregistre les plus faibles (297 kg/ha). Ce gradient Nord &gt; Sud reflète la géographie agricole nigériane — </w:t>
      </w:r>
      <w:r>
        <w:t>le Nord concentre les grandes zones céréalières avec des conditions agro-écologiques plus favorables aux céréales, tandis que le Sud est davantage tourné vers les tubercules et cultures arborées.</w:t>
      </w:r>
    </w:p>
    <w:p w:rsidR="00184767" w:rsidRDefault="00F36A65" w:rsidP="00387E3D">
      <w:pPr>
        <w:pStyle w:val="Titre2"/>
      </w:pPr>
      <w:bookmarkStart w:id="33" w:name="q29-engrais-chimique-et-rendement"/>
      <w:bookmarkStart w:id="34" w:name="_Toc227529496"/>
      <w:bookmarkEnd w:id="31"/>
      <w:r>
        <w:t>5.5 Q29 — Engrais chimique et rendement</w:t>
      </w:r>
      <w:bookmarkEnd w:id="34"/>
    </w:p>
    <w:p w:rsidR="00184767" w:rsidRDefault="00F36A65" w:rsidP="00387E3D">
      <w:pPr>
        <w:jc w:val="both"/>
      </w:pPr>
      <w:r>
        <w:rPr>
          <w:noProof/>
          <w:lang w:eastAsia="fr-FR"/>
        </w:rPr>
        <w:drawing>
          <wp:inline distT="0" distB="0" distL="0" distR="0">
            <wp:extent cx="5504749" cy="3669832"/>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tp5_rapport_final_files/tp5_rapport_final_files/figure-docx/unnamed-chunk-1-1.png"/>
                    <pic:cNvPicPr>
                      <a:picLocks noChangeAspect="1" noChangeArrowheads="1"/>
                    </pic:cNvPicPr>
                  </pic:nvPicPr>
                  <pic:blipFill>
                    <a:blip r:embed="rId12"/>
                    <a:stretch>
                      <a:fillRect/>
                    </a:stretch>
                  </pic:blipFill>
                  <pic:spPr bwMode="auto">
                    <a:xfrm>
                      <a:off x="0" y="0"/>
                      <a:ext cx="5504749" cy="3669832"/>
                    </a:xfrm>
                    <a:prstGeom prst="rect">
                      <a:avLst/>
                    </a:prstGeom>
                    <a:noFill/>
                    <a:ln w="9525">
                      <a:noFill/>
                      <a:headEnd/>
                      <a:tailEnd/>
                    </a:ln>
                  </pic:spPr>
                </pic:pic>
              </a:graphicData>
            </a:graphic>
          </wp:inline>
        </w:drawing>
      </w:r>
    </w:p>
    <w:p w:rsidR="00184767" w:rsidRDefault="00F36A65" w:rsidP="00387E3D">
      <w:pPr>
        <w:jc w:val="both"/>
      </w:pPr>
      <w:r>
        <w:t>Tableau 6 — Rendem</w:t>
      </w:r>
      <w:r>
        <w:t>ents médians selon l’utilisation d’engrais</w:t>
      </w:r>
    </w:p>
    <w:tbl>
      <w:tblPr>
        <w:tblW w:w="0" w:type="auto"/>
        <w:tblLook w:val="0020" w:firstRow="1" w:lastRow="0" w:firstColumn="0" w:lastColumn="0" w:noHBand="0" w:noVBand="0"/>
        <w:tblCaption w:val="Tableau 6 — Rendements médians selon l’utilisation d’engrais"/>
      </w:tblPr>
      <w:tblGrid>
        <w:gridCol w:w="1343"/>
        <w:gridCol w:w="875"/>
        <w:gridCol w:w="663"/>
        <w:gridCol w:w="1703"/>
        <w:gridCol w:w="1763"/>
      </w:tblGrid>
      <w:tr w:rsidR="00184767">
        <w:trPr>
          <w:tblHeader/>
        </w:trPr>
        <w:tc>
          <w:tcPr>
            <w:tcW w:w="0" w:type="auto"/>
          </w:tcPr>
          <w:p w:rsidR="00184767" w:rsidRDefault="00F36A65" w:rsidP="00387E3D">
            <w:pPr>
              <w:jc w:val="both"/>
            </w:pPr>
            <w:r>
              <w:t>Statut</w:t>
            </w:r>
          </w:p>
        </w:tc>
        <w:tc>
          <w:tcPr>
            <w:tcW w:w="0" w:type="auto"/>
          </w:tcPr>
          <w:p w:rsidR="00184767" w:rsidRDefault="00F36A65" w:rsidP="00387E3D">
            <w:pPr>
              <w:jc w:val="both"/>
            </w:pPr>
            <w:r>
              <w:t>Culture</w:t>
            </w:r>
          </w:p>
        </w:tc>
        <w:tc>
          <w:tcPr>
            <w:tcW w:w="0" w:type="auto"/>
          </w:tcPr>
          <w:p w:rsidR="00184767" w:rsidRDefault="00F36A65" w:rsidP="00387E3D">
            <w:pPr>
              <w:jc w:val="both"/>
            </w:pPr>
            <w:r>
              <w:t>N</w:t>
            </w:r>
          </w:p>
        </w:tc>
        <w:tc>
          <w:tcPr>
            <w:tcW w:w="0" w:type="auto"/>
          </w:tcPr>
          <w:p w:rsidR="00184767" w:rsidRDefault="00F36A65" w:rsidP="00387E3D">
            <w:pPr>
              <w:jc w:val="both"/>
            </w:pPr>
            <w:r>
              <w:t>Médiane (kg/ha)</w:t>
            </w:r>
          </w:p>
        </w:tc>
        <w:tc>
          <w:tcPr>
            <w:tcW w:w="0" w:type="auto"/>
          </w:tcPr>
          <w:p w:rsidR="00184767" w:rsidRDefault="00F36A65" w:rsidP="00387E3D">
            <w:pPr>
              <w:jc w:val="both"/>
            </w:pPr>
            <w:r>
              <w:t>Moyenne (kg/ha)</w:t>
            </w:r>
          </w:p>
        </w:tc>
      </w:tr>
      <w:tr w:rsidR="00184767">
        <w:tc>
          <w:tcPr>
            <w:tcW w:w="0" w:type="auto"/>
          </w:tcPr>
          <w:p w:rsidR="00184767" w:rsidRDefault="00F36A65" w:rsidP="00387E3D">
            <w:pPr>
              <w:jc w:val="both"/>
            </w:pPr>
            <w:r>
              <w:t>Avec engrais</w:t>
            </w:r>
          </w:p>
        </w:tc>
        <w:tc>
          <w:tcPr>
            <w:tcW w:w="0" w:type="auto"/>
          </w:tcPr>
          <w:p w:rsidR="00184767" w:rsidRDefault="00F36A65" w:rsidP="00387E3D">
            <w:pPr>
              <w:jc w:val="both"/>
            </w:pPr>
            <w:r>
              <w:t>Maïs</w:t>
            </w:r>
          </w:p>
        </w:tc>
        <w:tc>
          <w:tcPr>
            <w:tcW w:w="0" w:type="auto"/>
          </w:tcPr>
          <w:p w:rsidR="00184767" w:rsidRDefault="00F36A65" w:rsidP="00387E3D">
            <w:pPr>
              <w:jc w:val="both"/>
            </w:pPr>
            <w:r>
              <w:t>1007</w:t>
            </w:r>
          </w:p>
        </w:tc>
        <w:tc>
          <w:tcPr>
            <w:tcW w:w="0" w:type="auto"/>
          </w:tcPr>
          <w:p w:rsidR="00184767" w:rsidRDefault="00F36A65" w:rsidP="00387E3D">
            <w:pPr>
              <w:jc w:val="both"/>
            </w:pPr>
            <w:r>
              <w:t>1167</w:t>
            </w:r>
          </w:p>
        </w:tc>
        <w:tc>
          <w:tcPr>
            <w:tcW w:w="0" w:type="auto"/>
          </w:tcPr>
          <w:p w:rsidR="00184767" w:rsidRDefault="00F36A65" w:rsidP="00387E3D">
            <w:pPr>
              <w:jc w:val="both"/>
            </w:pPr>
            <w:r>
              <w:t>1600</w:t>
            </w:r>
          </w:p>
        </w:tc>
      </w:tr>
      <w:tr w:rsidR="00184767">
        <w:tc>
          <w:tcPr>
            <w:tcW w:w="0" w:type="auto"/>
          </w:tcPr>
          <w:p w:rsidR="00184767" w:rsidRDefault="00F36A65" w:rsidP="00387E3D">
            <w:pPr>
              <w:jc w:val="both"/>
            </w:pPr>
            <w:r>
              <w:t>Avec engrais</w:t>
            </w:r>
          </w:p>
        </w:tc>
        <w:tc>
          <w:tcPr>
            <w:tcW w:w="0" w:type="auto"/>
          </w:tcPr>
          <w:p w:rsidR="00184767" w:rsidRDefault="00F36A65" w:rsidP="00387E3D">
            <w:pPr>
              <w:jc w:val="both"/>
            </w:pPr>
            <w:r>
              <w:t>Millet</w:t>
            </w:r>
          </w:p>
        </w:tc>
        <w:tc>
          <w:tcPr>
            <w:tcW w:w="0" w:type="auto"/>
          </w:tcPr>
          <w:p w:rsidR="00184767" w:rsidRDefault="00F36A65" w:rsidP="00387E3D">
            <w:pPr>
              <w:jc w:val="both"/>
            </w:pPr>
            <w:r>
              <w:t>458</w:t>
            </w:r>
          </w:p>
        </w:tc>
        <w:tc>
          <w:tcPr>
            <w:tcW w:w="0" w:type="auto"/>
          </w:tcPr>
          <w:p w:rsidR="00184767" w:rsidRDefault="00F36A65" w:rsidP="00387E3D">
            <w:pPr>
              <w:jc w:val="both"/>
            </w:pPr>
            <w:r>
              <w:t>559</w:t>
            </w:r>
          </w:p>
        </w:tc>
        <w:tc>
          <w:tcPr>
            <w:tcW w:w="0" w:type="auto"/>
          </w:tcPr>
          <w:p w:rsidR="00184767" w:rsidRDefault="00F36A65" w:rsidP="00387E3D">
            <w:pPr>
              <w:jc w:val="both"/>
            </w:pPr>
            <w:r>
              <w:t>843</w:t>
            </w:r>
          </w:p>
        </w:tc>
      </w:tr>
      <w:tr w:rsidR="00184767">
        <w:tc>
          <w:tcPr>
            <w:tcW w:w="0" w:type="auto"/>
          </w:tcPr>
          <w:p w:rsidR="00184767" w:rsidRDefault="00F36A65" w:rsidP="00387E3D">
            <w:pPr>
              <w:jc w:val="both"/>
            </w:pPr>
            <w:r>
              <w:t>Sans engrais</w:t>
            </w:r>
          </w:p>
        </w:tc>
        <w:tc>
          <w:tcPr>
            <w:tcW w:w="0" w:type="auto"/>
          </w:tcPr>
          <w:p w:rsidR="00184767" w:rsidRDefault="00F36A65" w:rsidP="00387E3D">
            <w:pPr>
              <w:jc w:val="both"/>
            </w:pPr>
            <w:r>
              <w:t>Maïs</w:t>
            </w:r>
          </w:p>
        </w:tc>
        <w:tc>
          <w:tcPr>
            <w:tcW w:w="0" w:type="auto"/>
          </w:tcPr>
          <w:p w:rsidR="00184767" w:rsidRDefault="00F36A65" w:rsidP="00387E3D">
            <w:pPr>
              <w:jc w:val="both"/>
            </w:pPr>
            <w:r>
              <w:t>1262</w:t>
            </w:r>
          </w:p>
        </w:tc>
        <w:tc>
          <w:tcPr>
            <w:tcW w:w="0" w:type="auto"/>
          </w:tcPr>
          <w:p w:rsidR="00184767" w:rsidRDefault="00F36A65" w:rsidP="00387E3D">
            <w:pPr>
              <w:jc w:val="both"/>
            </w:pPr>
            <w:r>
              <w:t>581</w:t>
            </w:r>
          </w:p>
        </w:tc>
        <w:tc>
          <w:tcPr>
            <w:tcW w:w="0" w:type="auto"/>
          </w:tcPr>
          <w:p w:rsidR="00184767" w:rsidRDefault="00F36A65" w:rsidP="00387E3D">
            <w:pPr>
              <w:jc w:val="both"/>
            </w:pPr>
            <w:r>
              <w:t>931</w:t>
            </w:r>
          </w:p>
        </w:tc>
      </w:tr>
      <w:tr w:rsidR="00184767">
        <w:tc>
          <w:tcPr>
            <w:tcW w:w="0" w:type="auto"/>
          </w:tcPr>
          <w:p w:rsidR="00184767" w:rsidRDefault="00F36A65" w:rsidP="00387E3D">
            <w:pPr>
              <w:jc w:val="both"/>
            </w:pPr>
            <w:r>
              <w:t>Sans engrais</w:t>
            </w:r>
          </w:p>
        </w:tc>
        <w:tc>
          <w:tcPr>
            <w:tcW w:w="0" w:type="auto"/>
          </w:tcPr>
          <w:p w:rsidR="00184767" w:rsidRDefault="00F36A65" w:rsidP="00387E3D">
            <w:pPr>
              <w:jc w:val="both"/>
            </w:pPr>
            <w:r>
              <w:t>Millet</w:t>
            </w:r>
          </w:p>
        </w:tc>
        <w:tc>
          <w:tcPr>
            <w:tcW w:w="0" w:type="auto"/>
          </w:tcPr>
          <w:p w:rsidR="00184767" w:rsidRDefault="00F36A65" w:rsidP="00387E3D">
            <w:pPr>
              <w:jc w:val="both"/>
            </w:pPr>
            <w:r>
              <w:t>470</w:t>
            </w:r>
          </w:p>
        </w:tc>
        <w:tc>
          <w:tcPr>
            <w:tcW w:w="0" w:type="auto"/>
          </w:tcPr>
          <w:p w:rsidR="00184767" w:rsidRDefault="00F36A65" w:rsidP="00387E3D">
            <w:pPr>
              <w:jc w:val="both"/>
            </w:pPr>
            <w:r>
              <w:t>448</w:t>
            </w:r>
          </w:p>
        </w:tc>
        <w:tc>
          <w:tcPr>
            <w:tcW w:w="0" w:type="auto"/>
          </w:tcPr>
          <w:p w:rsidR="00184767" w:rsidRDefault="00F36A65" w:rsidP="00387E3D">
            <w:pPr>
              <w:jc w:val="both"/>
            </w:pPr>
            <w:r>
              <w:t>691</w:t>
            </w:r>
          </w:p>
        </w:tc>
      </w:tr>
    </w:tbl>
    <w:p w:rsidR="00184767" w:rsidRDefault="00F36A65" w:rsidP="00387E3D">
      <w:pPr>
        <w:jc w:val="both"/>
      </w:pPr>
      <w:r>
        <w:t xml:space="preserve">L’utilisation d’engrais chimique est associée à un gain de rendement substantiel. La médiane est de </w:t>
      </w:r>
      <w:r>
        <w:rPr>
          <w:b/>
          <w:bCs/>
        </w:rPr>
        <w:t>887 kg/ha</w:t>
      </w:r>
      <w:r>
        <w:t xml:space="preserve"> avec engrais contre </w:t>
      </w:r>
      <w:r>
        <w:rPr>
          <w:b/>
          <w:bCs/>
        </w:rPr>
        <w:t>527 kg/ha</w:t>
      </w:r>
      <w:r>
        <w:t xml:space="preserve"> sans engrais, soit un gain relatif de </w:t>
      </w:r>
      <w:r>
        <w:rPr>
          <w:b/>
          <w:bCs/>
        </w:rPr>
        <w:t>68%</w:t>
      </w:r>
      <w:r>
        <w:t xml:space="preserve">. Le test de Wilcoxon confirme que cette différence est </w:t>
      </w:r>
      <w:r>
        <w:rPr>
          <w:b/>
          <w:bCs/>
        </w:rPr>
        <w:t>hautement significa</w:t>
      </w:r>
      <w:r>
        <w:rPr>
          <w:b/>
          <w:bCs/>
        </w:rPr>
        <w:t>tive</w:t>
      </w:r>
      <w:r>
        <w:t xml:space="preserve"> (p &lt; 0,001), avec une taille d’effet modérée (r = 0.198). Ce résultat confirme le rôle central des intrants chimiques dans l’amélioration de la productivité agricole nigériane, tout en soulignant que d’autres facteurs (accès à l’eau, qualité des semen</w:t>
      </w:r>
      <w:r>
        <w:t>ces, conditions météorologiques) expliquent la variabilité résiduelle importante.</w:t>
      </w:r>
    </w:p>
    <w:p w:rsidR="00184767" w:rsidRDefault="00F36A65" w:rsidP="00387E3D">
      <w:pPr>
        <w:jc w:val="both"/>
      </w:pPr>
      <w:r>
        <w:br w:type="page"/>
      </w:r>
    </w:p>
    <w:p w:rsidR="00184767" w:rsidRDefault="00F36A65" w:rsidP="00387E3D">
      <w:pPr>
        <w:pStyle w:val="Titre1"/>
      </w:pPr>
      <w:bookmarkStart w:id="35" w:name="conclusion"/>
      <w:bookmarkStart w:id="36" w:name="_Toc227529497"/>
      <w:bookmarkEnd w:id="19"/>
      <w:bookmarkEnd w:id="33"/>
      <w:r>
        <w:lastRenderedPageBreak/>
        <w:t>6. Conclusion</w:t>
      </w:r>
      <w:bookmarkEnd w:id="36"/>
    </w:p>
    <w:p w:rsidR="00184767" w:rsidRDefault="00F36A65" w:rsidP="00387E3D">
      <w:pPr>
        <w:jc w:val="both"/>
      </w:pPr>
      <w:r>
        <w:t>Cette analyse du module agriculture du GHS Panel W4 dresse un portrait nuancé du secteur agricole nigérian en 2018-2019. Quatre enseignements principaux se dé</w:t>
      </w:r>
      <w:r>
        <w:t>gagent :</w:t>
      </w:r>
    </w:p>
    <w:p w:rsidR="00184767" w:rsidRDefault="00F36A65" w:rsidP="00387E3D">
      <w:pPr>
        <w:jc w:val="both"/>
      </w:pPr>
      <w:r>
        <w:t>Premièrement, le paysage cultural est dominé par une logique de polyculture vivrière (médiane de 3 cultures par ménage), une stratégie de diversification des risques commune aux milieux ruraux et urbains.</w:t>
      </w:r>
    </w:p>
    <w:p w:rsidR="00184767" w:rsidRDefault="00F36A65" w:rsidP="00387E3D">
      <w:pPr>
        <w:jc w:val="both"/>
      </w:pPr>
      <w:r>
        <w:t>Deuxièmement, l’accès aux intrants est plu</w:t>
      </w:r>
      <w:r>
        <w:t>s important qu’attendu mais géographiquement polarisé : si 50,4 % des parcelles reçoivent des engrais, cette adoption est portée par les États du Nord (Kaduna, Kano), tandis que les zones urbaines et le Sud accusent un retard.</w:t>
      </w:r>
    </w:p>
    <w:p w:rsidR="00184767" w:rsidRDefault="00F36A65" w:rsidP="00387E3D">
      <w:pPr>
        <w:jc w:val="both"/>
      </w:pPr>
      <w:r>
        <w:t>Troisièmement, les rendements</w:t>
      </w:r>
      <w:r>
        <w:t xml:space="preserve"> céréaliers demeurent faibles et extrêmement hétérogènes. Le rendement médian national (823 kg/ha pour le maïs) cache des inégalités abyssales de productivité, illustrées par un coefficient de variation supérieur à 95 %.</w:t>
      </w:r>
    </w:p>
    <w:p w:rsidR="00184767" w:rsidRDefault="00F36A65" w:rsidP="00387E3D">
      <w:pPr>
        <w:jc w:val="both"/>
      </w:pPr>
      <w:r>
        <w:t>Quatrièmement, l’utilisation d’intr</w:t>
      </w:r>
      <w:r>
        <w:t>ants chimiques reste le levier de performance majeur, générant un gain de productivité médian de 59 %. L’analyse économétrique confirme qu’à caractéristiques égales, l’engrais augmente le rendement de 42 %, validant le fait que le déficit d’accès aux intra</w:t>
      </w:r>
      <w:r>
        <w:t>nts est un frein majeur à la sécurité alimentaire.</w:t>
      </w:r>
    </w:p>
    <w:p w:rsidR="00184767" w:rsidRDefault="00F36A65" w:rsidP="00387E3D">
      <w:pPr>
        <w:jc w:val="both"/>
      </w:pPr>
      <w:r>
        <w:t>Ces résultats soulignent que l’accès aux intrants n’est pas seulement une question de milieu (Rural vs Urbain), mais dépend fortement de la géographie politique. Ils plaident pour des politiques de subvent</w:t>
      </w:r>
      <w:r>
        <w:t>ion ciblées et un soutien à l’intensification des petits producteurs, particulièrement dans les zones accusant les rendements les plus faibles.</w:t>
      </w:r>
    </w:p>
    <w:p w:rsidR="00184767" w:rsidRDefault="00F36A65" w:rsidP="00387E3D">
      <w:pPr>
        <w:jc w:val="both"/>
      </w:pPr>
      <w:r>
        <w:pict>
          <v:rect id="_x0000_i1025" style="width:0;height:1.5pt" o:hralign="center" o:hrstd="t" o:hr="t"/>
        </w:pict>
      </w:r>
    </w:p>
    <w:p w:rsidR="00184767" w:rsidRDefault="00F36A65" w:rsidP="00387E3D">
      <w:pPr>
        <w:jc w:val="both"/>
      </w:pPr>
      <w:r>
        <w:rPr>
          <w:i/>
          <w:iCs/>
        </w:rPr>
        <w:t>Rapport produit avec R R version 4.4.3 (2025-02-28 ucrt) — Packages principaux : haven, dplyr, ggplot2, srvyr,</w:t>
      </w:r>
      <w:r>
        <w:rPr>
          <w:i/>
          <w:iCs/>
        </w:rPr>
        <w:t xml:space="preserve"> gtsummary, patchwork, Hmisc</w:t>
      </w:r>
      <w:bookmarkEnd w:id="35"/>
      <w:bookmarkEnd w:id="0"/>
    </w:p>
    <w:sectPr w:rsidR="00184767" w:rsidSect="00B639C2">
      <w:footerReference w:type="default" r:id="rId13"/>
      <w:pgSz w:w="11906" w:h="16838"/>
      <w:pgMar w:top="1417" w:right="1417" w:bottom="1417" w:left="1417" w:header="708" w:footer="708" w:gutter="0"/>
      <w:pgBorders w:offsetFrom="page">
        <w:top w:val="triple" w:sz="4" w:space="24" w:color="4472C4" w:themeColor="accent1"/>
        <w:left w:val="triple" w:sz="4" w:space="24" w:color="4472C4" w:themeColor="accent1"/>
        <w:bottom w:val="triple" w:sz="4" w:space="24" w:color="4472C4" w:themeColor="accent1"/>
        <w:right w:val="triple" w:sz="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6A65" w:rsidRDefault="00F36A65">
      <w:pPr>
        <w:spacing w:after="0" w:line="240" w:lineRule="auto"/>
      </w:pPr>
      <w:r>
        <w:separator/>
      </w:r>
    </w:p>
  </w:endnote>
  <w:endnote w:type="continuationSeparator" w:id="0">
    <w:p w:rsidR="00F36A65" w:rsidRDefault="00F36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8EAADB" w:themeColor="accent1" w:themeTint="99"/>
      </w:rPr>
      <w:id w:val="1168215426"/>
      <w:docPartObj>
        <w:docPartGallery w:val="Page Numbers (Bottom of Page)"/>
        <w:docPartUnique/>
      </w:docPartObj>
    </w:sdtPr>
    <w:sdtEndPr/>
    <w:sdtContent>
      <w:p w:rsidR="00D03B6F" w:rsidRPr="00D03B6F" w:rsidRDefault="00D03B6F">
        <w:pPr>
          <w:pStyle w:val="Pieddepage"/>
          <w:jc w:val="right"/>
          <w:rPr>
            <w:color w:val="8EAADB" w:themeColor="accent1" w:themeTint="99"/>
          </w:rPr>
        </w:pPr>
        <w:r w:rsidRPr="00D03B6F">
          <w:rPr>
            <w:color w:val="8EAADB" w:themeColor="accent1" w:themeTint="99"/>
          </w:rPr>
          <w:fldChar w:fldCharType="begin"/>
        </w:r>
        <w:r w:rsidRPr="00D03B6F">
          <w:rPr>
            <w:color w:val="8EAADB" w:themeColor="accent1" w:themeTint="99"/>
          </w:rPr>
          <w:instrText>PAGE   \* MERGEFORMAT</w:instrText>
        </w:r>
        <w:r w:rsidRPr="00D03B6F">
          <w:rPr>
            <w:color w:val="8EAADB" w:themeColor="accent1" w:themeTint="99"/>
          </w:rPr>
          <w:fldChar w:fldCharType="separate"/>
        </w:r>
        <w:r w:rsidR="00387E3D">
          <w:rPr>
            <w:noProof/>
            <w:color w:val="8EAADB" w:themeColor="accent1" w:themeTint="99"/>
          </w:rPr>
          <w:t>7</w:t>
        </w:r>
        <w:r w:rsidRPr="00D03B6F">
          <w:rPr>
            <w:color w:val="8EAADB" w:themeColor="accent1" w:themeTint="99"/>
          </w:rPr>
          <w:fldChar w:fldCharType="end"/>
        </w:r>
      </w:p>
    </w:sdtContent>
  </w:sdt>
  <w:p w:rsidR="00D03B6F" w:rsidRDefault="00D03B6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6A65" w:rsidRDefault="00F36A65">
      <w:pPr>
        <w:spacing w:after="0" w:line="240" w:lineRule="auto"/>
      </w:pPr>
      <w:r>
        <w:separator/>
      </w:r>
    </w:p>
  </w:footnote>
  <w:footnote w:type="continuationSeparator" w:id="0">
    <w:p w:rsidR="00F36A65" w:rsidRDefault="00F36A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9DB225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177683F"/>
    <w:multiLevelType w:val="hybridMultilevel"/>
    <w:tmpl w:val="FA6210A4"/>
    <w:lvl w:ilvl="0" w:tplc="0D8E55E4">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F5D6A06"/>
    <w:multiLevelType w:val="hybridMultilevel"/>
    <w:tmpl w:val="55F07324"/>
    <w:lvl w:ilvl="0" w:tplc="3452981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EDC"/>
    <w:rsid w:val="000D2AA5"/>
    <w:rsid w:val="00184767"/>
    <w:rsid w:val="001E09DB"/>
    <w:rsid w:val="00332CF9"/>
    <w:rsid w:val="00387E3D"/>
    <w:rsid w:val="004F381C"/>
    <w:rsid w:val="008012B9"/>
    <w:rsid w:val="00B639C2"/>
    <w:rsid w:val="00D03B6F"/>
    <w:rsid w:val="00F36A65"/>
    <w:rsid w:val="00F40E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704C09-22DB-4B6F-A2B6-D253C77A5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0D2AA5"/>
    <w:pPr>
      <w:keepNext/>
      <w:keepLines/>
      <w:pBdr>
        <w:top w:val="thinThickSmallGap" w:sz="18" w:space="1" w:color="4472C4" w:themeColor="accent1"/>
        <w:bottom w:val="thinThickSmallGap" w:sz="18" w:space="1" w:color="4472C4" w:themeColor="accent1"/>
      </w:pBdr>
      <w:spacing w:before="120" w:after="120" w:line="240" w:lineRule="auto"/>
      <w:jc w:val="both"/>
      <w:outlineLvl w:val="0"/>
    </w:pPr>
    <w:rPr>
      <w:rFonts w:ascii="Times New Roman" w:eastAsiaTheme="majorEastAsia" w:hAnsi="Times New Roman" w:cstheme="majorBidi"/>
      <w:b/>
      <w:color w:val="4472C4" w:themeColor="accent1"/>
      <w:sz w:val="32"/>
      <w:szCs w:val="32"/>
    </w:rPr>
  </w:style>
  <w:style w:type="paragraph" w:styleId="Titre2">
    <w:name w:val="heading 2"/>
    <w:basedOn w:val="Normal"/>
    <w:next w:val="Normal"/>
    <w:link w:val="Titre2Car"/>
    <w:uiPriority w:val="9"/>
    <w:unhideWhenUsed/>
    <w:qFormat/>
    <w:rsid w:val="000D2AA5"/>
    <w:pPr>
      <w:keepNext/>
      <w:keepLines/>
      <w:spacing w:before="120" w:after="120" w:line="240" w:lineRule="auto"/>
      <w:jc w:val="both"/>
      <w:outlineLvl w:val="1"/>
    </w:pPr>
    <w:rPr>
      <w:rFonts w:ascii="Times New Roman" w:eastAsiaTheme="majorEastAsia" w:hAnsi="Times New Roman" w:cstheme="majorBidi"/>
      <w:b/>
      <w:color w:val="2F5496" w:themeColor="accent1" w:themeShade="BF"/>
      <w:sz w:val="28"/>
      <w:szCs w:val="26"/>
      <w:u w:val="single"/>
    </w:rPr>
  </w:style>
  <w:style w:type="paragraph" w:styleId="Titre3">
    <w:name w:val="heading 3"/>
    <w:basedOn w:val="Normal"/>
    <w:next w:val="Normal"/>
    <w:link w:val="Titre3Car"/>
    <w:uiPriority w:val="9"/>
    <w:unhideWhenUsed/>
    <w:qFormat/>
    <w:rsid w:val="001E09DB"/>
    <w:pPr>
      <w:keepNext/>
      <w:keepLines/>
      <w:spacing w:before="120" w:after="120" w:line="360" w:lineRule="auto"/>
      <w:jc w:val="both"/>
      <w:outlineLvl w:val="2"/>
    </w:pPr>
    <w:rPr>
      <w:rFonts w:ascii="Times New Roman" w:eastAsiaTheme="majorEastAsia" w:hAnsi="Times New Roman" w:cstheme="majorBidi"/>
      <w:b/>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39C2"/>
    <w:rPr>
      <w:rFonts w:ascii="Times New Roman" w:eastAsiaTheme="majorEastAsia" w:hAnsi="Times New Roman" w:cstheme="majorBidi"/>
      <w:b/>
      <w:color w:val="4472C4" w:themeColor="accent1"/>
      <w:sz w:val="32"/>
      <w:szCs w:val="32"/>
    </w:rPr>
  </w:style>
  <w:style w:type="character" w:customStyle="1" w:styleId="Titre2Car">
    <w:name w:val="Titre 2 Car"/>
    <w:basedOn w:val="Policepardfaut"/>
    <w:link w:val="Titre2"/>
    <w:uiPriority w:val="9"/>
    <w:rsid w:val="00B639C2"/>
    <w:rPr>
      <w:rFonts w:ascii="Times New Roman" w:eastAsiaTheme="majorEastAsia" w:hAnsi="Times New Roman" w:cstheme="majorBidi"/>
      <w:b/>
      <w:color w:val="2F5496" w:themeColor="accent1" w:themeShade="BF"/>
      <w:sz w:val="28"/>
      <w:szCs w:val="26"/>
      <w:u w:val="single"/>
    </w:rPr>
  </w:style>
  <w:style w:type="character" w:customStyle="1" w:styleId="Titre3Car">
    <w:name w:val="Titre 3 Car"/>
    <w:basedOn w:val="Policepardfaut"/>
    <w:link w:val="Titre3"/>
    <w:uiPriority w:val="9"/>
    <w:rsid w:val="001E09DB"/>
    <w:rPr>
      <w:rFonts w:ascii="Times New Roman" w:eastAsiaTheme="majorEastAsia" w:hAnsi="Times New Roman" w:cstheme="majorBidi"/>
      <w:b/>
      <w:sz w:val="24"/>
      <w:szCs w:val="24"/>
    </w:rPr>
  </w:style>
  <w:style w:type="paragraph" w:styleId="En-tte">
    <w:name w:val="header"/>
    <w:basedOn w:val="Normal"/>
    <w:link w:val="En-tteCar"/>
    <w:uiPriority w:val="99"/>
    <w:unhideWhenUsed/>
    <w:rsid w:val="00D03B6F"/>
    <w:pPr>
      <w:tabs>
        <w:tab w:val="center" w:pos="4536"/>
        <w:tab w:val="right" w:pos="9072"/>
      </w:tabs>
      <w:spacing w:after="0" w:line="240" w:lineRule="auto"/>
    </w:pPr>
  </w:style>
  <w:style w:type="character" w:customStyle="1" w:styleId="En-tteCar">
    <w:name w:val="En-tête Car"/>
    <w:basedOn w:val="Policepardfaut"/>
    <w:link w:val="En-tte"/>
    <w:uiPriority w:val="99"/>
    <w:rsid w:val="00D03B6F"/>
  </w:style>
  <w:style w:type="paragraph" w:styleId="Pieddepage">
    <w:name w:val="footer"/>
    <w:basedOn w:val="Normal"/>
    <w:link w:val="PieddepageCar"/>
    <w:uiPriority w:val="99"/>
    <w:unhideWhenUsed/>
    <w:rsid w:val="00D03B6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3B6F"/>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M1">
    <w:name w:val="toc 1"/>
    <w:basedOn w:val="Normal"/>
    <w:next w:val="Normal"/>
    <w:autoRedefine/>
    <w:uiPriority w:val="39"/>
    <w:unhideWhenUsed/>
    <w:rsid w:val="00387E3D"/>
    <w:pPr>
      <w:spacing w:after="100"/>
    </w:pPr>
  </w:style>
  <w:style w:type="paragraph" w:styleId="TM2">
    <w:name w:val="toc 2"/>
    <w:basedOn w:val="Normal"/>
    <w:next w:val="Normal"/>
    <w:autoRedefine/>
    <w:uiPriority w:val="39"/>
    <w:unhideWhenUsed/>
    <w:rsid w:val="00387E3D"/>
    <w:pPr>
      <w:spacing w:after="100"/>
      <w:ind w:left="220"/>
    </w:pPr>
  </w:style>
  <w:style w:type="paragraph" w:styleId="TM3">
    <w:name w:val="toc 3"/>
    <w:basedOn w:val="Normal"/>
    <w:next w:val="Normal"/>
    <w:autoRedefine/>
    <w:uiPriority w:val="39"/>
    <w:unhideWhenUsed/>
    <w:rsid w:val="00387E3D"/>
    <w:pPr>
      <w:spacing w:after="100"/>
      <w:ind w:left="440"/>
    </w:pPr>
  </w:style>
  <w:style w:type="character" w:styleId="Lienhypertexte">
    <w:name w:val="Hyperlink"/>
    <w:basedOn w:val="Policepardfaut"/>
    <w:uiPriority w:val="99"/>
    <w:unhideWhenUsed/>
    <w:rsid w:val="00387E3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2474</Words>
  <Characters>13608</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Cultures, Intrants et Rendements Agricoles au Nigeria</dc:title>
  <dc:creator>DIOP Marème &amp; BA Abdoul Aziz-ENSAE ISE1 2025-2026 | TP5</dc:creator>
  <cp:keywords/>
  <cp:lastModifiedBy>SURFACE LAPTOP 2</cp:lastModifiedBy>
  <cp:revision>2</cp:revision>
  <dcterms:created xsi:type="dcterms:W3CDTF">2026-04-19T22:17:00Z</dcterms:created>
  <dcterms:modified xsi:type="dcterms:W3CDTF">2026-04-19T22:18:00Z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Avril 2026</vt:lpwstr>
  </property>
  <property fmtid="{D5CDD505-2E9C-101B-9397-08002B2CF9AE}" pid="3" name="output">
    <vt:lpwstr/>
  </property>
  <property fmtid="{D5CDD505-2E9C-101B-9397-08002B2CF9AE}" pid="4" name="subtitle">
    <vt:lpwstr>Nigeria General Household Survey Panel — Wave 4 (2018-2019)</vt:lpwstr>
  </property>
</Properties>
</file>