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2.png" ContentType="image/png"/>
  <Override PartName="/word/media/rId37.png" ContentType="image/png"/>
  <Override PartName="/word/media/rId46.png" ContentType="image/png"/>
  <Override PartName="/word/media/rId41.png" ContentType="image/png"/>
  <Override PartName="/word/media/rId50.png" ContentType="image/png"/>
  <Override PartName="/word/media/rId59.png" ContentType="image/png"/>
  <Override PartName="/word/media/rId54.png" ContentType="image/png"/>
  <Override PartName="/word/media/rId73.png" ContentType="image/png"/>
  <Override PartName="/word/media/rId62.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Analyse</w:t>
      </w:r>
      <w:r>
        <w:t xml:space="preserve"> </w:t>
      </w:r>
      <w:r>
        <w:t xml:space="preserve">des</w:t>
      </w:r>
      <w:r>
        <w:t xml:space="preserve"> </w:t>
      </w:r>
      <w:r>
        <w:t xml:space="preserve">Parcelles</w:t>
      </w:r>
      <w:r>
        <w:t xml:space="preserve"> </w:t>
      </w:r>
      <w:r>
        <w:t xml:space="preserve">Agricoles</w:t>
      </w:r>
      <w:r>
        <w:t xml:space="preserve"> </w:t>
      </w:r>
      <w:r>
        <w:t xml:space="preserve">Nigérianes</w:t>
      </w:r>
    </w:p>
    <w:p>
      <w:pPr>
        <w:pStyle w:val="Subtitle"/>
      </w:pPr>
      <w:r>
        <w:t xml:space="preserve">Superficie,</w:t>
      </w:r>
      <w:r>
        <w:t xml:space="preserve"> </w:t>
      </w:r>
      <w:r>
        <w:t xml:space="preserve">Tenure</w:t>
      </w:r>
      <w:r>
        <w:t xml:space="preserve"> </w:t>
      </w:r>
      <w:r>
        <w:t xml:space="preserve">Foncière</w:t>
      </w:r>
      <w:r>
        <w:t xml:space="preserve"> </w:t>
      </w:r>
      <w:r>
        <w:t xml:space="preserve">et</w:t>
      </w:r>
      <w:r>
        <w:t xml:space="preserve"> </w:t>
      </w:r>
      <w:r>
        <w:t xml:space="preserve">Structure</w:t>
      </w:r>
      <w:r>
        <w:t xml:space="preserve"> </w:t>
      </w:r>
      <w:r>
        <w:t xml:space="preserve">Agraire</w:t>
      </w:r>
      <w:r>
        <w:t xml:space="preserve"> </w:t>
      </w:r>
      <w:r>
        <w:t xml:space="preserve">—</w:t>
      </w:r>
      <w:r>
        <w:t xml:space="preserve"> </w:t>
      </w:r>
      <w:r>
        <w:t xml:space="preserve">GHS</w:t>
      </w:r>
      <w:r>
        <w:t xml:space="preserve"> </w:t>
      </w:r>
      <w:r>
        <w:t xml:space="preserve">Panel</w:t>
      </w:r>
      <w:r>
        <w:t xml:space="preserve"> </w:t>
      </w:r>
      <w:r>
        <w:t xml:space="preserve">Wave</w:t>
      </w:r>
      <w:r>
        <w:t xml:space="preserve"> </w:t>
      </w:r>
      <w:r>
        <w:t xml:space="preserve">4</w:t>
      </w:r>
      <w:r>
        <w:t xml:space="preserve"> </w:t>
      </w:r>
      <w:r>
        <w:t xml:space="preserve">(2018-2019)</w:t>
      </w:r>
    </w:p>
    <w:p>
      <w:pPr>
        <w:pStyle w:val="Author"/>
      </w:pPr>
      <w:r>
        <w:t xml:space="preserve">ENSAE</w:t>
      </w:r>
      <w:r>
        <w:t xml:space="preserve"> </w:t>
      </w:r>
      <w:r>
        <w:t xml:space="preserve">ISE1</w:t>
      </w:r>
      <w:r>
        <w:t xml:space="preserve"> </w:t>
      </w:r>
      <w:r>
        <w:t xml:space="preserve">|</w:t>
      </w:r>
      <w:r>
        <w:t xml:space="preserve"> </w:t>
      </w:r>
      <w:r>
        <w:t xml:space="preserve">2025-2026</w:t>
      </w:r>
    </w:p>
    <w:p>
      <w:pPr>
        <w:pStyle w:val="Date"/>
      </w:pPr>
      <w:r>
        <w:t xml:space="preserve">11</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messages-clés"/>
    <w:p>
      <w:pPr>
        <w:pStyle w:val="Heading1"/>
      </w:pPr>
      <w:r>
        <w:rPr>
          <w:rStyle w:val="SectionNumber"/>
        </w:rPr>
        <w:t xml:space="preserve">1</w:t>
      </w:r>
      <w:r>
        <w:tab/>
      </w:r>
      <w:r>
        <w:t xml:space="preserve">Messages clés</w:t>
      </w:r>
    </w:p>
    <w:p>
      <w:pPr>
        <w:pStyle w:val="FirstParagraph"/>
      </w:pPr>
      <w:r>
        <w:rPr>
          <w:bCs/>
          <w:b/>
        </w:rPr>
        <w:t xml:space="preserve">Prédominance de l’héritage familial.</w:t>
      </w:r>
      <w:r>
        <w:t xml:space="preserve"> </w:t>
      </w:r>
      <w:r>
        <w:t xml:space="preserve">La tenure foncière nigériane est dominée par l’héritage familial (62.9%), reflétant la persistance des systèmes fonciers coutumiers. La transmission intergénérationnelle reste le mécanisme principal d’accès à la terre, héritage d’un système juridique pluraliste où le droit coutumier coexiste avec le droit formel.</w:t>
      </w:r>
    </w:p>
    <w:p>
      <w:pPr>
        <w:pStyle w:val="BodyText"/>
      </w:pPr>
      <w:r>
        <w:rPr>
          <w:bCs/>
          <w:b/>
        </w:rPr>
        <w:t xml:space="preserve">Fragmentation des exploitations.</w:t>
      </w:r>
      <w:r>
        <w:t xml:space="preserve"> </w:t>
      </w:r>
      <w:r>
        <w:t xml:space="preserve">La médiane de 2 parcelles par ménage (CV = 59.3%) confirme la structure morcelée de l’agriculture nigériane. La forte asymétrie de la distribution (quelques ménages disposant de nombreuses parcelles) révèle des inégalités foncières importantes.</w:t>
      </w:r>
    </w:p>
    <w:p>
      <w:pPr>
        <w:pStyle w:val="BodyText"/>
      </w:pPr>
      <w:r>
        <w:rPr>
          <w:bCs/>
          <w:b/>
        </w:rPr>
        <w:t xml:space="preserve">Fracture géographique Nord-Sud.</w:t>
      </w:r>
      <w:r>
        <w:t xml:space="preserve"> </w:t>
      </w:r>
      <w:r>
        <w:t xml:space="preserve">Des disparités très significatives existent entre zones géopolitiques (Kruskal-Wallis H=51,98 ; p&lt;0,001). Le Nord exploite davantage de parcelles — cohérent avec les systèmes extensifs sahéliens — tandis que le Sud-Est présente la structure la plus fragmentée sous pression démographique.</w:t>
      </w:r>
    </w:p>
    <w:p>
      <w:pPr>
        <w:pStyle w:val="BodyText"/>
      </w:pPr>
      <w:r>
        <w:rPr>
          <w:bCs/>
          <w:b/>
        </w:rPr>
        <w:t xml:space="preserve">Différentiel rural-urbain confirmé.</w:t>
      </w:r>
      <w:r>
        <w:t xml:space="preserve"> </w:t>
      </w:r>
      <w:r>
        <w:t xml:space="preserve">Avec 84,3% des ménages en milieu rural, l’agriculture reste essentiellement paysanne. Le test de Wilcoxon confirme une différence significative entre milieux (p&lt;0,001) avec taille d’effet modérée (r≈0,13).</w:t>
      </w:r>
    </w:p>
    <w:p>
      <w:pPr>
        <w:pStyle w:val="BodyText"/>
      </w:pPr>
      <w:r>
        <w:rPr>
          <w:bCs/>
          <w:b/>
        </w:rPr>
        <w:t xml:space="preserve">Association Tenure × Milieu significative.</w:t>
      </w:r>
      <w:r>
        <w:t xml:space="preserve"> </w:t>
      </w:r>
      <w:r>
        <w:t xml:space="preserve">Le chi-deux révèle une association faible à modérée entre tenure et milieu (X²=498,6 ; V de Cramér=0,212) : les ménages urbains ont légèrement plus recours à la location et à l’achat direct.</w:t>
      </w:r>
    </w:p>
    <w:p>
      <w:r>
        <w:pict>
          <v:rect style="width:0;height:1.5pt" o:hralign="center" o:hrstd="t" o:hr="t"/>
        </w:pict>
      </w:r>
    </w:p>
    <w:bookmarkEnd w:id="20"/>
    <w:bookmarkStart w:id="21" w:name="introduction"/>
    <w:p>
      <w:pPr>
        <w:pStyle w:val="Heading1"/>
      </w:pPr>
      <w:r>
        <w:rPr>
          <w:rStyle w:val="SectionNumber"/>
        </w:rPr>
        <w:t xml:space="preserve">2</w:t>
      </w:r>
      <w:r>
        <w:tab/>
      </w:r>
      <w:r>
        <w:t xml:space="preserve">Introduction</w:t>
      </w:r>
    </w:p>
    <w:p>
      <w:pPr>
        <w:pStyle w:val="FirstParagraph"/>
      </w:pPr>
      <w:r>
        <w:t xml:space="preserve">L’agriculture représente le socle de l’économie nigériane, source de revenus pour plus de 70% de la population rurale. Face aux défis de sécurité alimentaire pour 200 millions d’habitants, comprendre la structure foncière est indispensable pour concevoir des politiques agricoles efficaces.</w:t>
      </w:r>
    </w:p>
    <w:p>
      <w:pPr>
        <w:pStyle w:val="BodyText"/>
      </w:pPr>
      <w:r>
        <w:t xml:space="preserve">Ce rapport analyse la</w:t>
      </w:r>
      <w:r>
        <w:t xml:space="preserve"> </w:t>
      </w:r>
      <w:r>
        <w:rPr>
          <w:bCs/>
          <w:b/>
        </w:rPr>
        <w:t xml:space="preserve">structure foncière des exploitations nigérianes</w:t>
      </w:r>
      <w:r>
        <w:t xml:space="preserve"> </w:t>
      </w:r>
      <w:r>
        <w:t xml:space="preserve">à partir du GHS Panel Wave 4 (2018-2019), conduit par le National Bureau of Statistics du Nigeria avec l’appui de la Banque mondiale (programme LSMS-ISA). Trois fichiers sont mobilisés :</w:t>
      </w:r>
    </w:p>
    <w:p>
      <w:pPr>
        <w:numPr>
          <w:ilvl w:val="0"/>
          <w:numId w:val="1001"/>
        </w:numPr>
        <w:pStyle w:val="Compact"/>
      </w:pPr>
      <w:r>
        <w:rPr>
          <w:rStyle w:val="VerbatimChar"/>
          <w:bCs/>
          <w:b/>
        </w:rPr>
        <w:t xml:space="preserve">sect11b1_plantingw4.dta</w:t>
      </w:r>
      <w:r>
        <w:t xml:space="preserve"> </w:t>
      </w:r>
      <w:r>
        <w:t xml:space="preserve">: roster des parcelles avec tenure, irrigation, qualité du sol et pente ;</w:t>
      </w:r>
    </w:p>
    <w:p>
      <w:pPr>
        <w:numPr>
          <w:ilvl w:val="0"/>
          <w:numId w:val="1001"/>
        </w:numPr>
        <w:pStyle w:val="Compact"/>
      </w:pPr>
      <w:r>
        <w:rPr>
          <w:rStyle w:val="VerbatimChar"/>
          <w:bCs/>
          <w:b/>
        </w:rPr>
        <w:t xml:space="preserve">nga_plotgeovariables_y4.dta</w:t>
      </w:r>
      <w:r>
        <w:t xml:space="preserve"> </w:t>
      </w:r>
      <w:r>
        <w:t xml:space="preserve">: variables GPS (distance, altitude SRTM, pente) ;</w:t>
      </w:r>
    </w:p>
    <w:p>
      <w:pPr>
        <w:numPr>
          <w:ilvl w:val="0"/>
          <w:numId w:val="1001"/>
        </w:numPr>
        <w:pStyle w:val="Compact"/>
      </w:pPr>
      <w:r>
        <w:rPr>
          <w:rStyle w:val="VerbatimChar"/>
          <w:bCs/>
          <w:b/>
        </w:rPr>
        <w:t xml:space="preserve">secta_harvestw4.dta</w:t>
      </w:r>
      <w:r>
        <w:t xml:space="preserve"> </w:t>
      </w:r>
      <w:r>
        <w:t xml:space="preserve">: poids de sondage et localisation administrative.</w:t>
      </w:r>
    </w:p>
    <w:p>
      <w:pPr>
        <w:pStyle w:val="FirstParagraph"/>
      </w:pPr>
      <w:r>
        <w:t xml:space="preserve">L’analyse couvre les tâches 19 à 24 du syllabus.</w:t>
      </w:r>
    </w:p>
    <w:p>
      <w:r>
        <w:pict>
          <v:rect style="width:0;height:1.5pt" o:hralign="center" o:hrstd="t" o:hr="t"/>
        </w:pict>
      </w:r>
    </w:p>
    <w:bookmarkEnd w:id="21"/>
    <w:bookmarkStart w:id="27" w:name="exploration-et-qualité-des-données"/>
    <w:p>
      <w:pPr>
        <w:pStyle w:val="Heading1"/>
      </w:pPr>
      <w:r>
        <w:rPr>
          <w:rStyle w:val="SectionNumber"/>
        </w:rPr>
        <w:t xml:space="preserve">3</w:t>
      </w:r>
      <w:r>
        <w:tab/>
      </w:r>
      <w:r>
        <w:t xml:space="preserve">Exploration et qualité des données</w:t>
      </w:r>
    </w:p>
    <w:bookmarkStart w:id="22" w:name="fichiers-et-population-analytique"/>
    <w:p>
      <w:pPr>
        <w:pStyle w:val="Heading2"/>
      </w:pPr>
      <w:r>
        <w:rPr>
          <w:rStyle w:val="SectionNumber"/>
        </w:rPr>
        <w:t xml:space="preserve">3.1</w:t>
      </w:r>
      <w:r>
        <w:tab/>
      </w:r>
      <w:r>
        <w:t xml:space="preserve">Fichiers et population analytique</w:t>
      </w:r>
    </w:p>
    <w:p>
      <w:pPr>
        <w:pStyle w:val="TableCaption"/>
      </w:pPr>
      <w:r>
        <w:t xml:space="preserve">Fichiers de donn&lt;U+00E9&gt;es mobilis&lt;U+00E9&gt;s &lt;U+2014&gt; TP4 Analyse Parcelles</w:t>
      </w:r>
    </w:p>
    <w:tbl>
      <w:tblPr>
        <w:tblStyle w:val="Table"/>
        <w:tblW w:type="pct" w:w="5000"/>
        <w:tblLook w:firstRow="1" w:lastRow="0" w:firstColumn="0" w:lastColumn="0" w:noHBand="0" w:noVBand="0" w:val="0020"/>
        <w:jc w:val="start"/>
        <w:tblCaption w:val="Fichiers de donn&lt;U+00E9&gt;es mobilis&lt;U+00E9&gt;s &lt;U+2014&gt; TP4 Analyse Parcelles"/>
      </w:tblPr>
      <w:tblGrid>
        <w:gridCol w:w="1881"/>
        <w:gridCol w:w="4234"/>
        <w:gridCol w:w="1019"/>
        <w:gridCol w:w="784"/>
      </w:tblGrid>
      <w:tr>
        <w:trPr>
          <w:tblHeader w:val="true"/>
        </w:trPr>
        <w:tc>
          <w:tcPr/>
          <w:p>
            <w:pPr>
              <w:pStyle w:val="Compact"/>
              <w:jc w:val="left"/>
            </w:pPr>
            <w:r>
              <w:t xml:space="preserve">Fichier</w:t>
            </w:r>
          </w:p>
        </w:tc>
        <w:tc>
          <w:tcPr/>
          <w:p>
            <w:pPr>
              <w:pStyle w:val="Compact"/>
              <w:jc w:val="left"/>
            </w:pPr>
            <w:r>
              <w:t xml:space="preserve">Description</w:t>
            </w:r>
          </w:p>
        </w:tc>
        <w:tc>
          <w:tcPr/>
          <w:p>
            <w:pPr>
              <w:pStyle w:val="Compact"/>
              <w:jc w:val="right"/>
            </w:pPr>
            <w:r>
              <w:t xml:space="preserve">Observations</w:t>
            </w:r>
          </w:p>
        </w:tc>
        <w:tc>
          <w:tcPr/>
          <w:p>
            <w:pPr>
              <w:pStyle w:val="Compact"/>
              <w:jc w:val="right"/>
            </w:pPr>
            <w:r>
              <w:t xml:space="preserve">Variables</w:t>
            </w:r>
          </w:p>
        </w:tc>
      </w:tr>
      <w:tr>
        <w:tc>
          <w:tcPr/>
          <w:p>
            <w:pPr>
              <w:pStyle w:val="Compact"/>
              <w:jc w:val="left"/>
            </w:pPr>
            <w:r>
              <w:t xml:space="preserve">sect11b1_plantingw4</w:t>
            </w:r>
          </w:p>
        </w:tc>
        <w:tc>
          <w:tcPr/>
          <w:p>
            <w:pPr>
              <w:pStyle w:val="Compact"/>
              <w:jc w:val="left"/>
            </w:pPr>
            <w:r>
              <w:t xml:space="preserve">Parcelles &lt;U+2014&gt; tenure, irrigation, sol, pente</w:t>
            </w:r>
          </w:p>
        </w:tc>
        <w:tc>
          <w:tcPr/>
          <w:p>
            <w:pPr>
              <w:pStyle w:val="Compact"/>
              <w:jc w:val="right"/>
            </w:pPr>
            <w:r>
              <w:t xml:space="preserve">11076</w:t>
            </w:r>
          </w:p>
        </w:tc>
        <w:tc>
          <w:tcPr/>
          <w:p>
            <w:pPr>
              <w:pStyle w:val="Compact"/>
              <w:jc w:val="right"/>
            </w:pPr>
            <w:r>
              <w:t xml:space="preserve">227</w:t>
            </w:r>
          </w:p>
        </w:tc>
      </w:tr>
      <w:tr>
        <w:tc>
          <w:tcPr/>
          <w:p>
            <w:pPr>
              <w:pStyle w:val="Compact"/>
              <w:jc w:val="left"/>
            </w:pPr>
            <w:r>
              <w:t xml:space="preserve">nga_plotgeovariables_y4</w:t>
            </w:r>
          </w:p>
        </w:tc>
        <w:tc>
          <w:tcPr/>
          <w:p>
            <w:pPr>
              <w:pStyle w:val="Compact"/>
              <w:jc w:val="left"/>
            </w:pPr>
            <w:r>
              <w:t xml:space="preserve">Variables GPS &lt;U+2014&gt; altitude, distance, pente SRTM</w:t>
            </w:r>
          </w:p>
        </w:tc>
        <w:tc>
          <w:tcPr/>
          <w:p>
            <w:pPr>
              <w:pStyle w:val="Compact"/>
              <w:jc w:val="right"/>
            </w:pPr>
            <w:r>
              <w:t xml:space="preserve">7354</w:t>
            </w:r>
          </w:p>
        </w:tc>
        <w:tc>
          <w:tcPr/>
          <w:p>
            <w:pPr>
              <w:pStyle w:val="Compact"/>
              <w:jc w:val="right"/>
            </w:pPr>
            <w:r>
              <w:t xml:space="preserve">6</w:t>
            </w:r>
          </w:p>
        </w:tc>
      </w:tr>
      <w:tr>
        <w:tc>
          <w:tcPr/>
          <w:p>
            <w:pPr>
              <w:pStyle w:val="Compact"/>
              <w:jc w:val="left"/>
            </w:pPr>
            <w:r>
              <w:t xml:space="preserve">secta_harvestw4</w:t>
            </w:r>
          </w:p>
        </w:tc>
        <w:tc>
          <w:tcPr/>
          <w:p>
            <w:pPr>
              <w:pStyle w:val="Compact"/>
              <w:jc w:val="left"/>
            </w:pPr>
            <w:r>
              <w:t xml:space="preserve">Menages &lt;U+2014&gt; poids de sondage, zone, etat</w:t>
            </w:r>
          </w:p>
        </w:tc>
        <w:tc>
          <w:tcPr/>
          <w:p>
            <w:pPr>
              <w:pStyle w:val="Compact"/>
              <w:jc w:val="right"/>
            </w:pPr>
            <w:r>
              <w:t xml:space="preserve">5025</w:t>
            </w:r>
          </w:p>
        </w:tc>
        <w:tc>
          <w:tcPr/>
          <w:p>
            <w:pPr>
              <w:pStyle w:val="Compact"/>
              <w:jc w:val="right"/>
            </w:pPr>
            <w:r>
              <w:t xml:space="preserve">22</w:t>
            </w:r>
          </w:p>
        </w:tc>
      </w:tr>
    </w:tbl>
    <w:p>
      <w:pPr>
        <w:pStyle w:val="BodyText"/>
      </w:pPr>
      <w:r>
        <w:t xml:space="preserve">L’échantillon analytique comprend</w:t>
      </w:r>
      <w:r>
        <w:t xml:space="preserve"> </w:t>
      </w:r>
      <w:r>
        <w:rPr>
          <w:bCs/>
          <w:b/>
        </w:rPr>
        <w:t xml:space="preserve">11076 parcelles</w:t>
      </w:r>
      <w:r>
        <w:t xml:space="preserve"> </w:t>
      </w:r>
      <w:r>
        <w:t xml:space="preserve">issues de</w:t>
      </w:r>
      <w:r>
        <w:t xml:space="preserve"> </w:t>
      </w:r>
      <w:r>
        <w:rPr>
          <w:bCs/>
          <w:b/>
        </w:rPr>
        <w:t xml:space="preserve">3915 ménages</w:t>
      </w:r>
      <w:r>
        <w:t xml:space="preserve">. Parmi ces parcelles,</w:t>
      </w:r>
      <w:r>
        <w:t xml:space="preserve"> </w:t>
      </w:r>
      <w:r>
        <w:rPr>
          <w:bCs/>
          <w:b/>
        </w:rPr>
        <w:t xml:space="preserve">8362</w:t>
      </w:r>
      <w:r>
        <w:t xml:space="preserve"> </w:t>
      </w:r>
      <w:r>
        <w:t xml:space="preserve">(75.5%) ont été cultivées en 2018/2019, concernant</w:t>
      </w:r>
      <w:r>
        <w:t xml:space="preserve"> </w:t>
      </w:r>
      <w:r>
        <w:rPr>
          <w:bCs/>
          <w:b/>
        </w:rPr>
        <w:t xml:space="preserve">3493 ménages</w:t>
      </w:r>
      <w:r>
        <w:t xml:space="preserve"> </w:t>
      </w:r>
      <w:r>
        <w:t xml:space="preserve">distincts.</w:t>
      </w:r>
    </w:p>
    <w:bookmarkEnd w:id="22"/>
    <w:bookmarkStart w:id="26" w:name="valeurs-manquantes-tâche-19"/>
    <w:p>
      <w:pPr>
        <w:pStyle w:val="Heading2"/>
      </w:pPr>
      <w:r>
        <w:rPr>
          <w:rStyle w:val="SectionNumber"/>
        </w:rPr>
        <w:t xml:space="preserve">3.2</w:t>
      </w:r>
      <w:r>
        <w:tab/>
      </w:r>
      <w:r>
        <w:t xml:space="preserve">Valeurs manquantes (Tâche 19)</w:t>
      </w:r>
    </w:p>
    <w:p>
      <w:pPr>
        <w:pStyle w:val="TableCaption"/>
      </w:pPr>
      <w:r>
        <w:t xml:space="preserve">Analyse des valeurs manquantes &lt;U+2014&gt; Variables cl&lt;U+00E9&gt;s du module parcelles</w:t>
      </w:r>
    </w:p>
    <w:tbl>
      <w:tblPr>
        <w:tblStyle w:val="Table"/>
        <w:tblW w:type="auto" w:w="0"/>
        <w:tblLook w:firstRow="1" w:lastRow="0" w:firstColumn="0" w:lastColumn="0" w:noHBand="0" w:noVBand="0" w:val="0020"/>
        <w:jc w:val="start"/>
        <w:tblCaption w:val="Analyse des valeurs manquantes &lt;U+2014&gt; Variables cl&lt;U+00E9&gt;s du module parcelles"/>
      </w:tblPr>
      <w:tblGrid>
        <w:gridCol w:w="1980"/>
        <w:gridCol w:w="1980"/>
        <w:gridCol w:w="1980"/>
        <w:gridCol w:w="1980"/>
      </w:tblGrid>
      <w:tr>
        <w:trPr>
          <w:tblHeader w:val="true"/>
        </w:trPr>
        <w:tc>
          <w:tcPr/>
          <w:p>
            <w:pPr>
              <w:pStyle w:val="Compact"/>
              <w:jc w:val="left"/>
            </w:pPr>
            <w:r>
              <w:t xml:space="preserve">Variable</w:t>
            </w:r>
          </w:p>
        </w:tc>
        <w:tc>
          <w:tcPr/>
          <w:p>
            <w:pPr>
              <w:pStyle w:val="Compact"/>
              <w:jc w:val="right"/>
            </w:pPr>
            <w:r>
              <w:t xml:space="preserve">N total</w:t>
            </w:r>
          </w:p>
        </w:tc>
        <w:tc>
          <w:tcPr/>
          <w:p>
            <w:pPr>
              <w:pStyle w:val="Compact"/>
              <w:jc w:val="right"/>
            </w:pPr>
            <w:r>
              <w:t xml:space="preserve">N manquant</w:t>
            </w:r>
          </w:p>
        </w:tc>
        <w:tc>
          <w:tcPr/>
          <w:p>
            <w:pPr>
              <w:pStyle w:val="Compact"/>
              <w:jc w:val="right"/>
            </w:pPr>
            <w:r>
              <w:t xml:space="preserve">% manquant</w:t>
            </w:r>
          </w:p>
        </w:tc>
      </w:tr>
      <w:tr>
        <w:tc>
          <w:tcPr/>
          <w:p>
            <w:pPr>
              <w:pStyle w:val="Compact"/>
              <w:jc w:val="left"/>
            </w:pPr>
            <w:r>
              <w:t xml:space="preserve">Tenure fonci</w:t>
            </w:r>
            <w:r>
              <w:t xml:space="preserve">re</w:t>
            </w:r>
          </w:p>
        </w:tc>
        <w:tc>
          <w:tcPr/>
          <w:p>
            <w:pPr>
              <w:pStyle w:val="Compact"/>
              <w:jc w:val="right"/>
            </w:pPr>
            <w:r>
              <w:t xml:space="preserve">11076</w:t>
            </w:r>
          </w:p>
        </w:tc>
        <w:tc>
          <w:tcPr/>
          <w:p>
            <w:pPr>
              <w:pStyle w:val="Compact"/>
              <w:jc w:val="right"/>
            </w:pPr>
            <w:r>
              <w:t xml:space="preserve">10</w:t>
            </w:r>
          </w:p>
        </w:tc>
        <w:tc>
          <w:tcPr/>
          <w:p>
            <w:pPr>
              <w:pStyle w:val="Compact"/>
              <w:jc w:val="right"/>
            </w:pPr>
            <w:r>
              <w:t xml:space="preserve">0.1</w:t>
            </w:r>
          </w:p>
        </w:tc>
      </w:tr>
      <w:tr>
        <w:tc>
          <w:tcPr/>
          <w:p>
            <w:pPr>
              <w:pStyle w:val="Compact"/>
              <w:jc w:val="left"/>
            </w:pPr>
            <w:r>
              <w:t xml:space="preserve">Secteur</w:t>
            </w:r>
          </w:p>
        </w:tc>
        <w:tc>
          <w:tcPr/>
          <w:p>
            <w:pPr>
              <w:pStyle w:val="Compact"/>
              <w:jc w:val="right"/>
            </w:pPr>
            <w:r>
              <w:t xml:space="preserve">11076</w:t>
            </w:r>
          </w:p>
        </w:tc>
        <w:tc>
          <w:tcPr/>
          <w:p>
            <w:pPr>
              <w:pStyle w:val="Compact"/>
              <w:jc w:val="right"/>
            </w:pPr>
            <w:r>
              <w:t xml:space="preserve">0</w:t>
            </w:r>
          </w:p>
        </w:tc>
        <w:tc>
          <w:tcPr/>
          <w:p>
            <w:pPr>
              <w:pStyle w:val="Compact"/>
              <w:jc w:val="right"/>
            </w:pPr>
            <w:r>
              <w:t xml:space="preserve">0.0</w:t>
            </w:r>
          </w:p>
        </w:tc>
      </w:tr>
      <w:tr>
        <w:tc>
          <w:tcPr/>
          <w:p>
            <w:pPr>
              <w:pStyle w:val="Compact"/>
              <w:jc w:val="left"/>
            </w:pPr>
            <w:r>
              <w:t xml:space="preserve">Cultiv</w:t>
            </w:r>
            <w:r>
              <w:t xml:space="preserve">e</w:t>
            </w:r>
          </w:p>
        </w:tc>
        <w:tc>
          <w:tcPr/>
          <w:p>
            <w:pPr>
              <w:pStyle w:val="Compact"/>
              <w:jc w:val="right"/>
            </w:pPr>
            <w:r>
              <w:t xml:space="preserve">11076</w:t>
            </w:r>
          </w:p>
        </w:tc>
        <w:tc>
          <w:tcPr/>
          <w:p>
            <w:pPr>
              <w:pStyle w:val="Compact"/>
              <w:jc w:val="right"/>
            </w:pPr>
            <w:r>
              <w:t xml:space="preserve">4</w:t>
            </w:r>
          </w:p>
        </w:tc>
        <w:tc>
          <w:tcPr/>
          <w:p>
            <w:pPr>
              <w:pStyle w:val="Compact"/>
              <w:jc w:val="right"/>
            </w:pPr>
            <w:r>
              <w:t xml:space="preserve">0.0</w:t>
            </w:r>
          </w:p>
        </w:tc>
      </w:tr>
      <w:tr>
        <w:tc>
          <w:tcPr/>
          <w:p>
            <w:pPr>
              <w:pStyle w:val="Compact"/>
              <w:jc w:val="left"/>
            </w:pPr>
            <w:r>
              <w:t xml:space="preserve">Irrigu</w:t>
            </w:r>
            <w:r>
              <w:t xml:space="preserve">e</w:t>
            </w:r>
          </w:p>
        </w:tc>
        <w:tc>
          <w:tcPr/>
          <w:p>
            <w:pPr>
              <w:pStyle w:val="Compact"/>
              <w:jc w:val="right"/>
            </w:pPr>
            <w:r>
              <w:t xml:space="preserve">11076</w:t>
            </w:r>
          </w:p>
        </w:tc>
        <w:tc>
          <w:tcPr/>
          <w:p>
            <w:pPr>
              <w:pStyle w:val="Compact"/>
              <w:jc w:val="right"/>
            </w:pPr>
            <w:r>
              <w:t xml:space="preserve">2010</w:t>
            </w:r>
          </w:p>
        </w:tc>
        <w:tc>
          <w:tcPr/>
          <w:p>
            <w:pPr>
              <w:pStyle w:val="Compact"/>
              <w:jc w:val="right"/>
            </w:pPr>
            <w:r>
              <w:t xml:space="preserve">18.1</w:t>
            </w:r>
          </w:p>
        </w:tc>
      </w:tr>
      <w:tr>
        <w:tc>
          <w:tcPr/>
          <w:p>
            <w:pPr>
              <w:pStyle w:val="Compact"/>
              <w:jc w:val="left"/>
            </w:pPr>
            <w:r>
              <w:t xml:space="preserve">Qualit</w:t>
            </w:r>
            <w:r>
              <w:t xml:space="preserve"> </w:t>
            </w:r>
            <w:r>
              <w:t xml:space="preserve">sol</w:t>
            </w:r>
          </w:p>
        </w:tc>
        <w:tc>
          <w:tcPr/>
          <w:p>
            <w:pPr>
              <w:pStyle w:val="Compact"/>
              <w:jc w:val="right"/>
            </w:pPr>
            <w:r>
              <w:t xml:space="preserve">11076</w:t>
            </w:r>
          </w:p>
        </w:tc>
        <w:tc>
          <w:tcPr/>
          <w:p>
            <w:pPr>
              <w:pStyle w:val="Compact"/>
              <w:jc w:val="right"/>
            </w:pPr>
            <w:r>
              <w:t xml:space="preserve">2010</w:t>
            </w:r>
          </w:p>
        </w:tc>
        <w:tc>
          <w:tcPr/>
          <w:p>
            <w:pPr>
              <w:pStyle w:val="Compact"/>
              <w:jc w:val="right"/>
            </w:pPr>
            <w:r>
              <w:t xml:space="preserve">18.1</w:t>
            </w:r>
          </w:p>
        </w:tc>
      </w:tr>
      <w:tr>
        <w:tc>
          <w:tcPr/>
          <w:p>
            <w:pPr>
              <w:pStyle w:val="Compact"/>
              <w:jc w:val="left"/>
            </w:pPr>
            <w:r>
              <w:t xml:space="preserve">Pente</w:t>
            </w:r>
          </w:p>
        </w:tc>
        <w:tc>
          <w:tcPr/>
          <w:p>
            <w:pPr>
              <w:pStyle w:val="Compact"/>
              <w:jc w:val="right"/>
            </w:pPr>
            <w:r>
              <w:t xml:space="preserve">11076</w:t>
            </w:r>
          </w:p>
        </w:tc>
        <w:tc>
          <w:tcPr/>
          <w:p>
            <w:pPr>
              <w:pStyle w:val="Compact"/>
              <w:jc w:val="right"/>
            </w:pPr>
            <w:r>
              <w:t xml:space="preserve">2010</w:t>
            </w:r>
          </w:p>
        </w:tc>
        <w:tc>
          <w:tcPr/>
          <w:p>
            <w:pPr>
              <w:pStyle w:val="Compact"/>
              <w:jc w:val="right"/>
            </w:pPr>
            <w:r>
              <w:t xml:space="preserve">18.1</w:t>
            </w:r>
          </w:p>
        </w:tc>
      </w:tr>
      <w:tr>
        <w:tc>
          <w:tcPr/>
          <w:p>
            <w:pPr>
              <w:pStyle w:val="Compact"/>
              <w:jc w:val="left"/>
            </w:pPr>
            <w:r>
              <w:t xml:space="preserve">Distance GPS</w:t>
            </w:r>
          </w:p>
        </w:tc>
        <w:tc>
          <w:tcPr/>
          <w:p>
            <w:pPr>
              <w:pStyle w:val="Compact"/>
              <w:jc w:val="right"/>
            </w:pPr>
            <w:r>
              <w:t xml:space="preserve">11076</w:t>
            </w:r>
          </w:p>
        </w:tc>
        <w:tc>
          <w:tcPr/>
          <w:p>
            <w:pPr>
              <w:pStyle w:val="Compact"/>
              <w:jc w:val="right"/>
            </w:pPr>
            <w:r>
              <w:t xml:space="preserve">3722</w:t>
            </w:r>
          </w:p>
        </w:tc>
        <w:tc>
          <w:tcPr/>
          <w:p>
            <w:pPr>
              <w:pStyle w:val="Compact"/>
              <w:jc w:val="right"/>
            </w:pPr>
            <w:r>
              <w:t xml:space="preserve">33.6</w:t>
            </w:r>
          </w:p>
        </w:tc>
      </w:tr>
    </w:tbl>
    <w:p>
      <w:pPr>
        <w:pStyle w:val="CaptionedFigure"/>
      </w:pPr>
      <w:r>
        <w:drawing>
          <wp:inline>
            <wp:extent cx="5334000" cy="2963333"/>
            <wp:effectExtent b="0" l="0" r="0" t="0"/>
            <wp:docPr descr="Carte des valeurs manquantes &lt;U+2014&gt; Module Parcelles GHS W4" title="" id="24" name="Picture"/>
            <a:graphic>
              <a:graphicData uri="http://schemas.openxmlformats.org/drawingml/2006/picture">
                <pic:pic>
                  <pic:nvPicPr>
                    <pic:cNvPr descr="../outputs/fig01_carte_NA.png" id="25" name="Picture"/>
                    <pic:cNvPicPr>
                      <a:picLocks noChangeArrowheads="1" noChangeAspect="1"/>
                    </pic:cNvPicPr>
                  </pic:nvPicPr>
                  <pic:blipFill>
                    <a:blip r:embed="rId2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Carte des valeurs manquantes &lt;U+2014&gt; Module Parcelles GHS W4</w:t>
      </w:r>
    </w:p>
    <w:p>
      <w:pPr>
        <w:pStyle w:val="BodyText"/>
      </w:pPr>
      <w:r>
        <w:t xml:space="preserve">Les NA sur</w:t>
      </w:r>
      <w:r>
        <w:t xml:space="preserve"> </w:t>
      </w:r>
      <w:r>
        <w:rPr>
          <w:bCs/>
          <w:b/>
        </w:rPr>
        <w:t xml:space="preserve">irrigation, sol et pente</w:t>
      </w:r>
      <w:r>
        <w:t xml:space="preserve"> </w:t>
      </w:r>
      <w:r>
        <w:t xml:space="preserve">(18,1%) sont structurels : les questions agronomiques ne sont posées que pour les parcelles cultivées. La</w:t>
      </w:r>
      <w:r>
        <w:t xml:space="preserve"> </w:t>
      </w:r>
      <w:r>
        <w:rPr>
          <w:bCs/>
          <w:b/>
        </w:rPr>
        <w:t xml:space="preserve">distance GPS</w:t>
      </w:r>
      <w:r>
        <w:t xml:space="preserve"> </w:t>
      </w:r>
      <w:r>
        <w:t xml:space="preserve">(33,6%) manque pour les parcelles sans mesure satellitaire. La</w:t>
      </w:r>
      <w:r>
        <w:t xml:space="preserve"> </w:t>
      </w:r>
      <w:r>
        <w:rPr>
          <w:bCs/>
          <w:b/>
        </w:rPr>
        <w:t xml:space="preserve">tenure</w:t>
      </w:r>
      <w:r>
        <w:t xml:space="preserve"> </w:t>
      </w:r>
      <w:r>
        <w:t xml:space="preserve">affiche un taux de NA quasi nul (0,1%), témoignant de l’excellente qualité de collecte sur cette variable.</w:t>
      </w:r>
    </w:p>
    <w:p>
      <w:r>
        <w:pict>
          <v:rect style="width:0;height:1.5pt" o:hralign="center" o:hrstd="t" o:hr="t"/>
        </w:pict>
      </w:r>
    </w:p>
    <w:bookmarkEnd w:id="26"/>
    <w:bookmarkEnd w:id="27"/>
    <w:bookmarkStart w:id="36" w:name="analyse-de-la-tenure-foncière-tâche-21"/>
    <w:p>
      <w:pPr>
        <w:pStyle w:val="Heading1"/>
      </w:pPr>
      <w:r>
        <w:rPr>
          <w:rStyle w:val="SectionNumber"/>
        </w:rPr>
        <w:t xml:space="preserve">4</w:t>
      </w:r>
      <w:r>
        <w:tab/>
      </w:r>
      <w:r>
        <w:t xml:space="preserve">Analyse de la tenure foncière (Tâche 21)</w:t>
      </w:r>
    </w:p>
    <w:bookmarkStart w:id="31" w:name="répartition-des-modalités"/>
    <w:p>
      <w:pPr>
        <w:pStyle w:val="Heading2"/>
      </w:pPr>
      <w:r>
        <w:rPr>
          <w:rStyle w:val="SectionNumber"/>
        </w:rPr>
        <w:t xml:space="preserve">4.1</w:t>
      </w:r>
      <w:r>
        <w:tab/>
      </w:r>
      <w:r>
        <w:t xml:space="preserve">Répartition des modalités</w:t>
      </w:r>
    </w:p>
    <w:p>
      <w:pPr>
        <w:pStyle w:val="TableCaption"/>
      </w:pPr>
      <w:r>
        <w:t xml:space="preserve">R&lt;U+00E9&gt;partition des parcelles selon le r&lt;U+00E9&gt;gime de tenure fonci&lt;U+00E8&gt;re &lt;U+2014&gt; GHS W4</w:t>
      </w:r>
    </w:p>
    <w:tbl>
      <w:tblPr>
        <w:tblStyle w:val="Table"/>
        <w:tblW w:type="auto" w:w="0"/>
        <w:tblLook w:firstRow="1" w:lastRow="0" w:firstColumn="0" w:lastColumn="0" w:noHBand="0" w:noVBand="0" w:val="0020"/>
        <w:jc w:val="start"/>
        <w:tblCaption w:val="R&lt;U+00E9&gt;partition des parcelles selon le r&lt;U+00E9&gt;gime de tenure fonci&lt;U+00E8&gt;re &lt;U+2014&gt; GHS W4"/>
      </w:tblPr>
      <w:tblGrid>
        <w:gridCol w:w="2640"/>
        <w:gridCol w:w="2640"/>
        <w:gridCol w:w="2640"/>
      </w:tblGrid>
      <w:tr>
        <w:trPr>
          <w:tblHeader w:val="true"/>
        </w:trPr>
        <w:tc>
          <w:tcPr/>
          <w:p>
            <w:pPr>
              <w:pStyle w:val="Compact"/>
              <w:jc w:val="left"/>
            </w:pPr>
            <w:r>
              <w:t xml:space="preserve">Mode de tenure</w:t>
            </w:r>
          </w:p>
        </w:tc>
        <w:tc>
          <w:tcPr/>
          <w:p>
            <w:pPr>
              <w:pStyle w:val="Compact"/>
              <w:jc w:val="right"/>
            </w:pPr>
            <w:r>
              <w:t xml:space="preserve">N parcelles</w:t>
            </w:r>
          </w:p>
        </w:tc>
        <w:tc>
          <w:tcPr/>
          <w:p>
            <w:pPr>
              <w:pStyle w:val="Compact"/>
              <w:jc w:val="right"/>
            </w:pPr>
            <w:r>
              <w:t xml:space="preserve">% total</w:t>
            </w:r>
          </w:p>
        </w:tc>
      </w:tr>
      <w:tr>
        <w:tc>
          <w:tcPr/>
          <w:p>
            <w:pPr>
              <w:pStyle w:val="Compact"/>
              <w:jc w:val="left"/>
            </w:pPr>
            <w:r>
              <w:t xml:space="preserve">Heritage familial</w:t>
            </w:r>
          </w:p>
        </w:tc>
        <w:tc>
          <w:tcPr/>
          <w:p>
            <w:pPr>
              <w:pStyle w:val="Compact"/>
              <w:jc w:val="right"/>
            </w:pPr>
            <w:r>
              <w:t xml:space="preserve">6960</w:t>
            </w:r>
          </w:p>
        </w:tc>
        <w:tc>
          <w:tcPr/>
          <w:p>
            <w:pPr>
              <w:pStyle w:val="Compact"/>
              <w:jc w:val="right"/>
            </w:pPr>
            <w:r>
              <w:t xml:space="preserve">62.9</w:t>
            </w:r>
          </w:p>
        </w:tc>
      </w:tr>
      <w:tr>
        <w:tc>
          <w:tcPr/>
          <w:p>
            <w:pPr>
              <w:pStyle w:val="Compact"/>
              <w:jc w:val="left"/>
            </w:pPr>
            <w:r>
              <w:t xml:space="preserve">Achat direct</w:t>
            </w:r>
          </w:p>
        </w:tc>
        <w:tc>
          <w:tcPr/>
          <w:p>
            <w:pPr>
              <w:pStyle w:val="Compact"/>
              <w:jc w:val="right"/>
            </w:pPr>
            <w:r>
              <w:t xml:space="preserve">1297</w:t>
            </w:r>
          </w:p>
        </w:tc>
        <w:tc>
          <w:tcPr/>
          <w:p>
            <w:pPr>
              <w:pStyle w:val="Compact"/>
              <w:jc w:val="right"/>
            </w:pPr>
            <w:r>
              <w:t xml:space="preserve">11.7</w:t>
            </w:r>
          </w:p>
        </w:tc>
      </w:tr>
      <w:tr>
        <w:tc>
          <w:tcPr/>
          <w:p>
            <w:pPr>
              <w:pStyle w:val="Compact"/>
              <w:jc w:val="left"/>
            </w:pPr>
            <w:r>
              <w:t xml:space="preserve">Location (cash)</w:t>
            </w:r>
          </w:p>
        </w:tc>
        <w:tc>
          <w:tcPr/>
          <w:p>
            <w:pPr>
              <w:pStyle w:val="Compact"/>
              <w:jc w:val="right"/>
            </w:pPr>
            <w:r>
              <w:t xml:space="preserve">1227</w:t>
            </w:r>
          </w:p>
        </w:tc>
        <w:tc>
          <w:tcPr/>
          <w:p>
            <w:pPr>
              <w:pStyle w:val="Compact"/>
              <w:jc w:val="right"/>
            </w:pPr>
            <w:r>
              <w:t xml:space="preserve">11.1</w:t>
            </w:r>
          </w:p>
        </w:tc>
      </w:tr>
      <w:tr>
        <w:tc>
          <w:tcPr/>
          <w:p>
            <w:pPr>
              <w:pStyle w:val="Compact"/>
              <w:jc w:val="left"/>
            </w:pPr>
            <w:r>
              <w:t xml:space="preserve">Pret/Gratuit</w:t>
            </w:r>
          </w:p>
        </w:tc>
        <w:tc>
          <w:tcPr/>
          <w:p>
            <w:pPr>
              <w:pStyle w:val="Compact"/>
              <w:jc w:val="right"/>
            </w:pPr>
            <w:r>
              <w:t xml:space="preserve">1009</w:t>
            </w:r>
          </w:p>
        </w:tc>
        <w:tc>
          <w:tcPr/>
          <w:p>
            <w:pPr>
              <w:pStyle w:val="Compact"/>
              <w:jc w:val="right"/>
            </w:pPr>
            <w:r>
              <w:t xml:space="preserve">9.1</w:t>
            </w:r>
          </w:p>
        </w:tc>
      </w:tr>
      <w:tr>
        <w:tc>
          <w:tcPr/>
          <w:p>
            <w:pPr>
              <w:pStyle w:val="Compact"/>
              <w:jc w:val="left"/>
            </w:pPr>
            <w:r>
              <w:t xml:space="preserve">Distribution communale</w:t>
            </w:r>
          </w:p>
        </w:tc>
        <w:tc>
          <w:tcPr/>
          <w:p>
            <w:pPr>
              <w:pStyle w:val="Compact"/>
              <w:jc w:val="right"/>
            </w:pPr>
            <w:r>
              <w:t xml:space="preserve">461</w:t>
            </w:r>
          </w:p>
        </w:tc>
        <w:tc>
          <w:tcPr/>
          <w:p>
            <w:pPr>
              <w:pStyle w:val="Compact"/>
              <w:jc w:val="right"/>
            </w:pPr>
            <w:r>
              <w:t xml:space="preserve">4.2</w:t>
            </w:r>
          </w:p>
        </w:tc>
      </w:tr>
      <w:tr>
        <w:tc>
          <w:tcPr/>
          <w:p>
            <w:pPr>
              <w:pStyle w:val="Compact"/>
              <w:jc w:val="left"/>
            </w:pPr>
            <w:r>
              <w:t xml:space="preserve">Metayage</w:t>
            </w:r>
          </w:p>
        </w:tc>
        <w:tc>
          <w:tcPr/>
          <w:p>
            <w:pPr>
              <w:pStyle w:val="Compact"/>
              <w:jc w:val="right"/>
            </w:pPr>
            <w:r>
              <w:t xml:space="preserve">68</w:t>
            </w:r>
          </w:p>
        </w:tc>
        <w:tc>
          <w:tcPr/>
          <w:p>
            <w:pPr>
              <w:pStyle w:val="Compact"/>
              <w:jc w:val="right"/>
            </w:pPr>
            <w:r>
              <w:t xml:space="preserve">0.6</w:t>
            </w:r>
          </w:p>
        </w:tc>
      </w:tr>
      <w:tr>
        <w:tc>
          <w:tcPr/>
          <w:p>
            <w:pPr>
              <w:pStyle w:val="Compact"/>
              <w:jc w:val="left"/>
            </w:pPr>
            <w:r>
              <w:t xml:space="preserve">Echange temporaire</w:t>
            </w:r>
          </w:p>
        </w:tc>
        <w:tc>
          <w:tcPr/>
          <w:p>
            <w:pPr>
              <w:pStyle w:val="Compact"/>
              <w:jc w:val="right"/>
            </w:pPr>
            <w:r>
              <w:t xml:space="preserve">44</w:t>
            </w:r>
          </w:p>
        </w:tc>
        <w:tc>
          <w:tcPr/>
          <w:p>
            <w:pPr>
              <w:pStyle w:val="Compact"/>
              <w:jc w:val="right"/>
            </w:pPr>
            <w:r>
              <w:t xml:space="preserve">0.4</w:t>
            </w:r>
          </w:p>
        </w:tc>
      </w:tr>
    </w:tbl>
    <w:p>
      <w:pPr>
        <w:pStyle w:val="CaptionedFigure"/>
      </w:pPr>
      <w:r>
        <w:drawing>
          <wp:inline>
            <wp:extent cx="5334000" cy="2909454"/>
            <wp:effectExtent b="0" l="0" r="0" t="0"/>
            <wp:docPr descr="R&lt;U+00E9&gt;gime de tenure fonci&lt;U+00E8&gt;re des parcelles agricoles &lt;U+2014&gt; GHS W4" title="" id="29" name="Picture"/>
            <a:graphic>
              <a:graphicData uri="http://schemas.openxmlformats.org/drawingml/2006/picture">
                <pic:pic>
                  <pic:nvPicPr>
                    <pic:cNvPr descr="../outputs/fig02_tenure_barplot.png" id="30" name="Picture"/>
                    <pic:cNvPicPr>
                      <a:picLocks noChangeArrowheads="1" noChangeAspect="1"/>
                    </pic:cNvPicPr>
                  </pic:nvPicPr>
                  <pic:blipFill>
                    <a:blip r:embed="rId28"/>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R&lt;U+00E9&gt;gime de tenure fonci&lt;U+00E8&gt;re des parcelles agricoles &lt;U+2014&gt; GHS W4</w:t>
      </w:r>
    </w:p>
    <w:p>
      <w:pPr>
        <w:pStyle w:val="BodyText"/>
      </w:pPr>
      <w:r>
        <w:t xml:space="preserve">L’</w:t>
      </w:r>
      <w:r>
        <w:rPr>
          <w:bCs/>
          <w:b/>
        </w:rPr>
        <w:t xml:space="preserve">héritage familial</w:t>
      </w:r>
      <w:r>
        <w:t xml:space="preserve"> </w:t>
      </w:r>
      <w:r>
        <w:t xml:space="preserve">est dominant avec 62.9% des parcelles. Ce résultat confirme la prédominance du droit coutumier en milieu rural nigérian. L’achat direct (2e position) reflète la montée progressive d’un marché foncier formel, notamment dans les zones périurbaines.</w:t>
      </w:r>
    </w:p>
    <w:bookmarkEnd w:id="31"/>
    <w:bookmarkStart w:id="35" w:name="test-dindépendance-tenure-milieu"/>
    <w:p>
      <w:pPr>
        <w:pStyle w:val="Heading2"/>
      </w:pPr>
      <w:r>
        <w:rPr>
          <w:rStyle w:val="SectionNumber"/>
        </w:rPr>
        <w:t xml:space="preserve">4.2</w:t>
      </w:r>
      <w:r>
        <w:tab/>
      </w:r>
      <w:r>
        <w:t xml:space="preserve">Test d’indépendance Tenure × Milieu</w:t>
      </w:r>
    </w:p>
    <w:p>
      <w:pPr>
        <w:pStyle w:val="TableCaption"/>
      </w:pPr>
      <w:r>
        <w:t xml:space="preserve">Tests statistiques r&lt;U+00E9&gt;alis&lt;U+00E9&gt;s &lt;U+2014&gt; TP4 Analyse Parcelles GHS W4</w:t>
      </w:r>
    </w:p>
    <w:tbl>
      <w:tblPr>
        <w:tblStyle w:val="Table"/>
        <w:tblW w:type="pct" w:w="5000"/>
        <w:tblLook w:firstRow="1" w:lastRow="0" w:firstColumn="0" w:lastColumn="0" w:noHBand="0" w:noVBand="0" w:val="0020"/>
        <w:jc w:val="start"/>
        <w:tblCaption w:val="Tests statistiques r&lt;U+00E9&gt;alis&lt;U+00E9&gt;s &lt;U+2014&gt; TP4 Analyse Parcelles GHS W4"/>
      </w:tblPr>
      <w:tblGrid>
        <w:gridCol w:w="3740"/>
        <w:gridCol w:w="1320"/>
        <w:gridCol w:w="440"/>
        <w:gridCol w:w="990"/>
        <w:gridCol w:w="1430"/>
      </w:tblGrid>
      <w:tr>
        <w:trPr>
          <w:tblHeader w:val="true"/>
        </w:trPr>
        <w:tc>
          <w:tcPr/>
          <w:p>
            <w:pPr>
              <w:pStyle w:val="Compact"/>
              <w:jc w:val="left"/>
            </w:pPr>
            <w:r>
              <w:t xml:space="preserve">Test</w:t>
            </w:r>
          </w:p>
        </w:tc>
        <w:tc>
          <w:tcPr/>
          <w:p>
            <w:pPr>
              <w:pStyle w:val="Compact"/>
              <w:jc w:val="right"/>
            </w:pPr>
            <w:r>
              <w:t xml:space="preserve">Statistique</w:t>
            </w:r>
          </w:p>
        </w:tc>
        <w:tc>
          <w:tcPr/>
          <w:p>
            <w:pPr>
              <w:pStyle w:val="Compact"/>
              <w:jc w:val="right"/>
            </w:pPr>
            <w:r>
              <w:t xml:space="preserve">ddl</w:t>
            </w:r>
          </w:p>
        </w:tc>
        <w:tc>
          <w:tcPr/>
          <w:p>
            <w:pPr>
              <w:pStyle w:val="Compact"/>
              <w:jc w:val="left"/>
            </w:pPr>
            <w:r>
              <w:t xml:space="preserve">p_value</w:t>
            </w:r>
          </w:p>
        </w:tc>
        <w:tc>
          <w:tcPr/>
          <w:p>
            <w:pPr>
              <w:pStyle w:val="Compact"/>
              <w:jc w:val="right"/>
            </w:pPr>
            <w:r>
              <w:t xml:space="preserve">Taille_effet</w:t>
            </w:r>
          </w:p>
        </w:tc>
      </w:tr>
      <w:tr>
        <w:tc>
          <w:tcPr/>
          <w:p>
            <w:pPr>
              <w:pStyle w:val="Compact"/>
              <w:jc w:val="left"/>
            </w:pPr>
            <w:r>
              <w:t xml:space="preserve">Kruskal-Wallis (parcelles ~ zone)</w:t>
            </w:r>
          </w:p>
        </w:tc>
        <w:tc>
          <w:tcPr/>
          <w:p>
            <w:pPr>
              <w:pStyle w:val="Compact"/>
              <w:jc w:val="right"/>
            </w:pPr>
            <w:r>
              <w:t xml:space="preserve">51.984</w:t>
            </w:r>
          </w:p>
        </w:tc>
        <w:tc>
          <w:tcPr/>
          <w:p>
            <w:pPr>
              <w:pStyle w:val="Compact"/>
              <w:jc w:val="right"/>
            </w:pPr>
            <w:r>
              <w:t xml:space="preserve">5</w:t>
            </w:r>
          </w:p>
        </w:tc>
        <w:tc>
          <w:tcPr/>
          <w:p>
            <w:pPr>
              <w:pStyle w:val="Compact"/>
              <w:jc w:val="left"/>
            </w:pPr>
            <w:r>
              <w:t xml:space="preserve">5.44e-10</w:t>
            </w:r>
          </w:p>
        </w:tc>
        <w:tc>
          <w:tcPr/>
          <w:p>
            <w:pPr>
              <w:pStyle w:val="Compact"/>
              <w:jc w:val="right"/>
            </w:pPr>
            <w:r>
              <w:t xml:space="preserve">NA</w:t>
            </w:r>
          </w:p>
        </w:tc>
      </w:tr>
      <w:tr>
        <w:tc>
          <w:tcPr/>
          <w:p>
            <w:pPr>
              <w:pStyle w:val="Compact"/>
              <w:jc w:val="left"/>
            </w:pPr>
            <w:r>
              <w:t xml:space="preserve">Wilcoxon (parcelles ~ milieu)</w:t>
            </w:r>
          </w:p>
        </w:tc>
        <w:tc>
          <w:tcPr/>
          <w:p>
            <w:pPr>
              <w:pStyle w:val="Compact"/>
              <w:jc w:val="right"/>
            </w:pPr>
            <w:r>
              <w:t xml:space="preserve">1051595.500</w:t>
            </w:r>
          </w:p>
        </w:tc>
        <w:tc>
          <w:tcPr/>
          <w:p>
            <w:pPr>
              <w:pStyle w:val="Compact"/>
              <w:jc w:val="right"/>
            </w:pPr>
            <w:r>
              <w:t xml:space="preserve">NA</w:t>
            </w:r>
          </w:p>
        </w:tc>
        <w:tc>
          <w:tcPr/>
          <w:p>
            <w:pPr>
              <w:pStyle w:val="Compact"/>
              <w:jc w:val="left"/>
            </w:pPr>
            <w:r>
              <w:t xml:space="preserve">&lt;2e-16</w:t>
            </w:r>
          </w:p>
        </w:tc>
        <w:tc>
          <w:tcPr/>
          <w:p>
            <w:pPr>
              <w:pStyle w:val="Compact"/>
              <w:jc w:val="right"/>
            </w:pPr>
            <w:r>
              <w:t xml:space="preserve">0.199</w:t>
            </w:r>
          </w:p>
        </w:tc>
      </w:tr>
      <w:tr>
        <w:tc>
          <w:tcPr/>
          <w:p>
            <w:pPr>
              <w:pStyle w:val="Compact"/>
              <w:jc w:val="left"/>
            </w:pPr>
            <w:r>
              <w:t xml:space="preserve">Chi-deux (tenure ~ milieu)</w:t>
            </w:r>
          </w:p>
        </w:tc>
        <w:tc>
          <w:tcPr/>
          <w:p>
            <w:pPr>
              <w:pStyle w:val="Compact"/>
              <w:jc w:val="right"/>
            </w:pPr>
            <w:r>
              <w:t xml:space="preserve">498.589</w:t>
            </w:r>
          </w:p>
        </w:tc>
        <w:tc>
          <w:tcPr/>
          <w:p>
            <w:pPr>
              <w:pStyle w:val="Compact"/>
              <w:jc w:val="right"/>
            </w:pPr>
            <w:r>
              <w:t xml:space="preserve">6</w:t>
            </w:r>
          </w:p>
        </w:tc>
        <w:tc>
          <w:tcPr/>
          <w:p>
            <w:pPr>
              <w:pStyle w:val="Compact"/>
              <w:jc w:val="left"/>
            </w:pPr>
            <w:r>
              <w:t xml:space="preserve">&lt;2e-16</w:t>
            </w:r>
          </w:p>
        </w:tc>
        <w:tc>
          <w:tcPr/>
          <w:p>
            <w:pPr>
              <w:pStyle w:val="Compact"/>
              <w:jc w:val="right"/>
            </w:pPr>
            <w:r>
              <w:t xml:space="preserve">0.212</w:t>
            </w:r>
          </w:p>
        </w:tc>
      </w:tr>
    </w:tbl>
    <w:p>
      <w:pPr>
        <w:pStyle w:val="CaptionedFigure"/>
      </w:pPr>
      <w:r>
        <w:drawing>
          <wp:inline>
            <wp:extent cx="5334000" cy="4148666"/>
            <wp:effectExtent b="0" l="0" r="0" t="0"/>
            <wp:docPr descr="Tenure fonci&lt;U+00E8&gt;re selon le milieu de r&lt;U+00E9&gt;sidence &lt;U+2014&gt; Proportions" title="" id="33" name="Picture"/>
            <a:graphic>
              <a:graphicData uri="http://schemas.openxmlformats.org/drawingml/2006/picture">
                <pic:pic>
                  <pic:nvPicPr>
                    <pic:cNvPr descr="../outputs/fig03_tenure_milieu_heatmap.png" id="34" name="Picture"/>
                    <pic:cNvPicPr>
                      <a:picLocks noChangeArrowheads="1" noChangeAspect="1"/>
                    </pic:cNvPicPr>
                  </pic:nvPicPr>
                  <pic:blipFill>
                    <a:blip r:embed="rId32"/>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Tenure fonci&lt;U+00E8&gt;re selon le milieu de r&lt;U+00E9&gt;sidence &lt;U+2014&gt; Proportions</w:t>
      </w:r>
    </w:p>
    <w:p>
      <w:pPr>
        <w:pStyle w:val="BodyText"/>
      </w:pPr>
      <w:r>
        <w:t xml:space="preserve">L’association Tenure × Milieu est très significative (X²=498,6 ; p&lt;0,001) mais de faible amplitude (V de Cramér=0,212). Les ménages urbains ont davantage recours à la location et à l’achat direct, traduisant une dynamique de formalisation foncière liée à l’urbanisation.</w:t>
      </w:r>
    </w:p>
    <w:p>
      <w:r>
        <w:pict>
          <v:rect style="width:0;height:1.5pt" o:hralign="center" o:hrstd="t" o:hr="t"/>
        </w:pict>
      </w:r>
    </w:p>
    <w:bookmarkEnd w:id="35"/>
    <w:bookmarkEnd w:id="36"/>
    <w:bookmarkStart w:id="45" w:name="Xa39ccc35b8facafba8b4365e8feb4a58668413d"/>
    <w:p>
      <w:pPr>
        <w:pStyle w:val="Heading1"/>
      </w:pPr>
      <w:r>
        <w:rPr>
          <w:rStyle w:val="SectionNumber"/>
        </w:rPr>
        <w:t xml:space="preserve">5</w:t>
      </w:r>
      <w:r>
        <w:tab/>
      </w:r>
      <w:r>
        <w:t xml:space="preserve">Distribution des parcelles cultivées (Tâches 20 &amp; 23)</w:t>
      </w:r>
    </w:p>
    <w:bookmarkStart w:id="40" w:name="statistiques-descriptives"/>
    <w:p>
      <w:pPr>
        <w:pStyle w:val="Heading2"/>
      </w:pPr>
      <w:r>
        <w:rPr>
          <w:rStyle w:val="SectionNumber"/>
        </w:rPr>
        <w:t xml:space="preserve">5.1</w:t>
      </w:r>
      <w:r>
        <w:tab/>
      </w:r>
      <w:r>
        <w:t xml:space="preserve">Statistiques descriptives</w:t>
      </w:r>
    </w:p>
    <w:p>
      <w:pPr>
        <w:pStyle w:val="TableCaption"/>
      </w:pPr>
      <w:r>
        <w:t xml:space="preserve">Statistiques : nombre de parcelles cultiv&lt;U+00E9&gt;es par m&lt;U+00E9&gt;nage &lt;U+2014&gt; GHS W4</w:t>
      </w:r>
    </w:p>
    <w:tbl>
      <w:tblPr>
        <w:tblStyle w:val="Table"/>
        <w:tblW w:type="auto" w:w="0"/>
        <w:tblLook w:firstRow="1" w:lastRow="0" w:firstColumn="0" w:lastColumn="0" w:noHBand="0" w:noVBand="0" w:val="0020"/>
        <w:jc w:val="start"/>
        <w:tblCaption w:val="Statistiques : nombre de parcelles cultiv&lt;U+00E9&gt;es par m&lt;U+00E9&gt;nage &lt;U+2014&gt; GHS W4"/>
      </w:tblPr>
      <w:tblGrid>
        <w:gridCol w:w="3960"/>
        <w:gridCol w:w="3960"/>
      </w:tblGrid>
      <w:tr>
        <w:trPr>
          <w:tblHeader w:val="true"/>
        </w:trPr>
        <w:tc>
          <w:tcPr/>
          <w:p>
            <w:pPr>
              <w:pStyle w:val="Compact"/>
              <w:jc w:val="left"/>
            </w:pPr>
            <w:r>
              <w:t xml:space="preserve">Statistique</w:t>
            </w:r>
          </w:p>
        </w:tc>
        <w:tc>
          <w:tcPr/>
          <w:p>
            <w:pPr>
              <w:pStyle w:val="Compact"/>
              <w:jc w:val="right"/>
            </w:pPr>
            <w:r>
              <w:t xml:space="preserve">Valeur</w:t>
            </w:r>
          </w:p>
        </w:tc>
      </w:tr>
      <w:tr>
        <w:tc>
          <w:tcPr/>
          <w:p>
            <w:pPr>
              <w:pStyle w:val="Compact"/>
              <w:jc w:val="left"/>
            </w:pPr>
            <w:r>
              <w:t xml:space="preserve">N menages</w:t>
            </w:r>
          </w:p>
        </w:tc>
        <w:tc>
          <w:tcPr/>
          <w:p>
            <w:pPr>
              <w:pStyle w:val="Compact"/>
              <w:jc w:val="right"/>
            </w:pPr>
            <w:r>
              <w:t xml:space="preserve">3492.00</w:t>
            </w:r>
          </w:p>
        </w:tc>
      </w:tr>
      <w:tr>
        <w:tc>
          <w:tcPr/>
          <w:p>
            <w:pPr>
              <w:pStyle w:val="Compact"/>
              <w:jc w:val="left"/>
            </w:pPr>
            <w:r>
              <w:t xml:space="preserve">Minimum</w:t>
            </w:r>
          </w:p>
        </w:tc>
        <w:tc>
          <w:tcPr/>
          <w:p>
            <w:pPr>
              <w:pStyle w:val="Compact"/>
              <w:jc w:val="right"/>
            </w:pPr>
            <w:r>
              <w:t xml:space="preserve">1.00</w:t>
            </w:r>
          </w:p>
        </w:tc>
      </w:tr>
      <w:tr>
        <w:tc>
          <w:tcPr/>
          <w:p>
            <w:pPr>
              <w:pStyle w:val="Compact"/>
              <w:jc w:val="left"/>
            </w:pPr>
            <w:r>
              <w:t xml:space="preserve">Q1</w:t>
            </w:r>
          </w:p>
        </w:tc>
        <w:tc>
          <w:tcPr/>
          <w:p>
            <w:pPr>
              <w:pStyle w:val="Compact"/>
              <w:jc w:val="right"/>
            </w:pPr>
            <w:r>
              <w:t xml:space="preserve">1.00</w:t>
            </w:r>
          </w:p>
        </w:tc>
      </w:tr>
      <w:tr>
        <w:tc>
          <w:tcPr/>
          <w:p>
            <w:pPr>
              <w:pStyle w:val="Compact"/>
              <w:jc w:val="left"/>
            </w:pPr>
            <w:r>
              <w:t xml:space="preserve">Mediane</w:t>
            </w:r>
          </w:p>
        </w:tc>
        <w:tc>
          <w:tcPr/>
          <w:p>
            <w:pPr>
              <w:pStyle w:val="Compact"/>
              <w:jc w:val="right"/>
            </w:pPr>
            <w:r>
              <w:t xml:space="preserve">2.00</w:t>
            </w:r>
          </w:p>
        </w:tc>
      </w:tr>
      <w:tr>
        <w:tc>
          <w:tcPr/>
          <w:p>
            <w:pPr>
              <w:pStyle w:val="Compact"/>
              <w:jc w:val="left"/>
            </w:pPr>
            <w:r>
              <w:t xml:space="preserve">Moyenne</w:t>
            </w:r>
          </w:p>
        </w:tc>
        <w:tc>
          <w:tcPr/>
          <w:p>
            <w:pPr>
              <w:pStyle w:val="Compact"/>
              <w:jc w:val="right"/>
            </w:pPr>
            <w:r>
              <w:t xml:space="preserve">2.39</w:t>
            </w:r>
          </w:p>
        </w:tc>
      </w:tr>
      <w:tr>
        <w:tc>
          <w:tcPr/>
          <w:p>
            <w:pPr>
              <w:pStyle w:val="Compact"/>
              <w:jc w:val="left"/>
            </w:pPr>
            <w:r>
              <w:t xml:space="preserve">Q3</w:t>
            </w:r>
          </w:p>
        </w:tc>
        <w:tc>
          <w:tcPr/>
          <w:p>
            <w:pPr>
              <w:pStyle w:val="Compact"/>
              <w:jc w:val="right"/>
            </w:pPr>
            <w:r>
              <w:t xml:space="preserve">3.00</w:t>
            </w:r>
          </w:p>
        </w:tc>
      </w:tr>
      <w:tr>
        <w:tc>
          <w:tcPr/>
          <w:p>
            <w:pPr>
              <w:pStyle w:val="Compact"/>
              <w:jc w:val="left"/>
            </w:pPr>
            <w:r>
              <w:t xml:space="preserve">Maximum</w:t>
            </w:r>
          </w:p>
        </w:tc>
        <w:tc>
          <w:tcPr/>
          <w:p>
            <w:pPr>
              <w:pStyle w:val="Compact"/>
              <w:jc w:val="right"/>
            </w:pPr>
            <w:r>
              <w:t xml:space="preserve">12.00</w:t>
            </w:r>
          </w:p>
        </w:tc>
      </w:tr>
      <w:tr>
        <w:tc>
          <w:tcPr/>
          <w:p>
            <w:pPr>
              <w:pStyle w:val="Compact"/>
              <w:jc w:val="left"/>
            </w:pPr>
            <w:r>
              <w:t xml:space="preserve">Ecart-type</w:t>
            </w:r>
          </w:p>
        </w:tc>
        <w:tc>
          <w:tcPr/>
          <w:p>
            <w:pPr>
              <w:pStyle w:val="Compact"/>
              <w:jc w:val="right"/>
            </w:pPr>
            <w:r>
              <w:t xml:space="preserve">1.42</w:t>
            </w:r>
          </w:p>
        </w:tc>
      </w:tr>
      <w:tr>
        <w:tc>
          <w:tcPr/>
          <w:p>
            <w:pPr>
              <w:pStyle w:val="Compact"/>
              <w:jc w:val="left"/>
            </w:pPr>
            <w:r>
              <w:t xml:space="preserve">CV (%)</w:t>
            </w:r>
          </w:p>
        </w:tc>
        <w:tc>
          <w:tcPr/>
          <w:p>
            <w:pPr>
              <w:pStyle w:val="Compact"/>
              <w:jc w:val="right"/>
            </w:pPr>
            <w:r>
              <w:t xml:space="preserve">59.30</w:t>
            </w:r>
          </w:p>
        </w:tc>
      </w:tr>
    </w:tbl>
    <w:p>
      <w:pPr>
        <w:pStyle w:val="CaptionedFigure"/>
      </w:pPr>
      <w:r>
        <w:drawing>
          <wp:inline>
            <wp:extent cx="5334000" cy="3200399"/>
            <wp:effectExtent b="0" l="0" r="0" t="0"/>
            <wp:docPr descr="Distribution du nombre de parcelles cultiv&lt;U+00E9&gt;es par m&lt;U+00E9&gt;nage" title="" id="38" name="Picture"/>
            <a:graphic>
              <a:graphicData uri="http://schemas.openxmlformats.org/drawingml/2006/picture">
                <pic:pic>
                  <pic:nvPicPr>
                    <pic:cNvPr descr="../outputs/fig04_distrib_parcelles.png" id="39" name="Picture"/>
                    <pic:cNvPicPr>
                      <a:picLocks noChangeArrowheads="1" noChangeAspect="1"/>
                    </pic:cNvPicPr>
                  </pic:nvPicPr>
                  <pic:blipFill>
                    <a:blip r:embed="rId37"/>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du nombre de parcelles cultiv&lt;U+00E9&gt;es par m&lt;U+00E9&gt;nage</w:t>
      </w:r>
    </w:p>
    <w:p>
      <w:pPr>
        <w:pStyle w:val="BodyText"/>
      </w:pPr>
      <w:r>
        <w:t xml:space="preserve">La distribution est</w:t>
      </w:r>
      <w:r>
        <w:t xml:space="preserve"> </w:t>
      </w:r>
      <w:r>
        <w:rPr>
          <w:bCs/>
          <w:b/>
        </w:rPr>
        <w:t xml:space="preserve">fortement asymétrique</w:t>
      </w:r>
      <w:r>
        <w:t xml:space="preserve"> </w:t>
      </w:r>
      <w:r>
        <w:t xml:space="preserve">(CV=59.3%) : la majorité des ménages cultivent 1 à 3 parcelles, mais une minorité dispose d’exploitations bien plus étendues, révélant des inégalités foncières importantes.</w:t>
      </w:r>
    </w:p>
    <w:bookmarkEnd w:id="40"/>
    <w:bookmarkStart w:id="44" w:name="comparaison-rural-vs-urbain"/>
    <w:p>
      <w:pPr>
        <w:pStyle w:val="Heading2"/>
      </w:pPr>
      <w:r>
        <w:rPr>
          <w:rStyle w:val="SectionNumber"/>
        </w:rPr>
        <w:t xml:space="preserve">5.2</w:t>
      </w:r>
      <w:r>
        <w:tab/>
      </w:r>
      <w:r>
        <w:t xml:space="preserve">Comparaison Rural vs Urbain</w:t>
      </w:r>
    </w:p>
    <w:p>
      <w:pPr>
        <w:pStyle w:val="CaptionedFigure"/>
      </w:pPr>
      <w:r>
        <w:drawing>
          <wp:inline>
            <wp:extent cx="5334000" cy="3555999"/>
            <wp:effectExtent b="0" l="0" r="0" t="0"/>
            <wp:docPr descr="Nombre de parcelles : Rural vs Urbain &lt;U+2014&gt; Violin + Test de Wilcoxon" title="" id="42" name="Picture"/>
            <a:graphic>
              <a:graphicData uri="http://schemas.openxmlformats.org/drawingml/2006/picture">
                <pic:pic>
                  <pic:nvPicPr>
                    <pic:cNvPr descr="../outputs/fig06_violin_rural_urbain.png" id="43" name="Picture"/>
                    <pic:cNvPicPr>
                      <a:picLocks noChangeArrowheads="1" noChangeAspect="1"/>
                    </pic:cNvPicPr>
                  </pic:nvPicPr>
                  <pic:blipFill>
                    <a:blip r:embed="rId41"/>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Nombre de parcelles : Rural vs Urbain &lt;U+2014&gt; Violin + Test de Wilcoxon</w:t>
      </w:r>
    </w:p>
    <w:p>
      <w:pPr>
        <w:pStyle w:val="BodyText"/>
      </w:pPr>
      <w:r>
        <w:t xml:space="preserve">Les ménages ruraux cultivent significativement plus de parcelles (médiane=2) que les ménages urbains (médiane=1). La taille d’effet modérée (r≈0,13) indique que la différence existe mais n’est pas massive, reflétant la diversification des sources de revenus des ménages agricoles urbains.</w:t>
      </w:r>
    </w:p>
    <w:p>
      <w:r>
        <w:pict>
          <v:rect style="width:0;height:1.5pt" o:hralign="center" o:hrstd="t" o:hr="t"/>
        </w:pict>
      </w:r>
    </w:p>
    <w:bookmarkEnd w:id="44"/>
    <w:bookmarkEnd w:id="45"/>
    <w:bookmarkStart w:id="58" w:name="disparités-géographiques-tâches-22-24"/>
    <w:p>
      <w:pPr>
        <w:pStyle w:val="Heading1"/>
      </w:pPr>
      <w:r>
        <w:rPr>
          <w:rStyle w:val="SectionNumber"/>
        </w:rPr>
        <w:t xml:space="preserve">6</w:t>
      </w:r>
      <w:r>
        <w:tab/>
      </w:r>
      <w:r>
        <w:t xml:space="preserve">Disparités géographiques (Tâches 22 &amp; 24)</w:t>
      </w:r>
    </w:p>
    <w:bookmarkStart w:id="49" w:name="par-zone-géopolitique"/>
    <w:p>
      <w:pPr>
        <w:pStyle w:val="Heading2"/>
      </w:pPr>
      <w:r>
        <w:rPr>
          <w:rStyle w:val="SectionNumber"/>
        </w:rPr>
        <w:t xml:space="preserve">6.1</w:t>
      </w:r>
      <w:r>
        <w:tab/>
      </w:r>
      <w:r>
        <w:t xml:space="preserve">Par zone géopolitique</w:t>
      </w:r>
    </w:p>
    <w:p>
      <w:pPr>
        <w:pStyle w:val="TableCaption"/>
      </w:pPr>
      <w:r>
        <w:t xml:space="preserve">Structure fonci&lt;U+00E8&gt;re par zone g&lt;U+00E9&gt;opolitique &lt;U+2014&gt; GHS W4</w:t>
      </w:r>
    </w:p>
    <w:tbl>
      <w:tblPr>
        <w:tblStyle w:val="Table"/>
        <w:tblW w:type="pct" w:w="5000"/>
        <w:tblLook w:firstRow="1" w:lastRow="0" w:firstColumn="0" w:lastColumn="0" w:noHBand="0" w:noVBand="0" w:val="0020"/>
        <w:jc w:val="start"/>
        <w:tblCaption w:val="Structure fonci&lt;U+00E8&gt;re par zone g&lt;U+00E9&gt;opolitique &lt;U+2014&gt; GHS W4"/>
      </w:tblPr>
      <w:tblGrid>
        <w:gridCol w:w="1584"/>
        <w:gridCol w:w="1131"/>
        <w:gridCol w:w="905"/>
        <w:gridCol w:w="905"/>
        <w:gridCol w:w="1244"/>
        <w:gridCol w:w="792"/>
        <w:gridCol w:w="1357"/>
      </w:tblGrid>
      <w:tr>
        <w:trPr>
          <w:tblHeader w:val="true"/>
        </w:trPr>
        <w:tc>
          <w:tcPr/>
          <w:p>
            <w:pPr>
              <w:pStyle w:val="Compact"/>
              <w:jc w:val="left"/>
            </w:pPr>
            <w:r>
              <w:t xml:space="preserve">Zone</w:t>
            </w:r>
          </w:p>
        </w:tc>
        <w:tc>
          <w:tcPr/>
          <w:p>
            <w:pPr>
              <w:pStyle w:val="Compact"/>
              <w:jc w:val="right"/>
            </w:pPr>
            <w:r>
              <w:t xml:space="preserve">N menages</w:t>
            </w:r>
          </w:p>
        </w:tc>
        <w:tc>
          <w:tcPr/>
          <w:p>
            <w:pPr>
              <w:pStyle w:val="Compact"/>
              <w:jc w:val="right"/>
            </w:pPr>
            <w:r>
              <w:t xml:space="preserve">Mediane</w:t>
            </w:r>
          </w:p>
        </w:tc>
        <w:tc>
          <w:tcPr/>
          <w:p>
            <w:pPr>
              <w:pStyle w:val="Compact"/>
              <w:jc w:val="right"/>
            </w:pPr>
            <w:r>
              <w:t xml:space="preserve">Moyenne</w:t>
            </w:r>
          </w:p>
        </w:tc>
        <w:tc>
          <w:tcPr/>
          <w:p>
            <w:pPr>
              <w:pStyle w:val="Compact"/>
              <w:jc w:val="right"/>
            </w:pPr>
            <w:r>
              <w:t xml:space="preserve">Ecart-type</w:t>
            </w:r>
          </w:p>
        </w:tc>
        <w:tc>
          <w:tcPr/>
          <w:p>
            <w:pPr>
              <w:pStyle w:val="Compact"/>
              <w:jc w:val="right"/>
            </w:pPr>
            <w:r>
              <w:t xml:space="preserve">CV (%)</w:t>
            </w:r>
          </w:p>
        </w:tc>
        <w:tc>
          <w:tcPr/>
          <w:p>
            <w:pPr>
              <w:pStyle w:val="Compact"/>
              <w:jc w:val="right"/>
            </w:pPr>
            <w:r>
              <w:t xml:space="preserve">% &gt; 3 parc.</w:t>
            </w:r>
          </w:p>
        </w:tc>
      </w:tr>
      <w:tr>
        <w:tc>
          <w:tcPr/>
          <w:p>
            <w:pPr>
              <w:pStyle w:val="Compact"/>
              <w:jc w:val="left"/>
            </w:pPr>
            <w:r>
              <w:t xml:space="preserve">North Central</w:t>
            </w:r>
          </w:p>
        </w:tc>
        <w:tc>
          <w:tcPr/>
          <w:p>
            <w:pPr>
              <w:pStyle w:val="Compact"/>
              <w:jc w:val="right"/>
            </w:pPr>
            <w:r>
              <w:t xml:space="preserve">592</w:t>
            </w:r>
          </w:p>
        </w:tc>
        <w:tc>
          <w:tcPr/>
          <w:p>
            <w:pPr>
              <w:pStyle w:val="Compact"/>
              <w:jc w:val="right"/>
            </w:pPr>
            <w:r>
              <w:t xml:space="preserve">2</w:t>
            </w:r>
          </w:p>
        </w:tc>
        <w:tc>
          <w:tcPr/>
          <w:p>
            <w:pPr>
              <w:pStyle w:val="Compact"/>
              <w:jc w:val="right"/>
            </w:pPr>
            <w:r>
              <w:t xml:space="preserve">2.59</w:t>
            </w:r>
          </w:p>
        </w:tc>
        <w:tc>
          <w:tcPr/>
          <w:p>
            <w:pPr>
              <w:pStyle w:val="Compact"/>
              <w:jc w:val="right"/>
            </w:pPr>
            <w:r>
              <w:t xml:space="preserve">1.61</w:t>
            </w:r>
          </w:p>
        </w:tc>
        <w:tc>
          <w:tcPr/>
          <w:p>
            <w:pPr>
              <w:pStyle w:val="Compact"/>
              <w:jc w:val="right"/>
            </w:pPr>
            <w:r>
              <w:t xml:space="preserve">62.2</w:t>
            </w:r>
          </w:p>
        </w:tc>
        <w:tc>
          <w:tcPr/>
          <w:p>
            <w:pPr>
              <w:pStyle w:val="Compact"/>
              <w:jc w:val="right"/>
            </w:pPr>
            <w:r>
              <w:t xml:space="preserve">21.5</w:t>
            </w:r>
          </w:p>
        </w:tc>
      </w:tr>
      <w:tr>
        <w:tc>
          <w:tcPr/>
          <w:p>
            <w:pPr>
              <w:pStyle w:val="Compact"/>
              <w:jc w:val="left"/>
            </w:pPr>
            <w:r>
              <w:t xml:space="preserve">North East</w:t>
            </w:r>
          </w:p>
        </w:tc>
        <w:tc>
          <w:tcPr/>
          <w:p>
            <w:pPr>
              <w:pStyle w:val="Compact"/>
              <w:jc w:val="right"/>
            </w:pPr>
            <w:r>
              <w:t xml:space="preserve">726</w:t>
            </w:r>
          </w:p>
        </w:tc>
        <w:tc>
          <w:tcPr/>
          <w:p>
            <w:pPr>
              <w:pStyle w:val="Compact"/>
              <w:jc w:val="right"/>
            </w:pPr>
            <w:r>
              <w:t xml:space="preserve">2</w:t>
            </w:r>
          </w:p>
        </w:tc>
        <w:tc>
          <w:tcPr/>
          <w:p>
            <w:pPr>
              <w:pStyle w:val="Compact"/>
              <w:jc w:val="right"/>
            </w:pPr>
            <w:r>
              <w:t xml:space="preserve">2.42</w:t>
            </w:r>
          </w:p>
        </w:tc>
        <w:tc>
          <w:tcPr/>
          <w:p>
            <w:pPr>
              <w:pStyle w:val="Compact"/>
              <w:jc w:val="right"/>
            </w:pPr>
            <w:r>
              <w:t xml:space="preserve">1.30</w:t>
            </w:r>
          </w:p>
        </w:tc>
        <w:tc>
          <w:tcPr/>
          <w:p>
            <w:pPr>
              <w:pStyle w:val="Compact"/>
              <w:jc w:val="right"/>
            </w:pPr>
            <w:r>
              <w:t xml:space="preserve">53.8</w:t>
            </w:r>
          </w:p>
        </w:tc>
        <w:tc>
          <w:tcPr/>
          <w:p>
            <w:pPr>
              <w:pStyle w:val="Compact"/>
              <w:jc w:val="right"/>
            </w:pPr>
            <w:r>
              <w:t xml:space="preserve">14.7</w:t>
            </w:r>
          </w:p>
        </w:tc>
      </w:tr>
      <w:tr>
        <w:tc>
          <w:tcPr/>
          <w:p>
            <w:pPr>
              <w:pStyle w:val="Compact"/>
              <w:jc w:val="left"/>
            </w:pPr>
            <w:r>
              <w:t xml:space="preserve">North West</w:t>
            </w:r>
          </w:p>
        </w:tc>
        <w:tc>
          <w:tcPr/>
          <w:p>
            <w:pPr>
              <w:pStyle w:val="Compact"/>
              <w:jc w:val="right"/>
            </w:pPr>
            <w:r>
              <w:t xml:space="preserve">711</w:t>
            </w:r>
          </w:p>
        </w:tc>
        <w:tc>
          <w:tcPr/>
          <w:p>
            <w:pPr>
              <w:pStyle w:val="Compact"/>
              <w:jc w:val="right"/>
            </w:pPr>
            <w:r>
              <w:t xml:space="preserve">2</w:t>
            </w:r>
          </w:p>
        </w:tc>
        <w:tc>
          <w:tcPr/>
          <w:p>
            <w:pPr>
              <w:pStyle w:val="Compact"/>
              <w:jc w:val="right"/>
            </w:pPr>
            <w:r>
              <w:t xml:space="preserve">2.29</w:t>
            </w:r>
          </w:p>
        </w:tc>
        <w:tc>
          <w:tcPr/>
          <w:p>
            <w:pPr>
              <w:pStyle w:val="Compact"/>
              <w:jc w:val="right"/>
            </w:pPr>
            <w:r>
              <w:t xml:space="preserve">1.48</w:t>
            </w:r>
          </w:p>
        </w:tc>
        <w:tc>
          <w:tcPr/>
          <w:p>
            <w:pPr>
              <w:pStyle w:val="Compact"/>
              <w:jc w:val="right"/>
            </w:pPr>
            <w:r>
              <w:t xml:space="preserve">64.7</w:t>
            </w:r>
          </w:p>
        </w:tc>
        <w:tc>
          <w:tcPr/>
          <w:p>
            <w:pPr>
              <w:pStyle w:val="Compact"/>
              <w:jc w:val="right"/>
            </w:pPr>
            <w:r>
              <w:t xml:space="preserve">14.9</w:t>
            </w:r>
          </w:p>
        </w:tc>
      </w:tr>
      <w:tr>
        <w:tc>
          <w:tcPr/>
          <w:p>
            <w:pPr>
              <w:pStyle w:val="Compact"/>
              <w:jc w:val="left"/>
            </w:pPr>
            <w:r>
              <w:t xml:space="preserve">South East</w:t>
            </w:r>
          </w:p>
        </w:tc>
        <w:tc>
          <w:tcPr/>
          <w:p>
            <w:pPr>
              <w:pStyle w:val="Compact"/>
              <w:jc w:val="right"/>
            </w:pPr>
            <w:r>
              <w:t xml:space="preserve">644</w:t>
            </w:r>
          </w:p>
        </w:tc>
        <w:tc>
          <w:tcPr/>
          <w:p>
            <w:pPr>
              <w:pStyle w:val="Compact"/>
              <w:jc w:val="right"/>
            </w:pPr>
            <w:r>
              <w:t xml:space="preserve">2</w:t>
            </w:r>
          </w:p>
        </w:tc>
        <w:tc>
          <w:tcPr/>
          <w:p>
            <w:pPr>
              <w:pStyle w:val="Compact"/>
              <w:jc w:val="right"/>
            </w:pPr>
            <w:r>
              <w:t xml:space="preserve">2.44</w:t>
            </w:r>
          </w:p>
        </w:tc>
        <w:tc>
          <w:tcPr/>
          <w:p>
            <w:pPr>
              <w:pStyle w:val="Compact"/>
              <w:jc w:val="right"/>
            </w:pPr>
            <w:r>
              <w:t xml:space="preserve">1.21</w:t>
            </w:r>
          </w:p>
        </w:tc>
        <w:tc>
          <w:tcPr/>
          <w:p>
            <w:pPr>
              <w:pStyle w:val="Compact"/>
              <w:jc w:val="right"/>
            </w:pPr>
            <w:r>
              <w:t xml:space="preserve">49.6</w:t>
            </w:r>
          </w:p>
        </w:tc>
        <w:tc>
          <w:tcPr/>
          <w:p>
            <w:pPr>
              <w:pStyle w:val="Compact"/>
              <w:jc w:val="right"/>
            </w:pPr>
            <w:r>
              <w:t xml:space="preserve">14.3</w:t>
            </w:r>
          </w:p>
        </w:tc>
      </w:tr>
      <w:tr>
        <w:tc>
          <w:tcPr/>
          <w:p>
            <w:pPr>
              <w:pStyle w:val="Compact"/>
              <w:jc w:val="left"/>
            </w:pPr>
            <w:r>
              <w:t xml:space="preserve">South South</w:t>
            </w:r>
          </w:p>
        </w:tc>
        <w:tc>
          <w:tcPr/>
          <w:p>
            <w:pPr>
              <w:pStyle w:val="Compact"/>
              <w:jc w:val="right"/>
            </w:pPr>
            <w:r>
              <w:t xml:space="preserve">529</w:t>
            </w:r>
          </w:p>
        </w:tc>
        <w:tc>
          <w:tcPr/>
          <w:p>
            <w:pPr>
              <w:pStyle w:val="Compact"/>
              <w:jc w:val="right"/>
            </w:pPr>
            <w:r>
              <w:t xml:space="preserve">2</w:t>
            </w:r>
          </w:p>
        </w:tc>
        <w:tc>
          <w:tcPr/>
          <w:p>
            <w:pPr>
              <w:pStyle w:val="Compact"/>
              <w:jc w:val="right"/>
            </w:pPr>
            <w:r>
              <w:t xml:space="preserve">2.43</w:t>
            </w:r>
          </w:p>
        </w:tc>
        <w:tc>
          <w:tcPr/>
          <w:p>
            <w:pPr>
              <w:pStyle w:val="Compact"/>
              <w:jc w:val="right"/>
            </w:pPr>
            <w:r>
              <w:t xml:space="preserve">1.59</w:t>
            </w:r>
          </w:p>
        </w:tc>
        <w:tc>
          <w:tcPr/>
          <w:p>
            <w:pPr>
              <w:pStyle w:val="Compact"/>
              <w:jc w:val="right"/>
            </w:pPr>
            <w:r>
              <w:t xml:space="preserve">65.5</w:t>
            </w:r>
          </w:p>
        </w:tc>
        <w:tc>
          <w:tcPr/>
          <w:p>
            <w:pPr>
              <w:pStyle w:val="Compact"/>
              <w:jc w:val="right"/>
            </w:pPr>
            <w:r>
              <w:t xml:space="preserve">19.1</w:t>
            </w:r>
          </w:p>
        </w:tc>
      </w:tr>
      <w:tr>
        <w:tc>
          <w:tcPr/>
          <w:p>
            <w:pPr>
              <w:pStyle w:val="Compact"/>
              <w:jc w:val="left"/>
            </w:pPr>
            <w:r>
              <w:t xml:space="preserve">South West</w:t>
            </w:r>
          </w:p>
        </w:tc>
        <w:tc>
          <w:tcPr/>
          <w:p>
            <w:pPr>
              <w:pStyle w:val="Compact"/>
              <w:jc w:val="right"/>
            </w:pPr>
            <w:r>
              <w:t xml:space="preserve">290</w:t>
            </w:r>
          </w:p>
        </w:tc>
        <w:tc>
          <w:tcPr/>
          <w:p>
            <w:pPr>
              <w:pStyle w:val="Compact"/>
              <w:jc w:val="right"/>
            </w:pPr>
            <w:r>
              <w:t xml:space="preserve">2</w:t>
            </w:r>
          </w:p>
        </w:tc>
        <w:tc>
          <w:tcPr/>
          <w:p>
            <w:pPr>
              <w:pStyle w:val="Compact"/>
              <w:jc w:val="right"/>
            </w:pPr>
            <w:r>
              <w:t xml:space="preserve">2.03</w:t>
            </w:r>
          </w:p>
        </w:tc>
        <w:tc>
          <w:tcPr/>
          <w:p>
            <w:pPr>
              <w:pStyle w:val="Compact"/>
              <w:jc w:val="right"/>
            </w:pPr>
            <w:r>
              <w:t xml:space="preserve">1.14</w:t>
            </w:r>
          </w:p>
        </w:tc>
        <w:tc>
          <w:tcPr/>
          <w:p>
            <w:pPr>
              <w:pStyle w:val="Compact"/>
              <w:jc w:val="right"/>
            </w:pPr>
            <w:r>
              <w:t xml:space="preserve">56.4</w:t>
            </w:r>
          </w:p>
        </w:tc>
        <w:tc>
          <w:tcPr/>
          <w:p>
            <w:pPr>
              <w:pStyle w:val="Compact"/>
              <w:jc w:val="right"/>
            </w:pPr>
            <w:r>
              <w:t xml:space="preserve">9.0</w:t>
            </w:r>
          </w:p>
        </w:tc>
      </w:tr>
    </w:tbl>
    <w:p>
      <w:pPr>
        <w:pStyle w:val="CaptionedFigure"/>
      </w:pPr>
      <w:r>
        <w:drawing>
          <wp:inline>
            <wp:extent cx="5334000" cy="3200399"/>
            <wp:effectExtent b="0" l="0" r="0" t="0"/>
            <wp:docPr descr="Distribution du nombre de parcelles par zone &lt;U+2014&gt; Test de Kruskal-Wallis" title="" id="47" name="Picture"/>
            <a:graphic>
              <a:graphicData uri="http://schemas.openxmlformats.org/drawingml/2006/picture">
                <pic:pic>
                  <pic:nvPicPr>
                    <pic:cNvPr descr="../outputs/fig05_boxplot_zones.png" id="48" name="Picture"/>
                    <pic:cNvPicPr>
                      <a:picLocks noChangeArrowheads="1" noChangeAspect="1"/>
                    </pic:cNvPicPr>
                  </pic:nvPicPr>
                  <pic:blipFill>
                    <a:blip r:embed="rId46"/>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du nombre de parcelles par zone &lt;U+2014&gt; Test de Kruskal-Wallis</w:t>
      </w:r>
    </w:p>
    <w:p>
      <w:pPr>
        <w:pStyle w:val="BodyText"/>
      </w:pPr>
      <w:r>
        <w:t xml:space="preserve">Le Kruskal-Wallis confirme des différences très significatives entre zones (H=51,98 ; p&lt;0,001). Le North-East et le North-West présentent les médianes les plus élevées (systèmes extensifs sahéliens), le South-East la médiane la plus faible (forte densité de population).</w:t>
      </w:r>
    </w:p>
    <w:bookmarkEnd w:id="49"/>
    <w:bookmarkStart w:id="53" w:name="heatmap-état-zone-tâche-24"/>
    <w:p>
      <w:pPr>
        <w:pStyle w:val="Heading2"/>
      </w:pPr>
      <w:r>
        <w:rPr>
          <w:rStyle w:val="SectionNumber"/>
        </w:rPr>
        <w:t xml:space="preserve">6.2</w:t>
      </w:r>
      <w:r>
        <w:tab/>
      </w:r>
      <w:r>
        <w:t xml:space="preserve">Heatmap État × Zone (Tâche 24)</w:t>
      </w:r>
    </w:p>
    <w:p>
      <w:pPr>
        <w:pStyle w:val="CaptionedFigure"/>
      </w:pPr>
      <w:r>
        <w:drawing>
          <wp:inline>
            <wp:extent cx="5334000" cy="6667500"/>
            <wp:effectExtent b="0" l="0" r="0" t="0"/>
            <wp:docPr descr="Intensit&lt;U+00E9&gt; fonci&lt;U+00E8&gt;re par &lt;U+00C9&gt;tat &lt;U+2014&gt; M&lt;U+00E9&gt;diane parcelles/m&lt;U+00E9&gt;nage" title="" id="51" name="Picture"/>
            <a:graphic>
              <a:graphicData uri="http://schemas.openxmlformats.org/drawingml/2006/picture">
                <pic:pic>
                  <pic:nvPicPr>
                    <pic:cNvPr descr="../outputs/fig07_heatmap_etat_zone.png" id="52" name="Picture"/>
                    <pic:cNvPicPr>
                      <a:picLocks noChangeArrowheads="1" noChangeAspect="1"/>
                    </pic:cNvPicPr>
                  </pic:nvPicPr>
                  <pic:blipFill>
                    <a:blip r:embed="rId50"/>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Intensit&lt;U+00E9&gt; fonci&lt;U+00E8&gt;re par &lt;U+00C9&gt;tat &lt;U+2014&gt; M&lt;U+00E9&gt;diane parcelles/m&lt;U+00E9&gt;nage</w:t>
      </w:r>
    </w:p>
    <w:p>
      <w:pPr>
        <w:pStyle w:val="BodyText"/>
      </w:pPr>
      <w:r>
        <w:t xml:space="preserve">La heatmap révèle des disparités intra-zones importantes. Kebbi et Zamfara (North-West) affichent les médianes les plus élevées (&gt;4 parcelles), tandis que tous les États du South-East restent ≤2 parcelles. Cette granularité géographique est essentielle pour des politiques foncières ciblées.</w:t>
      </w:r>
    </w:p>
    <w:bookmarkEnd w:id="53"/>
    <w:bookmarkStart w:id="57" w:name="ridge-plot-distribution-par-zone"/>
    <w:p>
      <w:pPr>
        <w:pStyle w:val="Heading2"/>
      </w:pPr>
      <w:r>
        <w:rPr>
          <w:rStyle w:val="SectionNumber"/>
        </w:rPr>
        <w:t xml:space="preserve">6.3</w:t>
      </w:r>
      <w:r>
        <w:tab/>
      </w:r>
      <w:r>
        <w:t xml:space="preserve">Ridge plot — Distribution par zone</w:t>
      </w:r>
    </w:p>
    <w:p>
      <w:pPr>
        <w:pStyle w:val="CaptionedFigure"/>
      </w:pPr>
      <w:r>
        <w:drawing>
          <wp:inline>
            <wp:extent cx="5334000" cy="3200399"/>
            <wp:effectExtent b="0" l="0" r="0" t="0"/>
            <wp:docPr descr="Distribution du nombre de parcelles par zone &lt;U+2014&gt; Ridge plots" title="" id="55" name="Picture"/>
            <a:graphic>
              <a:graphicData uri="http://schemas.openxmlformats.org/drawingml/2006/picture">
                <pic:pic>
                  <pic:nvPicPr>
                    <pic:cNvPr descr="../outputs/fig09_ridge_zones.png" id="56" name="Picture"/>
                    <pic:cNvPicPr>
                      <a:picLocks noChangeArrowheads="1" noChangeAspect="1"/>
                    </pic:cNvPicPr>
                  </pic:nvPicPr>
                  <pic:blipFill>
                    <a:blip r:embed="rId5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Distribution du nombre de parcelles par zone &lt;U+2014&gt; Ridge plots</w:t>
      </w:r>
    </w:p>
    <w:p>
      <w:pPr>
        <w:pStyle w:val="BodyText"/>
      </w:pPr>
      <w:r>
        <w:t xml:space="preserve">Les zones du Nord présentent des distributions plus étalées (hétérogénéité foncière forte), tandis que les zones du Sud-Est montrent des distributions concentrées autour de petites valeurs (homogénéité et fragmentation).</w:t>
      </w:r>
    </w:p>
    <w:p>
      <w:r>
        <w:pict>
          <v:rect style="width:0;height:1.5pt" o:hralign="center" o:hrstd="t" o:hr="t"/>
        </w:pict>
      </w:r>
    </w:p>
    <w:bookmarkEnd w:id="57"/>
    <w:bookmarkEnd w:id="58"/>
    <w:bookmarkStart w:id="72" w:name="distance-des-parcelles-au-domicile"/>
    <w:p>
      <w:pPr>
        <w:pStyle w:val="Heading1"/>
      </w:pPr>
      <w:r>
        <w:rPr>
          <w:rStyle w:val="SectionNumber"/>
        </w:rPr>
        <w:t xml:space="preserve">7</w:t>
      </w:r>
      <w:r>
        <w:tab/>
      </w:r>
      <w:r>
        <w:t xml:space="preserve">Distance des parcelles au domicile</w:t>
      </w:r>
    </w:p>
    <w:p>
      <w:pPr>
        <w:pStyle w:val="CaptionedFigure"/>
      </w:pPr>
      <w:r>
        <w:drawing>
          <wp:inline>
            <wp:extent cx="5334000" cy="3200399"/>
            <wp:effectExtent b="0" l="0" r="0" t="0"/>
            <wp:docPr descr="Distance des parcelles au domicile selon le milieu" title="" id="60" name="Picture"/>
            <a:graphic>
              <a:graphicData uri="http://schemas.openxmlformats.org/drawingml/2006/picture">
                <pic:pic>
                  <pic:nvPicPr>
                    <pic:cNvPr descr="../outputs/fig08_distance_parcelles.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Distance des parcelles au domicile selon le milieu</w:t>
      </w:r>
    </w:p>
    <w:p>
      <w:pPr>
        <w:pStyle w:val="BodyText"/>
      </w:pPr>
      <w:r>
        <w:t xml:space="preserve">Les parcelles urbaines tendent à être légèrement plus éloignées du domicile, résultat de la rareté des terres péri-urbaines qui contraint les ménages agricoles urbains à accéder à des terres plus distantes, augmentant les coûts de transaction et de supervision.</w:t>
      </w:r>
    </w:p>
    <w:p>
      <w:r>
        <w:pict>
          <v:rect style="width:0;height:1.5pt" o:hralign="center" o:hrstd="t" o:hr="t"/>
        </w:pict>
      </w:r>
    </w:p>
    <w:bookmarkStart w:id="71" w:name="cartes-choroplèthes-géographiques"/>
    <w:p>
      <w:pPr>
        <w:pStyle w:val="Heading2"/>
      </w:pPr>
      <w:r>
        <w:rPr>
          <w:rStyle w:val="SectionNumber"/>
        </w:rPr>
        <w:t xml:space="preserve">7.1</w:t>
      </w:r>
      <w:r>
        <w:tab/>
      </w:r>
      <w:r>
        <w:t xml:space="preserve">Cartes Choroplèthes Géographiques</w:t>
      </w:r>
    </w:p>
    <w:p>
      <w:pPr>
        <w:pStyle w:val="CaptionedFigure"/>
      </w:pPr>
      <w:r>
        <w:drawing>
          <wp:inline>
            <wp:extent cx="5334000" cy="4849090"/>
            <wp:effectExtent b="0" l="0" r="0" t="0"/>
            <wp:docPr descr="Carte 1 &lt;U+2014&gt; Intensit&lt;U+00E9&gt; fonci&lt;U+00E8&gt;re par &lt;U+00C9&gt;tat du Nigeria (m&lt;U+00E9&gt;diane parcelles/m&lt;U+00E9&gt;nage)" title="" id="63" name="Picture"/>
            <a:graphic>
              <a:graphicData uri="http://schemas.openxmlformats.org/drawingml/2006/picture">
                <pic:pic>
                  <pic:nvPicPr>
                    <pic:cNvPr descr="../outputs/fig_carte1_intensite_fonciere.png" id="64" name="Picture"/>
                    <pic:cNvPicPr>
                      <a:picLocks noChangeArrowheads="1" noChangeAspect="1"/>
                    </pic:cNvPicPr>
                  </pic:nvPicPr>
                  <pic:blipFill>
                    <a:blip r:embed="rId62"/>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Carte 1 &lt;U+2014&gt; Intensit&lt;U+00E9&gt; fonci&lt;U+00E8&gt;re par &lt;U+00C9&gt;tat du Nigeria (m&lt;U+00E9&gt;diane parcelles/m&lt;U+00E9&gt;nage)</w:t>
      </w:r>
    </w:p>
    <w:p>
      <w:pPr>
        <w:pStyle w:val="BodyText"/>
      </w:pPr>
      <w:r>
        <w:t xml:space="preserve">La carte choroplèthe révèle une géographie foncière claire : les États du</w:t>
      </w:r>
      <w:r>
        <w:t xml:space="preserve"> </w:t>
      </w:r>
      <w:r>
        <w:rPr>
          <w:bCs/>
          <w:b/>
        </w:rPr>
        <w:t xml:space="preserve">Nord-Ouest</w:t>
      </w:r>
      <w:r>
        <w:t xml:space="preserve"> </w:t>
      </w:r>
      <w:r>
        <w:t xml:space="preserve">(Kebbi, Zamfara, Sokoto) et du</w:t>
      </w:r>
      <w:r>
        <w:t xml:space="preserve"> </w:t>
      </w:r>
      <w:r>
        <w:rPr>
          <w:bCs/>
          <w:b/>
        </w:rPr>
        <w:t xml:space="preserve">Nord-Est</w:t>
      </w:r>
      <w:r>
        <w:t xml:space="preserve"> </w:t>
      </w:r>
      <w:r>
        <w:t xml:space="preserve">(Borno, Adamawa, Yobe) affichent les médianes les plus élevées (3 à 5 parcelles par ménage), en cohérence avec les systèmes extensifs de culture céréalière sahélienne sur grandes superficies. À l’inverse, les États du</w:t>
      </w:r>
      <w:r>
        <w:t xml:space="preserve"> </w:t>
      </w:r>
      <w:r>
        <w:rPr>
          <w:bCs/>
          <w:b/>
        </w:rPr>
        <w:t xml:space="preserve">Sud-Est</w:t>
      </w:r>
      <w:r>
        <w:t xml:space="preserve"> </w:t>
      </w:r>
      <w:r>
        <w:t xml:space="preserve">(Imo, Anambra, Abia) et du</w:t>
      </w:r>
      <w:r>
        <w:t xml:space="preserve"> </w:t>
      </w:r>
      <w:r>
        <w:rPr>
          <w:bCs/>
          <w:b/>
        </w:rPr>
        <w:t xml:space="preserve">South-South</w:t>
      </w:r>
      <w:r>
        <w:t xml:space="preserve"> </w:t>
      </w:r>
      <w:r>
        <w:t xml:space="preserve">(Rivers, Bayelsa) présentent les médianes les plus faibles (1 à 2 parcelles), reflet d’une agriculture intensive sous forte pression démographique.</w:t>
      </w:r>
    </w:p>
    <w:p>
      <w:pPr>
        <w:pStyle w:val="CaptionedFigure"/>
      </w:pPr>
      <w:r>
        <w:drawing>
          <wp:inline>
            <wp:extent cx="5334000" cy="4849090"/>
            <wp:effectExtent b="0" l="0" r="0" t="0"/>
            <wp:docPr descr="Carte 2 &lt;U+2014&gt; Proportion de m&lt;U+00E9&gt;nages avec 3 parcelles ou plus par &lt;U+00C9&gt;tat" title="" id="66" name="Picture"/>
            <a:graphic>
              <a:graphicData uri="http://schemas.openxmlformats.org/drawingml/2006/picture">
                <pic:pic>
                  <pic:nvPicPr>
                    <pic:cNvPr descr="../outputs/fig_carte2_fragmentation.png" id="67" name="Picture"/>
                    <pic:cNvPicPr>
                      <a:picLocks noChangeArrowheads="1" noChangeAspect="1"/>
                    </pic:cNvPicPr>
                  </pic:nvPicPr>
                  <pic:blipFill>
                    <a:blip r:embed="rId65"/>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Carte 2 &lt;U+2014&gt; Proportion de m&lt;U+00E9&gt;nages avec 3 parcelles ou plus par &lt;U+00C9&gt;tat</w:t>
      </w:r>
    </w:p>
    <w:p>
      <w:pPr>
        <w:pStyle w:val="CaptionedFigure"/>
      </w:pPr>
      <w:r>
        <w:drawing>
          <wp:inline>
            <wp:extent cx="5334000" cy="4849090"/>
            <wp:effectExtent b="0" l="0" r="0" t="0"/>
            <wp:docPr descr="Carte 3 &lt;U+2014&gt; Zones g&lt;U+00E9&gt;opolitiques du Nigeria" title="" id="69" name="Picture"/>
            <a:graphic>
              <a:graphicData uri="http://schemas.openxmlformats.org/drawingml/2006/picture">
                <pic:pic>
                  <pic:nvPicPr>
                    <pic:cNvPr descr="../outputs/fig_carte3_zones.png" id="70" name="Picture"/>
                    <pic:cNvPicPr>
                      <a:picLocks noChangeArrowheads="1" noChangeAspect="1"/>
                    </pic:cNvPicPr>
                  </pic:nvPicPr>
                  <pic:blipFill>
                    <a:blip r:embed="rId68"/>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Carte 3 &lt;U+2014&gt; Zones g&lt;U+00E9&gt;opolitiques du Nigeria</w:t>
      </w:r>
    </w:p>
    <w:bookmarkEnd w:id="71"/>
    <w:bookmarkEnd w:id="72"/>
    <w:bookmarkStart w:id="76" w:name="tableau-de-bord-récapitulatif"/>
    <w:p>
      <w:pPr>
        <w:pStyle w:val="Heading1"/>
      </w:pPr>
      <w:r>
        <w:rPr>
          <w:rStyle w:val="SectionNumber"/>
        </w:rPr>
        <w:t xml:space="preserve">8</w:t>
      </w:r>
      <w:r>
        <w:tab/>
      </w:r>
      <w:r>
        <w:t xml:space="preserve">Tableau de bord récapitulatif</w:t>
      </w:r>
    </w:p>
    <w:p>
      <w:pPr>
        <w:pStyle w:val="CaptionedFigure"/>
      </w:pPr>
      <w:r>
        <w:drawing>
          <wp:inline>
            <wp:extent cx="5334000" cy="2667000"/>
            <wp:effectExtent b="0" l="0" r="0" t="0"/>
            <wp:docPr descr="Tableau de bord &lt;U+2014&gt; Structure Fonci&lt;U+00E8&gt;re des Exploitations Agricoles Nig&lt;U+00E9&gt;rianes" title="" id="74" name="Picture"/>
            <a:graphic>
              <a:graphicData uri="http://schemas.openxmlformats.org/drawingml/2006/picture">
                <pic:pic>
                  <pic:nvPicPr>
                    <pic:cNvPr descr="../outputs/fig10_dashboard_foncier.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Tableau de bord &lt;U+2014&gt; Structure Fonci&lt;U+00E8&gt;re des Exploitations Agricoles Nig&lt;U+00E9&gt;rianes</w:t>
      </w:r>
    </w:p>
    <w:p>
      <w:r>
        <w:pict>
          <v:rect style="width:0;height:1.5pt" o:hralign="center" o:hrstd="t" o:hr="t"/>
        </w:pict>
      </w:r>
    </w:p>
    <w:bookmarkEnd w:id="76"/>
    <w:bookmarkStart w:id="77" w:name="conclusion"/>
    <w:p>
      <w:pPr>
        <w:pStyle w:val="Heading1"/>
      </w:pPr>
      <w:r>
        <w:rPr>
          <w:rStyle w:val="SectionNumber"/>
        </w:rPr>
        <w:t xml:space="preserve">9</w:t>
      </w:r>
      <w:r>
        <w:tab/>
      </w:r>
      <w:r>
        <w:t xml:space="preserve">Conclusion</w:t>
      </w:r>
    </w:p>
    <w:p>
      <w:pPr>
        <w:pStyle w:val="FirstParagraph"/>
      </w:pPr>
      <w:r>
        <w:t xml:space="preserve">L’analyse de la structure foncière des exploitations du GHS W4 dégage quatre enseignements pour la politique agricole :</w:t>
      </w:r>
    </w:p>
    <w:p>
      <w:pPr>
        <w:pStyle w:val="BodyText"/>
      </w:pPr>
      <w:r>
        <w:rPr>
          <w:bCs/>
          <w:b/>
        </w:rPr>
        <w:t xml:space="preserve">1. Prédominance du foncier coutumier.</w:t>
      </w:r>
      <w:r>
        <w:t xml:space="preserve"> </w:t>
      </w:r>
      <w:r>
        <w:t xml:space="preserve">L’héritage familial (62,9%) freine la formalisation et l’investissement à long terme. La sécurisation foncière est un préalable à l’intensification agricole durable.</w:t>
      </w:r>
    </w:p>
    <w:p>
      <w:pPr>
        <w:pStyle w:val="BodyText"/>
      </w:pPr>
      <w:r>
        <w:rPr>
          <w:bCs/>
          <w:b/>
        </w:rPr>
        <w:t xml:space="preserve">2. Fragmentation persistante.</w:t>
      </w:r>
      <w:r>
        <w:t xml:space="preserve"> </w:t>
      </w:r>
      <w:r>
        <w:t xml:space="preserve">Médiane=2 parcelles, CV=59.3% : l’exploitation nigériane reste morcelée. La consolidation foncière progressive — sans dépossession — est nécessaire pour permettre la mécanisation et réduire les coûts unitaires de production.</w:t>
      </w:r>
    </w:p>
    <w:p>
      <w:pPr>
        <w:pStyle w:val="BodyText"/>
      </w:pPr>
      <w:r>
        <w:rPr>
          <w:bCs/>
          <w:b/>
        </w:rPr>
        <w:t xml:space="preserve">3. Fracture Nord-Sud robuste.</w:t>
      </w:r>
      <w:r>
        <w:t xml:space="preserve"> </w:t>
      </w:r>
      <w:r>
        <w:t xml:space="preserve">Les disparités sont très significatives (p&lt;0,001) et géographiquement cohérentes : systèmes extensifs au Nord, intensifs au Sud. Les politiques foncières doivent être différenciées par zone.</w:t>
      </w:r>
    </w:p>
    <w:p>
      <w:pPr>
        <w:pStyle w:val="BodyText"/>
      </w:pPr>
      <w:r>
        <w:rPr>
          <w:bCs/>
          <w:b/>
        </w:rPr>
        <w:t xml:space="preserve">4. Dynamique d’urbanisation à accompagner.</w:t>
      </w:r>
      <w:r>
        <w:t xml:space="preserve"> </w:t>
      </w:r>
      <w:r>
        <w:t xml:space="preserve">La différence Rural-Urbain est réelle mais modérée (r=0,13), signalant une convergence progressive. L’agriculture urbaine et péri-urbaine mérite un cadre juridique adapté.</w:t>
      </w:r>
    </w:p>
    <w:p>
      <w:r>
        <w:pict>
          <v:rect style="width:0;height:1.5pt" o:hralign="center" o:hrstd="t" o:hr="t"/>
        </w:pict>
      </w:r>
    </w:p>
    <w:p>
      <w:pPr>
        <w:pStyle w:val="FirstParagraph"/>
      </w:pPr>
      <w:r>
        <w:rPr>
          <w:iCs/>
          <w:i/>
        </w:rPr>
        <w:t xml:space="preserve">Rapport TP4 — ENSAE ISE1 | 2025-2026</w:t>
      </w:r>
      <w:r>
        <w:br/>
      </w:r>
      <w:r>
        <w:rPr>
          <w:iCs/>
          <w:i/>
        </w:rPr>
        <w:t xml:space="preserve">Données : Nigeria GHS Panel W4 (2018-2019) — World Bank LSMS-ISA</w:t>
      </w:r>
      <w:r>
        <w:br/>
      </w:r>
      <w:r>
        <w:rPr>
          <w:iCs/>
          <w:i/>
        </w:rPr>
        <w:t xml:space="preserve">Outils : R R version 4.3.3 (2024-02-29) | rmarkdown, haven, dplyr, ggplot2</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54" Target="media/rId54.png" /><Relationship Type="http://schemas.openxmlformats.org/officeDocument/2006/relationships/image" Id="rId73" Target="media/rId73.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des Parcelles Agricoles Nigérianes</dc:title>
  <dc:creator>ENSAE ISE1 | 2025-2026</dc:creator>
  <cp:keywords/>
  <dcterms:created xsi:type="dcterms:W3CDTF">2026-04-11T01:11:28Z</dcterms:created>
  <dcterms:modified xsi:type="dcterms:W3CDTF">2026-04-11T01:11:28Z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April 2026</vt:lpwstr>
  </property>
  <property fmtid="{D5CDD505-2E9C-101B-9397-08002B2CF9AE}" pid="3" name="output">
    <vt:lpwstr/>
  </property>
  <property fmtid="{D5CDD505-2E9C-101B-9397-08002B2CF9AE}" pid="4" name="subtitle">
    <vt:lpwstr>Superficie, Tenure Foncière et Structure Agraire — GHS Panel Wave 4 (2018-2019)</vt:lpwstr>
  </property>
</Properties>
</file>