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4042B" w14:textId="77777777" w:rsidR="00E0100C" w:rsidRDefault="00BE787E">
      <w:pPr>
        <w:pStyle w:val="Titre"/>
      </w:pPr>
      <w:r>
        <w:t>Éducation et alphabétisation des ménages nigérians</w:t>
      </w:r>
    </w:p>
    <w:p w14:paraId="421093B4" w14:textId="77777777" w:rsidR="00E0100C" w:rsidRDefault="00BE787E">
      <w:pPr>
        <w:pStyle w:val="Sous-titre"/>
      </w:pPr>
      <w:r>
        <w:t>Nigeria General Household Survey Panel Wave 4 (2018-2019)</w:t>
      </w:r>
    </w:p>
    <w:p w14:paraId="10FF2F12" w14:textId="77777777" w:rsidR="00E0100C" w:rsidRDefault="00BE787E">
      <w:pPr>
        <w:pStyle w:val="Author"/>
      </w:pPr>
      <w:r>
        <w:t>Nkwa T. Leslye &amp; Keita Lancina</w:t>
      </w:r>
    </w:p>
    <w:p w14:paraId="28BD6E60" w14:textId="77777777" w:rsidR="00E0100C" w:rsidRDefault="00BE787E">
      <w:pPr>
        <w:pStyle w:val="Date"/>
      </w:pPr>
      <w:r>
        <w:t>24 mars 2026</w:t>
      </w:r>
    </w:p>
    <w:sdt>
      <w:sdtPr>
        <w:rPr>
          <w:rFonts w:eastAsiaTheme="minorHAnsi" w:cstheme="minorBidi"/>
          <w:b w:val="0"/>
          <w:color w:val="auto"/>
          <w:sz w:val="24"/>
          <w:szCs w:val="24"/>
        </w:rPr>
        <w:id w:val="1108310879"/>
        <w:docPartObj>
          <w:docPartGallery w:val="Table of Contents"/>
          <w:docPartUnique/>
        </w:docPartObj>
      </w:sdtPr>
      <w:sdtEndPr/>
      <w:sdtContent>
        <w:p w14:paraId="0640327E" w14:textId="77777777" w:rsidR="00E0100C" w:rsidRDefault="00BE787E">
          <w:pPr>
            <w:pStyle w:val="En-ttedetabledesmatires"/>
          </w:pPr>
          <w:r>
            <w:t>Table of Contents</w:t>
          </w:r>
        </w:p>
        <w:p w14:paraId="67DDC88A" w14:textId="77777777" w:rsidR="00A904B0" w:rsidRDefault="00BE787E">
          <w:pPr>
            <w:pStyle w:val="TM1"/>
            <w:tabs>
              <w:tab w:val="left" w:pos="440"/>
              <w:tab w:val="right" w:leader="dot" w:pos="9350"/>
            </w:tabs>
            <w:rPr>
              <w:rFonts w:asciiTheme="minorHAnsi" w:eastAsiaTheme="minorEastAsia" w:hAnsiTheme="minorHAnsi"/>
              <w:noProof/>
              <w:sz w:val="22"/>
              <w:szCs w:val="22"/>
              <w:lang w:val="fr-FR" w:eastAsia="fr-FR"/>
            </w:rPr>
          </w:pPr>
          <w:r>
            <w:fldChar w:fldCharType="begin"/>
          </w:r>
          <w:r>
            <w:instrText>TOC \o "1-2" \h \z \u</w:instrText>
          </w:r>
          <w:r>
            <w:fldChar w:fldCharType="separate"/>
          </w:r>
          <w:hyperlink w:anchor="_Toc226279908" w:history="1">
            <w:r w:rsidR="00A904B0" w:rsidRPr="00A46FC5">
              <w:rPr>
                <w:rStyle w:val="Lienhypertexte"/>
                <w:noProof/>
              </w:rPr>
              <w:t>1</w:t>
            </w:r>
            <w:r w:rsidR="00A904B0">
              <w:rPr>
                <w:rFonts w:asciiTheme="minorHAnsi" w:eastAsiaTheme="minorEastAsia" w:hAnsiTheme="minorHAnsi"/>
                <w:noProof/>
                <w:sz w:val="22"/>
                <w:szCs w:val="22"/>
                <w:lang w:val="fr-FR" w:eastAsia="fr-FR"/>
              </w:rPr>
              <w:tab/>
            </w:r>
            <w:r w:rsidR="00A904B0" w:rsidRPr="00A46FC5">
              <w:rPr>
                <w:rStyle w:val="Lienhypertexte"/>
                <w:noProof/>
              </w:rPr>
              <w:t>Messages clés</w:t>
            </w:r>
            <w:r w:rsidR="00A904B0">
              <w:rPr>
                <w:noProof/>
                <w:webHidden/>
              </w:rPr>
              <w:tab/>
            </w:r>
            <w:r w:rsidR="00A904B0">
              <w:rPr>
                <w:noProof/>
                <w:webHidden/>
              </w:rPr>
              <w:fldChar w:fldCharType="begin"/>
            </w:r>
            <w:r w:rsidR="00A904B0">
              <w:rPr>
                <w:noProof/>
                <w:webHidden/>
              </w:rPr>
              <w:instrText xml:space="preserve"> PAGEREF _Toc226279908 \h </w:instrText>
            </w:r>
            <w:r w:rsidR="00A904B0">
              <w:rPr>
                <w:noProof/>
                <w:webHidden/>
              </w:rPr>
            </w:r>
            <w:r w:rsidR="00A904B0">
              <w:rPr>
                <w:noProof/>
                <w:webHidden/>
              </w:rPr>
              <w:fldChar w:fldCharType="separate"/>
            </w:r>
            <w:r w:rsidR="00A904B0">
              <w:rPr>
                <w:noProof/>
                <w:webHidden/>
              </w:rPr>
              <w:t>2</w:t>
            </w:r>
            <w:r w:rsidR="00A904B0">
              <w:rPr>
                <w:noProof/>
                <w:webHidden/>
              </w:rPr>
              <w:fldChar w:fldCharType="end"/>
            </w:r>
          </w:hyperlink>
        </w:p>
        <w:p w14:paraId="42633BE3"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09" w:history="1">
            <w:r w:rsidRPr="00A46FC5">
              <w:rPr>
                <w:rStyle w:val="Lienhypertexte"/>
                <w:noProof/>
              </w:rPr>
              <w:t>2</w:t>
            </w:r>
            <w:r>
              <w:rPr>
                <w:rFonts w:asciiTheme="minorHAnsi" w:eastAsiaTheme="minorEastAsia" w:hAnsiTheme="minorHAnsi"/>
                <w:noProof/>
                <w:sz w:val="22"/>
                <w:szCs w:val="22"/>
                <w:lang w:val="fr-FR" w:eastAsia="fr-FR"/>
              </w:rPr>
              <w:tab/>
            </w:r>
            <w:r w:rsidRPr="00A46FC5">
              <w:rPr>
                <w:rStyle w:val="Lienhypertexte"/>
                <w:noProof/>
              </w:rPr>
              <w:t>Introduction</w:t>
            </w:r>
            <w:r>
              <w:rPr>
                <w:noProof/>
                <w:webHidden/>
              </w:rPr>
              <w:tab/>
            </w:r>
            <w:r>
              <w:rPr>
                <w:noProof/>
                <w:webHidden/>
              </w:rPr>
              <w:fldChar w:fldCharType="begin"/>
            </w:r>
            <w:r>
              <w:rPr>
                <w:noProof/>
                <w:webHidden/>
              </w:rPr>
              <w:instrText xml:space="preserve"> PAGEREF _Toc226279909 \h </w:instrText>
            </w:r>
            <w:r>
              <w:rPr>
                <w:noProof/>
                <w:webHidden/>
              </w:rPr>
            </w:r>
            <w:r>
              <w:rPr>
                <w:noProof/>
                <w:webHidden/>
              </w:rPr>
              <w:fldChar w:fldCharType="separate"/>
            </w:r>
            <w:r>
              <w:rPr>
                <w:noProof/>
                <w:webHidden/>
              </w:rPr>
              <w:t>3</w:t>
            </w:r>
            <w:r>
              <w:rPr>
                <w:noProof/>
                <w:webHidden/>
              </w:rPr>
              <w:fldChar w:fldCharType="end"/>
            </w:r>
          </w:hyperlink>
        </w:p>
        <w:p w14:paraId="73FD4090"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10" w:history="1">
            <w:r w:rsidRPr="00A46FC5">
              <w:rPr>
                <w:rStyle w:val="Lienhypertexte"/>
                <w:noProof/>
              </w:rPr>
              <w:t>3</w:t>
            </w:r>
            <w:r>
              <w:rPr>
                <w:rFonts w:asciiTheme="minorHAnsi" w:eastAsiaTheme="minorEastAsia" w:hAnsiTheme="minorHAnsi"/>
                <w:noProof/>
                <w:sz w:val="22"/>
                <w:szCs w:val="22"/>
                <w:lang w:val="fr-FR" w:eastAsia="fr-FR"/>
              </w:rPr>
              <w:tab/>
            </w:r>
            <w:r w:rsidRPr="00A46FC5">
              <w:rPr>
                <w:rStyle w:val="Lienhypertexte"/>
                <w:noProof/>
              </w:rPr>
              <w:t>Exploration et qualité des données</w:t>
            </w:r>
            <w:r>
              <w:rPr>
                <w:noProof/>
                <w:webHidden/>
              </w:rPr>
              <w:tab/>
            </w:r>
            <w:r>
              <w:rPr>
                <w:noProof/>
                <w:webHidden/>
              </w:rPr>
              <w:fldChar w:fldCharType="begin"/>
            </w:r>
            <w:r>
              <w:rPr>
                <w:noProof/>
                <w:webHidden/>
              </w:rPr>
              <w:instrText xml:space="preserve"> PAGEREF _Toc226279910 \h </w:instrText>
            </w:r>
            <w:r>
              <w:rPr>
                <w:noProof/>
                <w:webHidden/>
              </w:rPr>
            </w:r>
            <w:r>
              <w:rPr>
                <w:noProof/>
                <w:webHidden/>
              </w:rPr>
              <w:fldChar w:fldCharType="separate"/>
            </w:r>
            <w:r>
              <w:rPr>
                <w:noProof/>
                <w:webHidden/>
              </w:rPr>
              <w:t>3</w:t>
            </w:r>
            <w:r>
              <w:rPr>
                <w:noProof/>
                <w:webHidden/>
              </w:rPr>
              <w:fldChar w:fldCharType="end"/>
            </w:r>
          </w:hyperlink>
        </w:p>
        <w:p w14:paraId="55A2D0FE" w14:textId="77777777" w:rsidR="00A904B0" w:rsidRDefault="00A904B0">
          <w:pPr>
            <w:pStyle w:val="TM2"/>
            <w:tabs>
              <w:tab w:val="left" w:pos="880"/>
              <w:tab w:val="right" w:leader="dot" w:pos="9350"/>
            </w:tabs>
            <w:rPr>
              <w:rFonts w:asciiTheme="minorHAnsi" w:eastAsiaTheme="minorEastAsia" w:hAnsiTheme="minorHAnsi"/>
              <w:noProof/>
              <w:sz w:val="22"/>
              <w:szCs w:val="22"/>
              <w:lang w:val="fr-FR" w:eastAsia="fr-FR"/>
            </w:rPr>
          </w:pPr>
          <w:hyperlink w:anchor="_Toc226279911" w:history="1">
            <w:r w:rsidRPr="00A46FC5">
              <w:rPr>
                <w:rStyle w:val="Lienhypertexte"/>
                <w:noProof/>
              </w:rPr>
              <w:t>3.1</w:t>
            </w:r>
            <w:r>
              <w:rPr>
                <w:rFonts w:asciiTheme="minorHAnsi" w:eastAsiaTheme="minorEastAsia" w:hAnsiTheme="minorHAnsi"/>
                <w:noProof/>
                <w:sz w:val="22"/>
                <w:szCs w:val="22"/>
                <w:lang w:val="fr-FR" w:eastAsia="fr-FR"/>
              </w:rPr>
              <w:tab/>
            </w:r>
            <w:r w:rsidRPr="00A46FC5">
              <w:rPr>
                <w:rStyle w:val="Lienhypertexte"/>
                <w:noProof/>
              </w:rPr>
              <w:t>Fichiers mobilisés et population analytique</w:t>
            </w:r>
            <w:r>
              <w:rPr>
                <w:noProof/>
                <w:webHidden/>
              </w:rPr>
              <w:tab/>
            </w:r>
            <w:r>
              <w:rPr>
                <w:noProof/>
                <w:webHidden/>
              </w:rPr>
              <w:fldChar w:fldCharType="begin"/>
            </w:r>
            <w:r>
              <w:rPr>
                <w:noProof/>
                <w:webHidden/>
              </w:rPr>
              <w:instrText xml:space="preserve"> PAGEREF _Toc226279911 \h </w:instrText>
            </w:r>
            <w:r>
              <w:rPr>
                <w:noProof/>
                <w:webHidden/>
              </w:rPr>
            </w:r>
            <w:r>
              <w:rPr>
                <w:noProof/>
                <w:webHidden/>
              </w:rPr>
              <w:fldChar w:fldCharType="separate"/>
            </w:r>
            <w:r>
              <w:rPr>
                <w:noProof/>
                <w:webHidden/>
              </w:rPr>
              <w:t>3</w:t>
            </w:r>
            <w:r>
              <w:rPr>
                <w:noProof/>
                <w:webHidden/>
              </w:rPr>
              <w:fldChar w:fldCharType="end"/>
            </w:r>
          </w:hyperlink>
        </w:p>
        <w:p w14:paraId="623883B4" w14:textId="77777777" w:rsidR="00A904B0" w:rsidRDefault="00A904B0">
          <w:pPr>
            <w:pStyle w:val="TM2"/>
            <w:tabs>
              <w:tab w:val="left" w:pos="880"/>
              <w:tab w:val="right" w:leader="dot" w:pos="9350"/>
            </w:tabs>
            <w:rPr>
              <w:rFonts w:asciiTheme="minorHAnsi" w:eastAsiaTheme="minorEastAsia" w:hAnsiTheme="minorHAnsi"/>
              <w:noProof/>
              <w:sz w:val="22"/>
              <w:szCs w:val="22"/>
              <w:lang w:val="fr-FR" w:eastAsia="fr-FR"/>
            </w:rPr>
          </w:pPr>
          <w:hyperlink w:anchor="_Toc226279912" w:history="1">
            <w:r w:rsidRPr="00A46FC5">
              <w:rPr>
                <w:rStyle w:val="Lienhypertexte"/>
                <w:noProof/>
              </w:rPr>
              <w:t>3.2</w:t>
            </w:r>
            <w:r>
              <w:rPr>
                <w:rFonts w:asciiTheme="minorHAnsi" w:eastAsiaTheme="minorEastAsia" w:hAnsiTheme="minorHAnsi"/>
                <w:noProof/>
                <w:sz w:val="22"/>
                <w:szCs w:val="22"/>
                <w:lang w:val="fr-FR" w:eastAsia="fr-FR"/>
              </w:rPr>
              <w:tab/>
            </w:r>
            <w:r w:rsidRPr="00A46FC5">
              <w:rPr>
                <w:rStyle w:val="Lienhypertexte"/>
                <w:noProof/>
              </w:rPr>
              <w:t>Qualité des données et valeurs manquantes</w:t>
            </w:r>
            <w:r>
              <w:rPr>
                <w:noProof/>
                <w:webHidden/>
              </w:rPr>
              <w:tab/>
            </w:r>
            <w:r>
              <w:rPr>
                <w:noProof/>
                <w:webHidden/>
              </w:rPr>
              <w:fldChar w:fldCharType="begin"/>
            </w:r>
            <w:r>
              <w:rPr>
                <w:noProof/>
                <w:webHidden/>
              </w:rPr>
              <w:instrText xml:space="preserve"> PAGEREF _Toc226279912 \h </w:instrText>
            </w:r>
            <w:r>
              <w:rPr>
                <w:noProof/>
                <w:webHidden/>
              </w:rPr>
            </w:r>
            <w:r>
              <w:rPr>
                <w:noProof/>
                <w:webHidden/>
              </w:rPr>
              <w:fldChar w:fldCharType="separate"/>
            </w:r>
            <w:r>
              <w:rPr>
                <w:noProof/>
                <w:webHidden/>
              </w:rPr>
              <w:t>4</w:t>
            </w:r>
            <w:r>
              <w:rPr>
                <w:noProof/>
                <w:webHidden/>
              </w:rPr>
              <w:fldChar w:fldCharType="end"/>
            </w:r>
          </w:hyperlink>
        </w:p>
        <w:p w14:paraId="2D216BA8" w14:textId="77777777" w:rsidR="00A904B0" w:rsidRDefault="00A904B0">
          <w:pPr>
            <w:pStyle w:val="TM2"/>
            <w:tabs>
              <w:tab w:val="left" w:pos="880"/>
              <w:tab w:val="right" w:leader="dot" w:pos="9350"/>
            </w:tabs>
            <w:rPr>
              <w:rFonts w:asciiTheme="minorHAnsi" w:eastAsiaTheme="minorEastAsia" w:hAnsiTheme="minorHAnsi"/>
              <w:noProof/>
              <w:sz w:val="22"/>
              <w:szCs w:val="22"/>
              <w:lang w:val="fr-FR" w:eastAsia="fr-FR"/>
            </w:rPr>
          </w:pPr>
          <w:hyperlink w:anchor="_Toc226279913" w:history="1">
            <w:r w:rsidRPr="00A46FC5">
              <w:rPr>
                <w:rStyle w:val="Lienhypertexte"/>
                <w:noProof/>
              </w:rPr>
              <w:t>3.3</w:t>
            </w:r>
            <w:r>
              <w:rPr>
                <w:rFonts w:asciiTheme="minorHAnsi" w:eastAsiaTheme="minorEastAsia" w:hAnsiTheme="minorHAnsi"/>
                <w:noProof/>
                <w:sz w:val="22"/>
                <w:szCs w:val="22"/>
                <w:lang w:val="fr-FR" w:eastAsia="fr-FR"/>
              </w:rPr>
              <w:tab/>
            </w:r>
            <w:r w:rsidRPr="00A46FC5">
              <w:rPr>
                <w:rStyle w:val="Lienhypertexte"/>
                <w:noProof/>
              </w:rPr>
              <w:t>Note sur le seuil d’éligibilité</w:t>
            </w:r>
            <w:r>
              <w:rPr>
                <w:noProof/>
                <w:webHidden/>
              </w:rPr>
              <w:tab/>
            </w:r>
            <w:r>
              <w:rPr>
                <w:noProof/>
                <w:webHidden/>
              </w:rPr>
              <w:fldChar w:fldCharType="begin"/>
            </w:r>
            <w:r>
              <w:rPr>
                <w:noProof/>
                <w:webHidden/>
              </w:rPr>
              <w:instrText xml:space="preserve"> PAGEREF _Toc226279913 \h </w:instrText>
            </w:r>
            <w:r>
              <w:rPr>
                <w:noProof/>
                <w:webHidden/>
              </w:rPr>
            </w:r>
            <w:r>
              <w:rPr>
                <w:noProof/>
                <w:webHidden/>
              </w:rPr>
              <w:fldChar w:fldCharType="separate"/>
            </w:r>
            <w:r>
              <w:rPr>
                <w:noProof/>
                <w:webHidden/>
              </w:rPr>
              <w:t>4</w:t>
            </w:r>
            <w:r>
              <w:rPr>
                <w:noProof/>
                <w:webHidden/>
              </w:rPr>
              <w:fldChar w:fldCharType="end"/>
            </w:r>
          </w:hyperlink>
        </w:p>
        <w:p w14:paraId="762BC8A5"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14" w:history="1">
            <w:r w:rsidRPr="00A46FC5">
              <w:rPr>
                <w:rStyle w:val="Lienhypertexte"/>
                <w:noProof/>
              </w:rPr>
              <w:t>4</w:t>
            </w:r>
            <w:r>
              <w:rPr>
                <w:rFonts w:asciiTheme="minorHAnsi" w:eastAsiaTheme="minorEastAsia" w:hAnsiTheme="minorHAnsi"/>
                <w:noProof/>
                <w:sz w:val="22"/>
                <w:szCs w:val="22"/>
                <w:lang w:val="fr-FR" w:eastAsia="fr-FR"/>
              </w:rPr>
              <w:tab/>
            </w:r>
            <w:r w:rsidRPr="00A46FC5">
              <w:rPr>
                <w:rStyle w:val="Lienhypertexte"/>
                <w:noProof/>
              </w:rPr>
              <w:t>Distribution du niveau d’éducation</w:t>
            </w:r>
            <w:r>
              <w:rPr>
                <w:noProof/>
                <w:webHidden/>
              </w:rPr>
              <w:tab/>
            </w:r>
            <w:r>
              <w:rPr>
                <w:noProof/>
                <w:webHidden/>
              </w:rPr>
              <w:fldChar w:fldCharType="begin"/>
            </w:r>
            <w:r>
              <w:rPr>
                <w:noProof/>
                <w:webHidden/>
              </w:rPr>
              <w:instrText xml:space="preserve"> PAGEREF _Toc226279914 \h </w:instrText>
            </w:r>
            <w:r>
              <w:rPr>
                <w:noProof/>
                <w:webHidden/>
              </w:rPr>
            </w:r>
            <w:r>
              <w:rPr>
                <w:noProof/>
                <w:webHidden/>
              </w:rPr>
              <w:fldChar w:fldCharType="separate"/>
            </w:r>
            <w:r>
              <w:rPr>
                <w:noProof/>
                <w:webHidden/>
              </w:rPr>
              <w:t>5</w:t>
            </w:r>
            <w:r>
              <w:rPr>
                <w:noProof/>
                <w:webHidden/>
              </w:rPr>
              <w:fldChar w:fldCharType="end"/>
            </w:r>
          </w:hyperlink>
        </w:p>
        <w:p w14:paraId="08BD6020"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15" w:history="1">
            <w:r w:rsidRPr="00A46FC5">
              <w:rPr>
                <w:rStyle w:val="Lienhypertexte"/>
                <w:noProof/>
              </w:rPr>
              <w:t>5</w:t>
            </w:r>
            <w:r>
              <w:rPr>
                <w:rFonts w:asciiTheme="minorHAnsi" w:eastAsiaTheme="minorEastAsia" w:hAnsiTheme="minorHAnsi"/>
                <w:noProof/>
                <w:sz w:val="22"/>
                <w:szCs w:val="22"/>
                <w:lang w:val="fr-FR" w:eastAsia="fr-FR"/>
              </w:rPr>
              <w:tab/>
            </w:r>
            <w:r w:rsidRPr="00A46FC5">
              <w:rPr>
                <w:rStyle w:val="Lienhypertexte"/>
                <w:noProof/>
              </w:rPr>
              <w:t>Niveau d’éducation par sexe</w:t>
            </w:r>
            <w:r>
              <w:rPr>
                <w:noProof/>
                <w:webHidden/>
              </w:rPr>
              <w:tab/>
            </w:r>
            <w:r>
              <w:rPr>
                <w:noProof/>
                <w:webHidden/>
              </w:rPr>
              <w:fldChar w:fldCharType="begin"/>
            </w:r>
            <w:r>
              <w:rPr>
                <w:noProof/>
                <w:webHidden/>
              </w:rPr>
              <w:instrText xml:space="preserve"> PAGEREF _Toc226279915 \h </w:instrText>
            </w:r>
            <w:r>
              <w:rPr>
                <w:noProof/>
                <w:webHidden/>
              </w:rPr>
            </w:r>
            <w:r>
              <w:rPr>
                <w:noProof/>
                <w:webHidden/>
              </w:rPr>
              <w:fldChar w:fldCharType="separate"/>
            </w:r>
            <w:r>
              <w:rPr>
                <w:noProof/>
                <w:webHidden/>
              </w:rPr>
              <w:t>6</w:t>
            </w:r>
            <w:r>
              <w:rPr>
                <w:noProof/>
                <w:webHidden/>
              </w:rPr>
              <w:fldChar w:fldCharType="end"/>
            </w:r>
          </w:hyperlink>
        </w:p>
        <w:p w14:paraId="641D5A9A"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16" w:history="1">
            <w:r w:rsidRPr="00A46FC5">
              <w:rPr>
                <w:rStyle w:val="Lienhypertexte"/>
                <w:noProof/>
              </w:rPr>
              <w:t>6</w:t>
            </w:r>
            <w:r>
              <w:rPr>
                <w:rFonts w:asciiTheme="minorHAnsi" w:eastAsiaTheme="minorEastAsia" w:hAnsiTheme="minorHAnsi"/>
                <w:noProof/>
                <w:sz w:val="22"/>
                <w:szCs w:val="22"/>
                <w:lang w:val="fr-FR" w:eastAsia="fr-FR"/>
              </w:rPr>
              <w:tab/>
            </w:r>
            <w:r w:rsidRPr="00A46FC5">
              <w:rPr>
                <w:rStyle w:val="Lienhypertexte"/>
                <w:noProof/>
              </w:rPr>
              <w:t>Distribution de l’âge par niveau d’éducation</w:t>
            </w:r>
            <w:r>
              <w:rPr>
                <w:noProof/>
                <w:webHidden/>
              </w:rPr>
              <w:tab/>
            </w:r>
            <w:r>
              <w:rPr>
                <w:noProof/>
                <w:webHidden/>
              </w:rPr>
              <w:fldChar w:fldCharType="begin"/>
            </w:r>
            <w:r>
              <w:rPr>
                <w:noProof/>
                <w:webHidden/>
              </w:rPr>
              <w:instrText xml:space="preserve"> PAGEREF _Toc226279916 \h </w:instrText>
            </w:r>
            <w:r>
              <w:rPr>
                <w:noProof/>
                <w:webHidden/>
              </w:rPr>
            </w:r>
            <w:r>
              <w:rPr>
                <w:noProof/>
                <w:webHidden/>
              </w:rPr>
              <w:fldChar w:fldCharType="separate"/>
            </w:r>
            <w:r>
              <w:rPr>
                <w:noProof/>
                <w:webHidden/>
              </w:rPr>
              <w:t>8</w:t>
            </w:r>
            <w:r>
              <w:rPr>
                <w:noProof/>
                <w:webHidden/>
              </w:rPr>
              <w:fldChar w:fldCharType="end"/>
            </w:r>
          </w:hyperlink>
        </w:p>
        <w:p w14:paraId="5529C1E0"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17" w:history="1">
            <w:r w:rsidRPr="00A46FC5">
              <w:rPr>
                <w:rStyle w:val="Lienhypertexte"/>
                <w:noProof/>
              </w:rPr>
              <w:t>7</w:t>
            </w:r>
            <w:r>
              <w:rPr>
                <w:rFonts w:asciiTheme="minorHAnsi" w:eastAsiaTheme="minorEastAsia" w:hAnsiTheme="minorHAnsi"/>
                <w:noProof/>
                <w:sz w:val="22"/>
                <w:szCs w:val="22"/>
                <w:lang w:val="fr-FR" w:eastAsia="fr-FR"/>
              </w:rPr>
              <w:tab/>
            </w:r>
            <w:r w:rsidRPr="00A46FC5">
              <w:rPr>
                <w:rStyle w:val="Lienhypertexte"/>
                <w:noProof/>
              </w:rPr>
              <w:t>Scolarisation des 6-17 ans par milieu</w:t>
            </w:r>
            <w:r>
              <w:rPr>
                <w:noProof/>
                <w:webHidden/>
              </w:rPr>
              <w:tab/>
            </w:r>
            <w:r>
              <w:rPr>
                <w:noProof/>
                <w:webHidden/>
              </w:rPr>
              <w:fldChar w:fldCharType="begin"/>
            </w:r>
            <w:r>
              <w:rPr>
                <w:noProof/>
                <w:webHidden/>
              </w:rPr>
              <w:instrText xml:space="preserve"> PAGEREF _Toc226279917 \h </w:instrText>
            </w:r>
            <w:r>
              <w:rPr>
                <w:noProof/>
                <w:webHidden/>
              </w:rPr>
            </w:r>
            <w:r>
              <w:rPr>
                <w:noProof/>
                <w:webHidden/>
              </w:rPr>
              <w:fldChar w:fldCharType="separate"/>
            </w:r>
            <w:r>
              <w:rPr>
                <w:noProof/>
                <w:webHidden/>
              </w:rPr>
              <w:t>9</w:t>
            </w:r>
            <w:r>
              <w:rPr>
                <w:noProof/>
                <w:webHidden/>
              </w:rPr>
              <w:fldChar w:fldCharType="end"/>
            </w:r>
          </w:hyperlink>
        </w:p>
        <w:p w14:paraId="3DFF98D9"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18" w:history="1">
            <w:r w:rsidRPr="00A46FC5">
              <w:rPr>
                <w:rStyle w:val="Lienhypertexte"/>
                <w:noProof/>
              </w:rPr>
              <w:t>8</w:t>
            </w:r>
            <w:r>
              <w:rPr>
                <w:rFonts w:asciiTheme="minorHAnsi" w:eastAsiaTheme="minorEastAsia" w:hAnsiTheme="minorHAnsi"/>
                <w:noProof/>
                <w:sz w:val="22"/>
                <w:szCs w:val="22"/>
                <w:lang w:val="fr-FR" w:eastAsia="fr-FR"/>
              </w:rPr>
              <w:tab/>
            </w:r>
            <w:r w:rsidRPr="00A46FC5">
              <w:rPr>
                <w:rStyle w:val="Lienhypertexte"/>
                <w:noProof/>
              </w:rPr>
              <w:t>Taux d’analphabétisme par État</w:t>
            </w:r>
            <w:r>
              <w:rPr>
                <w:noProof/>
                <w:webHidden/>
              </w:rPr>
              <w:tab/>
            </w:r>
            <w:r>
              <w:rPr>
                <w:noProof/>
                <w:webHidden/>
              </w:rPr>
              <w:fldChar w:fldCharType="begin"/>
            </w:r>
            <w:r>
              <w:rPr>
                <w:noProof/>
                <w:webHidden/>
              </w:rPr>
              <w:instrText xml:space="preserve"> PAGEREF _Toc226279918 \h </w:instrText>
            </w:r>
            <w:r>
              <w:rPr>
                <w:noProof/>
                <w:webHidden/>
              </w:rPr>
            </w:r>
            <w:r>
              <w:rPr>
                <w:noProof/>
                <w:webHidden/>
              </w:rPr>
              <w:fldChar w:fldCharType="separate"/>
            </w:r>
            <w:r>
              <w:rPr>
                <w:noProof/>
                <w:webHidden/>
              </w:rPr>
              <w:t>10</w:t>
            </w:r>
            <w:r>
              <w:rPr>
                <w:noProof/>
                <w:webHidden/>
              </w:rPr>
              <w:fldChar w:fldCharType="end"/>
            </w:r>
          </w:hyperlink>
        </w:p>
        <w:p w14:paraId="11979AF2" w14:textId="77777777" w:rsidR="00A904B0" w:rsidRDefault="00A904B0">
          <w:pPr>
            <w:pStyle w:val="TM1"/>
            <w:tabs>
              <w:tab w:val="left" w:pos="440"/>
              <w:tab w:val="right" w:leader="dot" w:pos="9350"/>
            </w:tabs>
            <w:rPr>
              <w:rFonts w:asciiTheme="minorHAnsi" w:eastAsiaTheme="minorEastAsia" w:hAnsiTheme="minorHAnsi"/>
              <w:noProof/>
              <w:sz w:val="22"/>
              <w:szCs w:val="22"/>
              <w:lang w:val="fr-FR" w:eastAsia="fr-FR"/>
            </w:rPr>
          </w:pPr>
          <w:hyperlink w:anchor="_Toc226279919" w:history="1">
            <w:r w:rsidRPr="00A46FC5">
              <w:rPr>
                <w:rStyle w:val="Lienhypertexte"/>
                <w:noProof/>
              </w:rPr>
              <w:t>9</w:t>
            </w:r>
            <w:r>
              <w:rPr>
                <w:rFonts w:asciiTheme="minorHAnsi" w:eastAsiaTheme="minorEastAsia" w:hAnsiTheme="minorHAnsi"/>
                <w:noProof/>
                <w:sz w:val="22"/>
                <w:szCs w:val="22"/>
                <w:lang w:val="fr-FR" w:eastAsia="fr-FR"/>
              </w:rPr>
              <w:tab/>
            </w:r>
            <w:r w:rsidRPr="00A46FC5">
              <w:rPr>
                <w:rStyle w:val="Lienhypertexte"/>
                <w:noProof/>
              </w:rPr>
              <w:t>Tableau de synthèse stratifié par milieu</w:t>
            </w:r>
            <w:r>
              <w:rPr>
                <w:noProof/>
                <w:webHidden/>
              </w:rPr>
              <w:tab/>
            </w:r>
            <w:r>
              <w:rPr>
                <w:noProof/>
                <w:webHidden/>
              </w:rPr>
              <w:fldChar w:fldCharType="begin"/>
            </w:r>
            <w:r>
              <w:rPr>
                <w:noProof/>
                <w:webHidden/>
              </w:rPr>
              <w:instrText xml:space="preserve"> PAGEREF _Toc226279919 \h </w:instrText>
            </w:r>
            <w:r>
              <w:rPr>
                <w:noProof/>
                <w:webHidden/>
              </w:rPr>
            </w:r>
            <w:r>
              <w:rPr>
                <w:noProof/>
                <w:webHidden/>
              </w:rPr>
              <w:fldChar w:fldCharType="separate"/>
            </w:r>
            <w:r>
              <w:rPr>
                <w:noProof/>
                <w:webHidden/>
              </w:rPr>
              <w:t>11</w:t>
            </w:r>
            <w:r>
              <w:rPr>
                <w:noProof/>
                <w:webHidden/>
              </w:rPr>
              <w:fldChar w:fldCharType="end"/>
            </w:r>
          </w:hyperlink>
        </w:p>
        <w:p w14:paraId="001FEECA" w14:textId="77777777" w:rsidR="00A904B0" w:rsidRDefault="00A904B0">
          <w:pPr>
            <w:pStyle w:val="TM1"/>
            <w:tabs>
              <w:tab w:val="left" w:pos="660"/>
              <w:tab w:val="right" w:leader="dot" w:pos="9350"/>
            </w:tabs>
            <w:rPr>
              <w:rFonts w:asciiTheme="minorHAnsi" w:eastAsiaTheme="minorEastAsia" w:hAnsiTheme="minorHAnsi"/>
              <w:noProof/>
              <w:sz w:val="22"/>
              <w:szCs w:val="22"/>
              <w:lang w:val="fr-FR" w:eastAsia="fr-FR"/>
            </w:rPr>
          </w:pPr>
          <w:hyperlink w:anchor="_Toc226279920" w:history="1">
            <w:r w:rsidRPr="00A46FC5">
              <w:rPr>
                <w:rStyle w:val="Lienhypertexte"/>
                <w:noProof/>
              </w:rPr>
              <w:t>10</w:t>
            </w:r>
            <w:r>
              <w:rPr>
                <w:rFonts w:asciiTheme="minorHAnsi" w:eastAsiaTheme="minorEastAsia" w:hAnsiTheme="minorHAnsi"/>
                <w:noProof/>
                <w:sz w:val="22"/>
                <w:szCs w:val="22"/>
                <w:lang w:val="fr-FR" w:eastAsia="fr-FR"/>
              </w:rPr>
              <w:tab/>
            </w:r>
            <w:r w:rsidRPr="00A46FC5">
              <w:rPr>
                <w:rStyle w:val="Lienhypertexte"/>
                <w:noProof/>
              </w:rPr>
              <w:t>Discussion</w:t>
            </w:r>
            <w:r>
              <w:rPr>
                <w:noProof/>
                <w:webHidden/>
              </w:rPr>
              <w:tab/>
            </w:r>
            <w:r>
              <w:rPr>
                <w:noProof/>
                <w:webHidden/>
              </w:rPr>
              <w:fldChar w:fldCharType="begin"/>
            </w:r>
            <w:r>
              <w:rPr>
                <w:noProof/>
                <w:webHidden/>
              </w:rPr>
              <w:instrText xml:space="preserve"> PAGEREF _Toc226279920 \h </w:instrText>
            </w:r>
            <w:r>
              <w:rPr>
                <w:noProof/>
                <w:webHidden/>
              </w:rPr>
            </w:r>
            <w:r>
              <w:rPr>
                <w:noProof/>
                <w:webHidden/>
              </w:rPr>
              <w:fldChar w:fldCharType="separate"/>
            </w:r>
            <w:r>
              <w:rPr>
                <w:noProof/>
                <w:webHidden/>
              </w:rPr>
              <w:t>12</w:t>
            </w:r>
            <w:r>
              <w:rPr>
                <w:noProof/>
                <w:webHidden/>
              </w:rPr>
              <w:fldChar w:fldCharType="end"/>
            </w:r>
          </w:hyperlink>
        </w:p>
        <w:p w14:paraId="641869B0" w14:textId="77777777" w:rsidR="00A904B0" w:rsidRDefault="00A904B0">
          <w:pPr>
            <w:pStyle w:val="TM2"/>
            <w:tabs>
              <w:tab w:val="left" w:pos="880"/>
              <w:tab w:val="right" w:leader="dot" w:pos="9350"/>
            </w:tabs>
            <w:rPr>
              <w:rFonts w:asciiTheme="minorHAnsi" w:eastAsiaTheme="minorEastAsia" w:hAnsiTheme="minorHAnsi"/>
              <w:noProof/>
              <w:sz w:val="22"/>
              <w:szCs w:val="22"/>
              <w:lang w:val="fr-FR" w:eastAsia="fr-FR"/>
            </w:rPr>
          </w:pPr>
          <w:hyperlink w:anchor="_Toc226279921" w:history="1">
            <w:r w:rsidRPr="00A46FC5">
              <w:rPr>
                <w:rStyle w:val="Lienhypertexte"/>
                <w:noProof/>
              </w:rPr>
              <w:t>10.1</w:t>
            </w:r>
            <w:r>
              <w:rPr>
                <w:rFonts w:asciiTheme="minorHAnsi" w:eastAsiaTheme="minorEastAsia" w:hAnsiTheme="minorHAnsi"/>
                <w:noProof/>
                <w:sz w:val="22"/>
                <w:szCs w:val="22"/>
                <w:lang w:val="fr-FR" w:eastAsia="fr-FR"/>
              </w:rPr>
              <w:tab/>
            </w:r>
            <w:r w:rsidRPr="00A46FC5">
              <w:rPr>
                <w:rStyle w:val="Lienhypertexte"/>
                <w:noProof/>
              </w:rPr>
              <w:t>Confrontation avec le rapport officiel NBS/World Bank (2019)</w:t>
            </w:r>
            <w:r>
              <w:rPr>
                <w:noProof/>
                <w:webHidden/>
              </w:rPr>
              <w:tab/>
            </w:r>
            <w:r>
              <w:rPr>
                <w:noProof/>
                <w:webHidden/>
              </w:rPr>
              <w:fldChar w:fldCharType="begin"/>
            </w:r>
            <w:r>
              <w:rPr>
                <w:noProof/>
                <w:webHidden/>
              </w:rPr>
              <w:instrText xml:space="preserve"> PAGEREF _Toc226279921 \h </w:instrText>
            </w:r>
            <w:r>
              <w:rPr>
                <w:noProof/>
                <w:webHidden/>
              </w:rPr>
            </w:r>
            <w:r>
              <w:rPr>
                <w:noProof/>
                <w:webHidden/>
              </w:rPr>
              <w:fldChar w:fldCharType="separate"/>
            </w:r>
            <w:r>
              <w:rPr>
                <w:noProof/>
                <w:webHidden/>
              </w:rPr>
              <w:t>12</w:t>
            </w:r>
            <w:r>
              <w:rPr>
                <w:noProof/>
                <w:webHidden/>
              </w:rPr>
              <w:fldChar w:fldCharType="end"/>
            </w:r>
          </w:hyperlink>
        </w:p>
        <w:p w14:paraId="179B6885" w14:textId="77777777" w:rsidR="00A904B0" w:rsidRDefault="00A904B0">
          <w:pPr>
            <w:pStyle w:val="TM2"/>
            <w:tabs>
              <w:tab w:val="left" w:pos="880"/>
              <w:tab w:val="right" w:leader="dot" w:pos="9350"/>
            </w:tabs>
            <w:rPr>
              <w:rFonts w:asciiTheme="minorHAnsi" w:eastAsiaTheme="minorEastAsia" w:hAnsiTheme="minorHAnsi"/>
              <w:noProof/>
              <w:sz w:val="22"/>
              <w:szCs w:val="22"/>
              <w:lang w:val="fr-FR" w:eastAsia="fr-FR"/>
            </w:rPr>
          </w:pPr>
          <w:hyperlink w:anchor="_Toc226279922" w:history="1">
            <w:r w:rsidRPr="00A46FC5">
              <w:rPr>
                <w:rStyle w:val="Lienhypertexte"/>
                <w:noProof/>
              </w:rPr>
              <w:t>10.2</w:t>
            </w:r>
            <w:r>
              <w:rPr>
                <w:rFonts w:asciiTheme="minorHAnsi" w:eastAsiaTheme="minorEastAsia" w:hAnsiTheme="minorHAnsi"/>
                <w:noProof/>
                <w:sz w:val="22"/>
                <w:szCs w:val="22"/>
                <w:lang w:val="fr-FR" w:eastAsia="fr-FR"/>
              </w:rPr>
              <w:tab/>
            </w:r>
            <w:r w:rsidRPr="00A46FC5">
              <w:rPr>
                <w:rStyle w:val="Lienhypertexte"/>
                <w:noProof/>
              </w:rPr>
              <w:t>Choix méthodologiques et limites</w:t>
            </w:r>
            <w:r>
              <w:rPr>
                <w:noProof/>
                <w:webHidden/>
              </w:rPr>
              <w:tab/>
            </w:r>
            <w:r>
              <w:rPr>
                <w:noProof/>
                <w:webHidden/>
              </w:rPr>
              <w:fldChar w:fldCharType="begin"/>
            </w:r>
            <w:r>
              <w:rPr>
                <w:noProof/>
                <w:webHidden/>
              </w:rPr>
              <w:instrText xml:space="preserve"> PAGEREF _Toc226279922 \h </w:instrText>
            </w:r>
            <w:r>
              <w:rPr>
                <w:noProof/>
                <w:webHidden/>
              </w:rPr>
            </w:r>
            <w:r>
              <w:rPr>
                <w:noProof/>
                <w:webHidden/>
              </w:rPr>
              <w:fldChar w:fldCharType="separate"/>
            </w:r>
            <w:r>
              <w:rPr>
                <w:noProof/>
                <w:webHidden/>
              </w:rPr>
              <w:t>13</w:t>
            </w:r>
            <w:r>
              <w:rPr>
                <w:noProof/>
                <w:webHidden/>
              </w:rPr>
              <w:fldChar w:fldCharType="end"/>
            </w:r>
          </w:hyperlink>
        </w:p>
        <w:p w14:paraId="4005878A" w14:textId="77777777" w:rsidR="00A904B0" w:rsidRDefault="00A904B0">
          <w:pPr>
            <w:pStyle w:val="TM2"/>
            <w:tabs>
              <w:tab w:val="left" w:pos="880"/>
              <w:tab w:val="right" w:leader="dot" w:pos="9350"/>
            </w:tabs>
            <w:rPr>
              <w:rFonts w:asciiTheme="minorHAnsi" w:eastAsiaTheme="minorEastAsia" w:hAnsiTheme="minorHAnsi"/>
              <w:noProof/>
              <w:sz w:val="22"/>
              <w:szCs w:val="22"/>
              <w:lang w:val="fr-FR" w:eastAsia="fr-FR"/>
            </w:rPr>
          </w:pPr>
          <w:hyperlink w:anchor="_Toc226279923" w:history="1">
            <w:r w:rsidRPr="00A46FC5">
              <w:rPr>
                <w:rStyle w:val="Lienhypertexte"/>
                <w:noProof/>
              </w:rPr>
              <w:t>10.3</w:t>
            </w:r>
            <w:r>
              <w:rPr>
                <w:rFonts w:asciiTheme="minorHAnsi" w:eastAsiaTheme="minorEastAsia" w:hAnsiTheme="minorHAnsi"/>
                <w:noProof/>
                <w:sz w:val="22"/>
                <w:szCs w:val="22"/>
                <w:lang w:val="fr-FR" w:eastAsia="fr-FR"/>
              </w:rPr>
              <w:tab/>
            </w:r>
            <w:r w:rsidRPr="00A46FC5">
              <w:rPr>
                <w:rStyle w:val="Lienhypertexte"/>
                <w:noProof/>
              </w:rPr>
              <w:t>Implications pour les politiques publiques</w:t>
            </w:r>
            <w:r>
              <w:rPr>
                <w:noProof/>
                <w:webHidden/>
              </w:rPr>
              <w:tab/>
            </w:r>
            <w:r>
              <w:rPr>
                <w:noProof/>
                <w:webHidden/>
              </w:rPr>
              <w:fldChar w:fldCharType="begin"/>
            </w:r>
            <w:r>
              <w:rPr>
                <w:noProof/>
                <w:webHidden/>
              </w:rPr>
              <w:instrText xml:space="preserve"> PAGEREF _Toc226279923 \h </w:instrText>
            </w:r>
            <w:r>
              <w:rPr>
                <w:noProof/>
                <w:webHidden/>
              </w:rPr>
            </w:r>
            <w:r>
              <w:rPr>
                <w:noProof/>
                <w:webHidden/>
              </w:rPr>
              <w:fldChar w:fldCharType="separate"/>
            </w:r>
            <w:r>
              <w:rPr>
                <w:noProof/>
                <w:webHidden/>
              </w:rPr>
              <w:t>13</w:t>
            </w:r>
            <w:r>
              <w:rPr>
                <w:noProof/>
                <w:webHidden/>
              </w:rPr>
              <w:fldChar w:fldCharType="end"/>
            </w:r>
          </w:hyperlink>
        </w:p>
        <w:p w14:paraId="2F2D8F14" w14:textId="77777777" w:rsidR="00A904B0" w:rsidRDefault="00A904B0">
          <w:pPr>
            <w:pStyle w:val="TM1"/>
            <w:tabs>
              <w:tab w:val="left" w:pos="660"/>
              <w:tab w:val="right" w:leader="dot" w:pos="9350"/>
            </w:tabs>
            <w:rPr>
              <w:rFonts w:asciiTheme="minorHAnsi" w:eastAsiaTheme="minorEastAsia" w:hAnsiTheme="minorHAnsi"/>
              <w:noProof/>
              <w:sz w:val="22"/>
              <w:szCs w:val="22"/>
              <w:lang w:val="fr-FR" w:eastAsia="fr-FR"/>
            </w:rPr>
          </w:pPr>
          <w:hyperlink w:anchor="_Toc226279924" w:history="1">
            <w:r w:rsidRPr="00A46FC5">
              <w:rPr>
                <w:rStyle w:val="Lienhypertexte"/>
                <w:noProof/>
              </w:rPr>
              <w:t>11</w:t>
            </w:r>
            <w:r>
              <w:rPr>
                <w:rFonts w:asciiTheme="minorHAnsi" w:eastAsiaTheme="minorEastAsia" w:hAnsiTheme="minorHAnsi"/>
                <w:noProof/>
                <w:sz w:val="22"/>
                <w:szCs w:val="22"/>
                <w:lang w:val="fr-FR" w:eastAsia="fr-FR"/>
              </w:rPr>
              <w:tab/>
            </w:r>
            <w:r w:rsidRPr="00A46FC5">
              <w:rPr>
                <w:rStyle w:val="Lienhypertexte"/>
                <w:noProof/>
              </w:rPr>
              <w:t>Conclusion</w:t>
            </w:r>
            <w:r>
              <w:rPr>
                <w:noProof/>
                <w:webHidden/>
              </w:rPr>
              <w:tab/>
            </w:r>
            <w:r>
              <w:rPr>
                <w:noProof/>
                <w:webHidden/>
              </w:rPr>
              <w:fldChar w:fldCharType="begin"/>
            </w:r>
            <w:r>
              <w:rPr>
                <w:noProof/>
                <w:webHidden/>
              </w:rPr>
              <w:instrText xml:space="preserve"> PAGEREF _Toc226279924 \h </w:instrText>
            </w:r>
            <w:r>
              <w:rPr>
                <w:noProof/>
                <w:webHidden/>
              </w:rPr>
            </w:r>
            <w:r>
              <w:rPr>
                <w:noProof/>
                <w:webHidden/>
              </w:rPr>
              <w:fldChar w:fldCharType="separate"/>
            </w:r>
            <w:r>
              <w:rPr>
                <w:noProof/>
                <w:webHidden/>
              </w:rPr>
              <w:t>14</w:t>
            </w:r>
            <w:r>
              <w:rPr>
                <w:noProof/>
                <w:webHidden/>
              </w:rPr>
              <w:fldChar w:fldCharType="end"/>
            </w:r>
          </w:hyperlink>
        </w:p>
        <w:p w14:paraId="01D6B2DC" w14:textId="77777777" w:rsidR="00A904B0" w:rsidRDefault="00A904B0">
          <w:pPr>
            <w:pStyle w:val="TM1"/>
            <w:tabs>
              <w:tab w:val="left" w:pos="660"/>
              <w:tab w:val="right" w:leader="dot" w:pos="9350"/>
            </w:tabs>
            <w:rPr>
              <w:rFonts w:asciiTheme="minorHAnsi" w:eastAsiaTheme="minorEastAsia" w:hAnsiTheme="minorHAnsi"/>
              <w:noProof/>
              <w:sz w:val="22"/>
              <w:szCs w:val="22"/>
              <w:lang w:val="fr-FR" w:eastAsia="fr-FR"/>
            </w:rPr>
          </w:pPr>
          <w:hyperlink w:anchor="_Toc226279925" w:history="1">
            <w:r w:rsidRPr="00A46FC5">
              <w:rPr>
                <w:rStyle w:val="Lienhypertexte"/>
                <w:noProof/>
              </w:rPr>
              <w:t>12</w:t>
            </w:r>
            <w:r>
              <w:rPr>
                <w:rFonts w:asciiTheme="minorHAnsi" w:eastAsiaTheme="minorEastAsia" w:hAnsiTheme="minorHAnsi"/>
                <w:noProof/>
                <w:sz w:val="22"/>
                <w:szCs w:val="22"/>
                <w:lang w:val="fr-FR" w:eastAsia="fr-FR"/>
              </w:rPr>
              <w:tab/>
            </w:r>
            <w:r w:rsidRPr="00A46FC5">
              <w:rPr>
                <w:rStyle w:val="Lienhypertexte"/>
                <w:noProof/>
              </w:rPr>
              <w:t>Références bibliographiques</w:t>
            </w:r>
            <w:r>
              <w:rPr>
                <w:noProof/>
                <w:webHidden/>
              </w:rPr>
              <w:tab/>
            </w:r>
            <w:r>
              <w:rPr>
                <w:noProof/>
                <w:webHidden/>
              </w:rPr>
              <w:fldChar w:fldCharType="begin"/>
            </w:r>
            <w:r>
              <w:rPr>
                <w:noProof/>
                <w:webHidden/>
              </w:rPr>
              <w:instrText xml:space="preserve"> PAGEREF _Toc226279925 \h </w:instrText>
            </w:r>
            <w:r>
              <w:rPr>
                <w:noProof/>
                <w:webHidden/>
              </w:rPr>
            </w:r>
            <w:r>
              <w:rPr>
                <w:noProof/>
                <w:webHidden/>
              </w:rPr>
              <w:fldChar w:fldCharType="separate"/>
            </w:r>
            <w:r>
              <w:rPr>
                <w:noProof/>
                <w:webHidden/>
              </w:rPr>
              <w:t>14</w:t>
            </w:r>
            <w:r>
              <w:rPr>
                <w:noProof/>
                <w:webHidden/>
              </w:rPr>
              <w:fldChar w:fldCharType="end"/>
            </w:r>
          </w:hyperlink>
        </w:p>
        <w:p w14:paraId="24984511" w14:textId="77777777" w:rsidR="00E0100C" w:rsidRDefault="00BE787E">
          <w:r>
            <w:fldChar w:fldCharType="end"/>
          </w:r>
        </w:p>
      </w:sdtContent>
    </w:sdt>
    <w:p w14:paraId="009E57ED" w14:textId="77777777" w:rsidR="00E0100C" w:rsidRDefault="00BE787E">
      <w:pPr>
        <w:pStyle w:val="Titre1"/>
      </w:pPr>
      <w:bookmarkStart w:id="0" w:name="messages-clés"/>
      <w:bookmarkStart w:id="1" w:name="_Toc226279908"/>
      <w:r>
        <w:rPr>
          <w:rStyle w:val="SectionNumber"/>
        </w:rPr>
        <w:t>1</w:t>
      </w:r>
      <w:r>
        <w:tab/>
        <w:t>Messages clés</w:t>
      </w:r>
      <w:bookmarkEnd w:id="1"/>
    </w:p>
    <w:p w14:paraId="559FD2CC" w14:textId="77777777" w:rsidR="00E0100C" w:rsidRDefault="00BE787E">
      <w:pPr>
        <w:pStyle w:val="FirstParagraph"/>
      </w:pPr>
      <w:r>
        <w:rPr>
          <w:b/>
          <w:bCs/>
        </w:rPr>
        <w:t>Capital humain.</w:t>
      </w:r>
      <w:r>
        <w:t xml:space="preserve"> Le niveau d’éducation de la population nigériane reste dominé par le cycle primaire (33.1 % des membres éligibles), tandis que 24.7 % n’ont aucune instruction formelle. Le tertiaire ne concerne que 3.3 % de la population. L’éducation corani</w:t>
      </w:r>
      <w:r>
        <w:t>que représente 8.3 % et reflète l’importance du système éducatif islamique dans le Nord du pays.</w:t>
      </w:r>
    </w:p>
    <w:p w14:paraId="6F66C2AF" w14:textId="77777777" w:rsidR="00E0100C" w:rsidRDefault="00BE787E">
      <w:pPr>
        <w:pStyle w:val="Corpsdetexte"/>
      </w:pPr>
      <w:r>
        <w:rPr>
          <w:b/>
          <w:bCs/>
        </w:rPr>
        <w:t>Inégalités de genre.</w:t>
      </w:r>
      <w:r>
        <w:t xml:space="preserve"> L’association entre sexe et niveau d’éducation est statistiquement significative (chi-deux de Rao-Scott, p &lt; 0,001) avec un V de Cramér de</w:t>
      </w:r>
      <w:r>
        <w:t xml:space="preserve"> 0,213, indiquant une association faible à modérée. Les femmes sont nettement surreprésentées dans la catégorie sans instruction, un écart caractéristique des inégalités de genre en Afrique subsaharienne.</w:t>
      </w:r>
    </w:p>
    <w:p w14:paraId="5447B26D" w14:textId="77777777" w:rsidR="00E0100C" w:rsidRDefault="00BE787E">
      <w:pPr>
        <w:pStyle w:val="Corpsdetexte"/>
      </w:pPr>
      <w:r>
        <w:rPr>
          <w:b/>
          <w:bCs/>
        </w:rPr>
        <w:t>Scolarisation des 6-17 ans.</w:t>
      </w:r>
      <w:r>
        <w:t xml:space="preserve"> Le taux de scolarisatio</w:t>
      </w:r>
      <w:r>
        <w:t>n pondéré atteint 92.5 % en milieu urbain et 88.2 % en milieu rural. L’écart est statistiquement significatif (p &lt; 0,001) mais modeste en amplitude, témoignant des progrès de la politique Universal Basic Education (UBE) lancée en 2004.</w:t>
      </w:r>
    </w:p>
    <w:p w14:paraId="5D94ED5E" w14:textId="77777777" w:rsidR="00E0100C" w:rsidRDefault="00BE787E">
      <w:pPr>
        <w:pStyle w:val="Corpsdetexte"/>
      </w:pPr>
      <w:r>
        <w:rPr>
          <w:b/>
          <w:bCs/>
        </w:rPr>
        <w:t>Fracture Nord-Sud.</w:t>
      </w:r>
      <w:r>
        <w:t xml:space="preserve"> L</w:t>
      </w:r>
      <w:r>
        <w:t>a géographie de l’analphabétisme suit la fracture géopolitique nigériane : les États du Nord-Ouest (Kebbi : 71.3 %, Niger : 60.2 %) concentrent les taux les plus élevés d’adultes sans instruction, tandis que les États du Sud (Rivers : 3.2 %, Lagos : 4.4 %)</w:t>
      </w:r>
      <w:r>
        <w:t xml:space="preserve"> affichent les taux les plus faibles.</w:t>
      </w:r>
    </w:p>
    <w:p w14:paraId="35630CF6" w14:textId="77777777" w:rsidR="00E0100C" w:rsidRDefault="00BE787E">
      <w:pPr>
        <w:pStyle w:val="Corpsdetexte"/>
      </w:pPr>
      <w:r>
        <w:rPr>
          <w:b/>
          <w:bCs/>
        </w:rPr>
        <w:t>Pondération.</w:t>
      </w:r>
      <w:r>
        <w:t xml:space="preserve"> Toutes les statistiques sont calculées avec les poids de sondage </w:t>
      </w:r>
      <w:r>
        <w:rPr>
          <w:rStyle w:val="VerbatimChar"/>
        </w:rPr>
        <w:t>wt_wave4</w:t>
      </w:r>
      <w:r>
        <w:t>. Les intervalles de confiance et les tests statistiques tiennent compte du plan de sondage complexe (stratifié, en grappes). La som</w:t>
      </w:r>
      <w:r>
        <w:t>me des poids représente environ 149 millions d’individus, cohérent avec la population nigériane en 2018.</w:t>
      </w:r>
    </w:p>
    <w:p w14:paraId="33F4FCBB" w14:textId="77777777" w:rsidR="00E0100C" w:rsidRDefault="00BE787E">
      <w:pPr>
        <w:pStyle w:val="Titre1"/>
      </w:pPr>
      <w:bookmarkStart w:id="2" w:name="introduction"/>
      <w:bookmarkStart w:id="3" w:name="_Toc226279909"/>
      <w:bookmarkEnd w:id="0"/>
      <w:r>
        <w:rPr>
          <w:rStyle w:val="SectionNumber"/>
        </w:rPr>
        <w:lastRenderedPageBreak/>
        <w:t>2</w:t>
      </w:r>
      <w:r>
        <w:tab/>
        <w:t>Introduction</w:t>
      </w:r>
      <w:bookmarkEnd w:id="3"/>
    </w:p>
    <w:p w14:paraId="589050B9" w14:textId="77777777" w:rsidR="00E0100C" w:rsidRDefault="00BE787E">
      <w:pPr>
        <w:pStyle w:val="FirstParagraph"/>
      </w:pPr>
      <w:r>
        <w:t>L’éducation est le principal levier de développement humain. Au Nigeria, pays le plus peuplé d’Afrique avec environ 200 millions d’habit</w:t>
      </w:r>
      <w:r>
        <w:t>ants en 2018, les défis éducatifs restent considérables malgré les progrès réalisés depuis la mise en place de la politique Universal Basic Education (UBE) en 2004. L’UNESCO estimait en 2018 que le Nigeria comptait le plus grand nombre d’enfants non scolar</w:t>
      </w:r>
      <w:r>
        <w:t>isés au monde, soit environ 10,5 millions.</w:t>
      </w:r>
    </w:p>
    <w:p w14:paraId="3375AB4A" w14:textId="77777777" w:rsidR="00E0100C" w:rsidRDefault="00BE787E">
      <w:pPr>
        <w:pStyle w:val="Corpsdetexte"/>
      </w:pPr>
      <w:r>
        <w:t>Ce rapport analyse les niveaux d’instruction et les taux d’alphabétisation des membres des ménages nigérians à partir du module éducation (section 2) du Nigeria General Household Survey Panel Wave 4 (2018-2019). L’analyse se distingue par l’utilisation sys</w:t>
      </w:r>
      <w:r>
        <w:t xml:space="preserve">tématique des poids de sondage </w:t>
      </w:r>
      <w:r>
        <w:rPr>
          <w:rStyle w:val="VerbatimChar"/>
        </w:rPr>
        <w:t>wt_wave4</w:t>
      </w:r>
      <w:r>
        <w:t xml:space="preserve"> et par la prise en compte du plan de sondage complexe pour les tests statistiques (chi-deux de Rao-Scott au lieu du chi-deux classique), ce qui permet de généraliser les résultats à l’ensemble de la population nigéri</w:t>
      </w:r>
      <w:r>
        <w:t>ane.</w:t>
      </w:r>
    </w:p>
    <w:p w14:paraId="443906CE" w14:textId="77777777" w:rsidR="00E0100C" w:rsidRDefault="00BE787E">
      <w:pPr>
        <w:pStyle w:val="Titre1"/>
      </w:pPr>
      <w:bookmarkStart w:id="4" w:name="exploration-et-qualité-des-données"/>
      <w:bookmarkStart w:id="5" w:name="_Toc226279910"/>
      <w:bookmarkEnd w:id="2"/>
      <w:r>
        <w:rPr>
          <w:rStyle w:val="SectionNumber"/>
        </w:rPr>
        <w:t>3</w:t>
      </w:r>
      <w:r>
        <w:tab/>
        <w:t>Exploration et qualité des données</w:t>
      </w:r>
      <w:bookmarkEnd w:id="5"/>
    </w:p>
    <w:p w14:paraId="5AC6ED44" w14:textId="77777777" w:rsidR="00E0100C" w:rsidRDefault="00BE787E">
      <w:pPr>
        <w:pStyle w:val="Titre2"/>
      </w:pPr>
      <w:bookmarkStart w:id="6" w:name="Xa5dfdcdd55daf25c48c1ae17fb4b827a393ed5f"/>
      <w:bookmarkStart w:id="7" w:name="_Toc226279911"/>
      <w:r>
        <w:rPr>
          <w:rStyle w:val="SectionNumber"/>
        </w:rPr>
        <w:t>3.1</w:t>
      </w:r>
      <w:r>
        <w:tab/>
        <w:t>Fichiers mobilisés et population analytique</w:t>
      </w:r>
      <w:bookmarkEnd w:id="7"/>
    </w:p>
    <w:p w14:paraId="1C894124" w14:textId="77777777" w:rsidR="00E0100C" w:rsidRDefault="00BE787E">
      <w:pPr>
        <w:pStyle w:val="FirstParagraph"/>
      </w:pPr>
      <w:r>
        <w:t xml:space="preserve">Le fichier </w:t>
      </w:r>
      <w:r>
        <w:rPr>
          <w:rStyle w:val="VerbatimChar"/>
        </w:rPr>
        <w:t>sect2_harvestw4.dta</w:t>
      </w:r>
      <w:r>
        <w:t xml:space="preserve"> contient 26 557 lignes correspondant aux membres pour lesquels le module éducation a été ouvert lors de la visite Post-Harvest. Ce modu</w:t>
      </w:r>
      <w:r>
        <w:t>le est administré aux membres de 3 ans et plus (</w:t>
      </w:r>
      <w:r>
        <w:rPr>
          <w:rStyle w:val="VerbatimChar"/>
        </w:rPr>
        <w:t>s2aq2 == 1</w:t>
      </w:r>
      <w:r>
        <w:t xml:space="preserve">), les 1 768 enfants de moins de 3 ans ayant </w:t>
      </w:r>
      <w:r>
        <w:rPr>
          <w:rStyle w:val="VerbatimChar"/>
        </w:rPr>
        <w:t>s2aq2 == 2</w:t>
      </w:r>
      <w:r>
        <w:t xml:space="preserve"> et des valeurs manquantes structurelles sur toutes les variables éducation.</w:t>
      </w:r>
    </w:p>
    <w:p w14:paraId="5894CA15" w14:textId="77777777" w:rsidR="00E0100C" w:rsidRDefault="00BE787E">
      <w:pPr>
        <w:pStyle w:val="Corpsdetexte"/>
      </w:pPr>
      <w:r>
        <w:t xml:space="preserve">L’échantillon analytique comprend 26 557 membres résidents actifs </w:t>
      </w:r>
      <w:r>
        <w:t xml:space="preserve">issus de 4 980 ménages, obtenus par jointure de </w:t>
      </w:r>
      <w:r>
        <w:rPr>
          <w:rStyle w:val="VerbatimChar"/>
        </w:rPr>
        <w:t>sect1_harvestw4</w:t>
      </w:r>
      <w:r>
        <w:t xml:space="preserve"> (filtre </w:t>
      </w:r>
      <w:r>
        <w:rPr>
          <w:rStyle w:val="VerbatimChar"/>
        </w:rPr>
        <w:t>s1q4a == 1 | is.na(s1q4a)</w:t>
      </w:r>
      <w:r>
        <w:t xml:space="preserve">, identique au TP1) et </w:t>
      </w:r>
      <w:r>
        <w:rPr>
          <w:rStyle w:val="VerbatimChar"/>
        </w:rPr>
        <w:t>sect2_harvestw4</w:t>
      </w:r>
      <w:r>
        <w:t xml:space="preserve"> sur la clé composite </w:t>
      </w:r>
      <w:r>
        <w:rPr>
          <w:rStyle w:val="VerbatimChar"/>
        </w:rPr>
        <w:t>hhid + indiv</w:t>
      </w:r>
      <w:r>
        <w:t xml:space="preserve">. Les poids de sondage proviennent de </w:t>
      </w:r>
      <w:r>
        <w:rPr>
          <w:rStyle w:val="VerbatimChar"/>
        </w:rPr>
        <w:t>secta_harvestw4</w:t>
      </w:r>
      <w:r>
        <w:t>. Parmi ces membres, 24 789 ont un</w:t>
      </w:r>
      <w:r>
        <w:t xml:space="preserve"> niveau d’éducation renseigné.</w:t>
      </w:r>
    </w:p>
    <w:p w14:paraId="5F1976D2" w14:textId="77777777" w:rsidR="00E0100C" w:rsidRDefault="00BE787E">
      <w:pPr>
        <w:pStyle w:val="Corpsdetexte"/>
      </w:pPr>
      <w:r>
        <w:t xml:space="preserve">Les 45 ménages présents dans </w:t>
      </w:r>
      <w:r>
        <w:rPr>
          <w:rStyle w:val="VerbatimChar"/>
        </w:rPr>
        <w:t>secta_harvestw4</w:t>
      </w:r>
      <w:r>
        <w:t xml:space="preserve"> mais absents de </w:t>
      </w:r>
      <w:r>
        <w:rPr>
          <w:rStyle w:val="VerbatimChar"/>
        </w:rPr>
        <w:t>sect1</w:t>
      </w:r>
      <w:r>
        <w:t xml:space="preserve"> et </w:t>
      </w:r>
      <w:r>
        <w:rPr>
          <w:rStyle w:val="VerbatimChar"/>
        </w:rPr>
        <w:t>sect2</w:t>
      </w:r>
      <w:r>
        <w:t xml:space="preserve"> </w:t>
      </w:r>
      <w:r>
        <w:t xml:space="preserve">correspondent à une attrition totale documentée : 19 ménages introuvables, 12 durablement indisponibles, 14 refus. </w:t>
      </w:r>
      <w:r>
        <w:lastRenderedPageBreak/>
        <w:t xml:space="preserve">Leur proportion (0,9 %) est négligeable et ils sont déjà absorbés dans la construction des poids </w:t>
      </w:r>
      <w:r>
        <w:rPr>
          <w:rStyle w:val="VerbatimChar"/>
        </w:rPr>
        <w:t>wt_wave4</w:t>
      </w:r>
      <w:r>
        <w:t>.</w:t>
      </w:r>
    </w:p>
    <w:p w14:paraId="6EF04568" w14:textId="77777777" w:rsidR="00E0100C" w:rsidRDefault="00BE787E">
      <w:pPr>
        <w:pStyle w:val="Titre2"/>
      </w:pPr>
      <w:bookmarkStart w:id="8" w:name="X91f42b0301f46d4b8ae198a0e21971254a097c4"/>
      <w:bookmarkStart w:id="9" w:name="_Toc226279912"/>
      <w:bookmarkEnd w:id="6"/>
      <w:r>
        <w:rPr>
          <w:rStyle w:val="SectionNumber"/>
        </w:rPr>
        <w:t>3.2</w:t>
      </w:r>
      <w:r>
        <w:tab/>
        <w:t>Qualité des données et valeurs</w:t>
      </w:r>
      <w:r>
        <w:t xml:space="preserve"> manquantes</w:t>
      </w:r>
      <w:bookmarkEnd w:id="9"/>
    </w:p>
    <w:p w14:paraId="12A38EEF" w14:textId="77777777" w:rsidR="00E0100C" w:rsidRDefault="00BE787E">
      <w:pPr>
        <w:pStyle w:val="FirstParagraph"/>
      </w:pPr>
      <w:r>
        <w:t xml:space="preserve">Les valeurs manquantes sur </w:t>
      </w:r>
      <w:r>
        <w:rPr>
          <w:rStyle w:val="VerbatimChar"/>
        </w:rPr>
        <w:t>s2aq9</w:t>
      </w:r>
      <w:r>
        <w:t xml:space="preserve"> (niveau d’éducation) s’expliquent intégralement par la logique interne du questionnaire CAPI : 1 768 enfants de moins de 3 ans (filtre d’entrée </w:t>
      </w:r>
      <w:r>
        <w:rPr>
          <w:rStyle w:val="VerbatimChar"/>
        </w:rPr>
        <w:t>s2aq2 == 2</w:t>
      </w:r>
      <w:r>
        <w:t xml:space="preserve"> non franchi) et 5 518 membres jamais scolarisés (</w:t>
      </w:r>
      <w:r>
        <w:rPr>
          <w:rStyle w:val="VerbatimChar"/>
        </w:rPr>
        <w:t>s2aq6 =</w:t>
      </w:r>
      <w:r>
        <w:rPr>
          <w:rStyle w:val="VerbatimChar"/>
        </w:rPr>
        <w:t>= 2</w:t>
      </w:r>
      <w:r>
        <w:t>, saut logique programmé). On a Zéro vraie non-réponse a été identifiée, ce qui confirme la qualité de collecte excellente sur cette variable et l’absence de données manquantes aléatoires (MCAR ou MAR).</w:t>
      </w:r>
    </w:p>
    <w:p w14:paraId="27AF2CE2" w14:textId="77777777" w:rsidR="00E0100C" w:rsidRDefault="00BE787E">
      <w:pPr>
        <w:pStyle w:val="Corpsdetexte"/>
      </w:pPr>
      <w:r>
        <w:t> </w:t>
      </w:r>
    </w:p>
    <w:p w14:paraId="0659AD93" w14:textId="77777777" w:rsidR="00E0100C" w:rsidRDefault="00BE787E">
      <w:pPr>
        <w:pStyle w:val="CaptionedFigure"/>
      </w:pPr>
      <w:r>
        <w:rPr>
          <w:noProof/>
        </w:rPr>
        <w:drawing>
          <wp:inline distT="0" distB="0" distL="0" distR="0" wp14:anchorId="11CC32EF" wp14:editId="61CAAD66">
            <wp:extent cx="5646420" cy="2823210"/>
            <wp:effectExtent l="0" t="0" r="0" b="0"/>
            <wp:docPr id="24" name="Picture" descr="Carte des valeurs manquantes sur les variables clés du TP2. Les NA sont structurels (logique du questionnaire CAPI) et non aléatoires : les trois premières colonnes partagent exactement le même motif de NA."/>
            <wp:cNvGraphicFramePr/>
            <a:graphic xmlns:a="http://schemas.openxmlformats.org/drawingml/2006/main">
              <a:graphicData uri="http://schemas.openxmlformats.org/drawingml/2006/picture">
                <pic:pic xmlns:pic="http://schemas.openxmlformats.org/drawingml/2006/picture">
                  <pic:nvPicPr>
                    <pic:cNvPr id="25" name="Picture" descr="../outputs/figures/fig00_diagnostic_NA.png"/>
                    <pic:cNvPicPr>
                      <a:picLocks noChangeAspect="1" noChangeArrowheads="1"/>
                    </pic:cNvPicPr>
                  </pic:nvPicPr>
                  <pic:blipFill>
                    <a:blip r:embed="rId7"/>
                    <a:stretch>
                      <a:fillRect/>
                    </a:stretch>
                  </pic:blipFill>
                  <pic:spPr bwMode="auto">
                    <a:xfrm>
                      <a:off x="0" y="0"/>
                      <a:ext cx="5646420" cy="2823210"/>
                    </a:xfrm>
                    <a:prstGeom prst="rect">
                      <a:avLst/>
                    </a:prstGeom>
                    <a:noFill/>
                    <a:ln w="9525">
                      <a:noFill/>
                      <a:headEnd/>
                      <a:tailEnd/>
                    </a:ln>
                  </pic:spPr>
                </pic:pic>
              </a:graphicData>
            </a:graphic>
          </wp:inline>
        </w:drawing>
      </w:r>
    </w:p>
    <w:p w14:paraId="3964A137" w14:textId="77777777" w:rsidR="00E0100C" w:rsidRDefault="00BE787E">
      <w:pPr>
        <w:pStyle w:val="ImageCaption"/>
      </w:pPr>
      <w:r>
        <w:t>Carte des valeurs manquantes sur les variables</w:t>
      </w:r>
      <w:r>
        <w:t xml:space="preserve"> clés du TP2. Les NA sont structurels (logique du questionnaire CAPI) et non aléatoires : les trois premières colonnes partagent exactement le même motif de NA.</w:t>
      </w:r>
    </w:p>
    <w:p w14:paraId="64899963" w14:textId="77777777" w:rsidR="00E0100C" w:rsidRDefault="00BE787E">
      <w:pPr>
        <w:pStyle w:val="Titre2"/>
      </w:pPr>
      <w:bookmarkStart w:id="10" w:name="note-sur-le-seuil-déligibilité"/>
      <w:bookmarkStart w:id="11" w:name="_Toc226279913"/>
      <w:bookmarkEnd w:id="8"/>
      <w:r>
        <w:rPr>
          <w:rStyle w:val="SectionNumber"/>
        </w:rPr>
        <w:t>3.3</w:t>
      </w:r>
      <w:r>
        <w:tab/>
        <w:t>Note sur le seuil d’éligibilité</w:t>
      </w:r>
      <w:bookmarkEnd w:id="11"/>
    </w:p>
    <w:p w14:paraId="0DCE6613" w14:textId="77777777" w:rsidR="00E0100C" w:rsidRDefault="00BE787E">
      <w:pPr>
        <w:pStyle w:val="FirstParagraph"/>
      </w:pPr>
      <w:r>
        <w:t>Le module éducation de la W4 a élargi le seuil d’éligibilit</w:t>
      </w:r>
      <w:r>
        <w:t xml:space="preserve">é à 3 ans et plus, contre 5 ans et plus dans les vagues précédentes (W1-W3). Le rapport officiel NBS/World Bank (2019) calcule ses indicateurs de literacy sur les 5 ans+ pour maintenir la comparabilité inter-vagues. Notre analyse utilise le seuil natif de </w:t>
      </w:r>
      <w:r>
        <w:t xml:space="preserve">la W4 (3 ans+) pour les analyses générales, et des sous-populations spécifiques (adultes 18+, enfants </w:t>
      </w:r>
      <w:r>
        <w:lastRenderedPageBreak/>
        <w:t>6-17 ans) pour les analyses ciblées, ce qui neutralise l’effet de ce changement de seuil. Cette différence sera prise en compte dans le TP10 (analyse inte</w:t>
      </w:r>
      <w:r>
        <w:t>r-vagues).</w:t>
      </w:r>
    </w:p>
    <w:p w14:paraId="422EAB16" w14:textId="77777777" w:rsidR="00E0100C" w:rsidRDefault="00BE787E">
      <w:pPr>
        <w:pStyle w:val="Titre1"/>
      </w:pPr>
      <w:bookmarkStart w:id="12" w:name="distribution-du-niveau-déducation"/>
      <w:bookmarkStart w:id="13" w:name="_Toc226279914"/>
      <w:bookmarkEnd w:id="4"/>
      <w:bookmarkEnd w:id="10"/>
      <w:r>
        <w:rPr>
          <w:rStyle w:val="SectionNumber"/>
        </w:rPr>
        <w:t>4</w:t>
      </w:r>
      <w:r>
        <w:tab/>
        <w:t>Distribution du niveau d’éducation</w:t>
      </w:r>
      <w:bookmarkEnd w:id="13"/>
    </w:p>
    <w:p w14:paraId="13665013" w14:textId="77777777" w:rsidR="00E0100C" w:rsidRDefault="00BE787E">
      <w:pPr>
        <w:pStyle w:val="CaptionedFigure"/>
      </w:pPr>
      <w:r>
        <w:rPr>
          <w:noProof/>
        </w:rPr>
        <w:drawing>
          <wp:inline distT="0" distB="0" distL="0" distR="0" wp14:anchorId="376B1332" wp14:editId="21CC49A5">
            <wp:extent cx="5646420" cy="3764280"/>
            <wp:effectExtent l="0" t="0" r="0" b="0"/>
            <wp:docPr id="30" name="Picture" descr="Distribution pondérée du niveau d’éducation complété. Barres horizontales avec IC 95% issus du plan de sondage complexe. Palette séquentielle violet UNESCO (plus foncé = niveau plus élevé)."/>
            <wp:cNvGraphicFramePr/>
            <a:graphic xmlns:a="http://schemas.openxmlformats.org/drawingml/2006/main">
              <a:graphicData uri="http://schemas.openxmlformats.org/drawingml/2006/picture">
                <pic:pic xmlns:pic="http://schemas.openxmlformats.org/drawingml/2006/picture">
                  <pic:nvPicPr>
                    <pic:cNvPr id="31" name="Picture" descr="../outputs/figures/fig01_niveau_educ_distribution.png"/>
                    <pic:cNvPicPr>
                      <a:picLocks noChangeAspect="1" noChangeArrowheads="1"/>
                    </pic:cNvPicPr>
                  </pic:nvPicPr>
                  <pic:blipFill>
                    <a:blip r:embed="rId8"/>
                    <a:stretch>
                      <a:fillRect/>
                    </a:stretch>
                  </pic:blipFill>
                  <pic:spPr bwMode="auto">
                    <a:xfrm>
                      <a:off x="0" y="0"/>
                      <a:ext cx="5646420" cy="3764280"/>
                    </a:xfrm>
                    <a:prstGeom prst="rect">
                      <a:avLst/>
                    </a:prstGeom>
                    <a:noFill/>
                    <a:ln w="9525">
                      <a:noFill/>
                      <a:headEnd/>
                      <a:tailEnd/>
                    </a:ln>
                  </pic:spPr>
                </pic:pic>
              </a:graphicData>
            </a:graphic>
          </wp:inline>
        </w:drawing>
      </w:r>
    </w:p>
    <w:p w14:paraId="571A9DA7" w14:textId="77777777" w:rsidR="00E0100C" w:rsidRDefault="00BE787E">
      <w:pPr>
        <w:pStyle w:val="ImageCaption"/>
      </w:pPr>
      <w:r>
        <w:t>Distribution pondérée du niveau d’éducation complété. Barres horizontales avec IC 95% issus du plan de sondage complexe. Palette séquentielle violet UNESCO (plus foncé = niveau plus élevé).</w:t>
      </w:r>
    </w:p>
    <w:p w14:paraId="331EE4B6" w14:textId="77777777" w:rsidR="00E0100C" w:rsidRDefault="00BE787E">
      <w:pPr>
        <w:pStyle w:val="Corpsdetexte"/>
      </w:pPr>
      <w:r>
        <w:t>Le primaire domi</w:t>
      </w:r>
      <w:r>
        <w:t>ne (33.1 %) : une grande partie des Nigérians ont fréquenté l’école sans dépasser le cycle primaire, point d’arrêt naturel lié aux coûts de transition vers le secondaire et à la distance aux établissements. Un quart des membres éligibles (24.7 %) n’a aucun</w:t>
      </w:r>
      <w:r>
        <w:t xml:space="preserve"> niveau d’instruction formelle. L’éducation coranique (8.3 %) reflète l’importance du système éducatif islamique dans le Nord du Nigeria et a été maintenue comme catégorie distincte : l’assimiler à « Aucun » serait statistiquement et culturellement inexact</w:t>
      </w:r>
      <w:r>
        <w:t>, puisqu’il s’agit d’un système éducatif parallèle structuré.</w:t>
      </w:r>
    </w:p>
    <w:p w14:paraId="4338FA2D" w14:textId="77777777" w:rsidR="00E0100C" w:rsidRDefault="00BE787E">
      <w:pPr>
        <w:pStyle w:val="Corpsdetexte"/>
      </w:pPr>
      <w:r>
        <w:lastRenderedPageBreak/>
        <w:t>Le rapport officiel NBS/World Bank (Table 2.4) indique une moyenne nationale de 5,5 années de scolarisation pour les 3 ans et plus, avec de fortes disparités régionales : 1,1 année dans le Nord-</w:t>
      </w:r>
      <w:r>
        <w:t>Central pour les 3-9 ans contre 11,3 années dans le Sud pour les 20-30 ans. Ces chiffres sont cohérents avec la distribution que nous observons, où le primaire (6 années) concentre le tiers de la population.</w:t>
      </w:r>
    </w:p>
    <w:p w14:paraId="7BE264F0" w14:textId="77777777" w:rsidR="00E0100C" w:rsidRDefault="00BE787E">
      <w:pPr>
        <w:pStyle w:val="Titre1"/>
      </w:pPr>
      <w:bookmarkStart w:id="14" w:name="niveau-déducation-par-sexe"/>
      <w:bookmarkStart w:id="15" w:name="_Toc226279915"/>
      <w:bookmarkEnd w:id="12"/>
      <w:r>
        <w:rPr>
          <w:rStyle w:val="SectionNumber"/>
        </w:rPr>
        <w:t>5</w:t>
      </w:r>
      <w:r>
        <w:tab/>
        <w:t>Niveau d’éducation par sexe</w:t>
      </w:r>
      <w:bookmarkEnd w:id="15"/>
    </w:p>
    <w:p w14:paraId="37474E2A" w14:textId="77777777" w:rsidR="00E0100C" w:rsidRDefault="00BE787E">
      <w:pPr>
        <w:pStyle w:val="CaptionedFigure"/>
      </w:pPr>
      <w:r>
        <w:rPr>
          <w:noProof/>
        </w:rPr>
        <w:drawing>
          <wp:inline distT="0" distB="0" distL="0" distR="0" wp14:anchorId="353208AC" wp14:editId="5B837E22">
            <wp:extent cx="5646420" cy="4234815"/>
            <wp:effectExtent l="0" t="0" r="0" b="0"/>
            <wp:docPr id="34" name="Picture" descr="Barplot 100% empilé du niveau d’éducation par sexe chez les adultes 18+. Proportions pondérées. Chi-deux de Rao-Scott adapté au plan de sondage complexe."/>
            <wp:cNvGraphicFramePr/>
            <a:graphic xmlns:a="http://schemas.openxmlformats.org/drawingml/2006/main">
              <a:graphicData uri="http://schemas.openxmlformats.org/drawingml/2006/picture">
                <pic:pic xmlns:pic="http://schemas.openxmlformats.org/drawingml/2006/picture">
                  <pic:nvPicPr>
                    <pic:cNvPr id="35" name="Picture" descr="../outputs/figures/fig02_niveau_educ_sexe.png"/>
                    <pic:cNvPicPr>
                      <a:picLocks noChangeAspect="1" noChangeArrowheads="1"/>
                    </pic:cNvPicPr>
                  </pic:nvPicPr>
                  <pic:blipFill>
                    <a:blip r:embed="rId9"/>
                    <a:stretch>
                      <a:fillRect/>
                    </a:stretch>
                  </pic:blipFill>
                  <pic:spPr bwMode="auto">
                    <a:xfrm>
                      <a:off x="0" y="0"/>
                      <a:ext cx="5646420" cy="4234815"/>
                    </a:xfrm>
                    <a:prstGeom prst="rect">
                      <a:avLst/>
                    </a:prstGeom>
                    <a:noFill/>
                    <a:ln w="9525">
                      <a:noFill/>
                      <a:headEnd/>
                      <a:tailEnd/>
                    </a:ln>
                  </pic:spPr>
                </pic:pic>
              </a:graphicData>
            </a:graphic>
          </wp:inline>
        </w:drawing>
      </w:r>
    </w:p>
    <w:p w14:paraId="458E6837" w14:textId="77777777" w:rsidR="00E0100C" w:rsidRDefault="00BE787E">
      <w:pPr>
        <w:pStyle w:val="ImageCaption"/>
      </w:pPr>
      <w:r>
        <w:t>Barplot 100% emp</w:t>
      </w:r>
      <w:r>
        <w:t>ilé du niveau d’éducation par sexe chez les adultes 18+. Proportions pondérées. Chi-deux de Rao-Scott adapté au plan de sondage complexe.</w:t>
      </w:r>
    </w:p>
    <w:p w14:paraId="0340E059" w14:textId="77777777" w:rsidR="00E0100C" w:rsidRDefault="00BE787E">
      <w:pPr>
        <w:pStyle w:val="Corpsdetexte"/>
      </w:pPr>
      <w:r>
        <w:t>L’association entre sexe et niveau d’éducation est significative (chi-deux de Rao-Scott, F = 64,3, p &lt; 0,001) mais d’a</w:t>
      </w:r>
      <w:r>
        <w:t xml:space="preserve">mpleur faible à modérée (V de Cramér = 0,213). Le chi-deux de Rao-Scott a été utilisé à la place du chi-deux classique de Pearson car celui-ci ne tient pas compte du plan de sondage </w:t>
      </w:r>
      <w:r>
        <w:lastRenderedPageBreak/>
        <w:t xml:space="preserve">complexe (stratification et clustering), ce qui conduirait à sous-estimer </w:t>
      </w:r>
      <w:r>
        <w:t>la variance et à surestimer la significativité.</w:t>
      </w:r>
    </w:p>
    <w:p w14:paraId="6AEB6C0E" w14:textId="77777777" w:rsidR="00E0100C" w:rsidRDefault="00BE787E">
      <w:pPr>
        <w:pStyle w:val="Corpsdetexte"/>
      </w:pPr>
      <w:r>
        <w:t>Le V de Cramér est calculé sans pondération car il n’existe pas de version pondérée standardisée de cet indicateur. C’est une approximation acceptable pour une mesure de taille d’effet.</w:t>
      </w:r>
    </w:p>
    <w:p w14:paraId="649D37FE" w14:textId="77777777" w:rsidR="00E0100C" w:rsidRDefault="00BE787E">
      <w:pPr>
        <w:pStyle w:val="Corpsdetexte"/>
      </w:pPr>
      <w:r>
        <w:t xml:space="preserve">La différence la plus </w:t>
      </w:r>
      <w:r>
        <w:t>marquée se situe au niveau sans instruction : les femmes y sont nettement surreprésentées par rapport aux hommes, un écart caractéristique des inégalités de genre en Afrique subsaharienne (UNGEI, 2020). Au secondaire, les hommes dominent mais l’écart se ré</w:t>
      </w:r>
      <w:r>
        <w:t>duit dans les cohortes récentes, signe d’une progression féminine cohérente avec les tendances documentées par le DHS Nigeria 2018.</w:t>
      </w:r>
    </w:p>
    <w:p w14:paraId="7E79F332" w14:textId="77777777" w:rsidR="00E0100C" w:rsidRDefault="00BE787E">
      <w:pPr>
        <w:pStyle w:val="Corpsdetexte"/>
      </w:pPr>
      <w:r>
        <w:t>Le rapport officiel (Table 2.5) confirme cette asymétrie : le taux de literacy national est de 68,6 % (5 ans+), mais avec un</w:t>
      </w:r>
      <w:r>
        <w:t xml:space="preserve"> écart marqué entre hommes et femmes, particulièrement dans la tranche 65+ (61,8 % hommes vs 27,5 % femmes).</w:t>
      </w:r>
    </w:p>
    <w:p w14:paraId="2773C2E5" w14:textId="77777777" w:rsidR="00E0100C" w:rsidRDefault="00BE787E">
      <w:pPr>
        <w:pStyle w:val="Titre1"/>
      </w:pPr>
      <w:bookmarkStart w:id="16" w:name="X173bedd031573fcaf8dd59a5057d8d0bdf629f5"/>
      <w:bookmarkStart w:id="17" w:name="_Toc226279916"/>
      <w:bookmarkEnd w:id="14"/>
      <w:r>
        <w:rPr>
          <w:rStyle w:val="SectionNumber"/>
        </w:rPr>
        <w:lastRenderedPageBreak/>
        <w:t>6</w:t>
      </w:r>
      <w:r>
        <w:tab/>
        <w:t>Distribution de l’âge par niveau d’éducation</w:t>
      </w:r>
      <w:bookmarkEnd w:id="17"/>
    </w:p>
    <w:p w14:paraId="1F089D3D" w14:textId="77777777" w:rsidR="00E0100C" w:rsidRDefault="00BE787E">
      <w:pPr>
        <w:pStyle w:val="CaptionedFigure"/>
      </w:pPr>
      <w:r>
        <w:rPr>
          <w:noProof/>
        </w:rPr>
        <w:drawing>
          <wp:inline distT="0" distB="0" distL="0" distR="0" wp14:anchorId="5E8ABB69" wp14:editId="0B449BEA">
            <wp:extent cx="5646420" cy="3764280"/>
            <wp:effectExtent l="0" t="0" r="0" b="0"/>
            <wp:docPr id="38" name="Picture" descr="Boxplots de l’âge par niveau d’éducation chez les adultes 18+. Niveaux ordonnés par âge médian croissant. Test de Kruskal-Wallis non paramétrique."/>
            <wp:cNvGraphicFramePr/>
            <a:graphic xmlns:a="http://schemas.openxmlformats.org/drawingml/2006/main">
              <a:graphicData uri="http://schemas.openxmlformats.org/drawingml/2006/picture">
                <pic:pic xmlns:pic="http://schemas.openxmlformats.org/drawingml/2006/picture">
                  <pic:nvPicPr>
                    <pic:cNvPr id="39" name="Picture" descr="../outputs/figures/fig03_age_niveau_educ.png"/>
                    <pic:cNvPicPr>
                      <a:picLocks noChangeAspect="1" noChangeArrowheads="1"/>
                    </pic:cNvPicPr>
                  </pic:nvPicPr>
                  <pic:blipFill>
                    <a:blip r:embed="rId10"/>
                    <a:stretch>
                      <a:fillRect/>
                    </a:stretch>
                  </pic:blipFill>
                  <pic:spPr bwMode="auto">
                    <a:xfrm>
                      <a:off x="0" y="0"/>
                      <a:ext cx="5646420" cy="3764280"/>
                    </a:xfrm>
                    <a:prstGeom prst="rect">
                      <a:avLst/>
                    </a:prstGeom>
                    <a:noFill/>
                    <a:ln w="9525">
                      <a:noFill/>
                      <a:headEnd/>
                      <a:tailEnd/>
                    </a:ln>
                  </pic:spPr>
                </pic:pic>
              </a:graphicData>
            </a:graphic>
          </wp:inline>
        </w:drawing>
      </w:r>
    </w:p>
    <w:p w14:paraId="28850308" w14:textId="77777777" w:rsidR="00E0100C" w:rsidRDefault="00BE787E">
      <w:pPr>
        <w:pStyle w:val="ImageCaption"/>
      </w:pPr>
      <w:r>
        <w:t>Boxplots de l’âge par niveau d’éducation chez les adultes 18+. Niveaux ordonnés par âge médian cro</w:t>
      </w:r>
      <w:r>
        <w:t>issant. Test de Kruskal-Wallis non paramétrique.</w:t>
      </w:r>
    </w:p>
    <w:p w14:paraId="11D20387" w14:textId="77777777" w:rsidR="00E0100C" w:rsidRDefault="00BE787E">
      <w:pPr>
        <w:pStyle w:val="Corpsdetexte"/>
      </w:pPr>
      <w:r>
        <w:t>Le test de Kruskal-Wallis rejette massivement l’hypothèse d’homogénéité des distributions d’âge entre niveaux (H = 2 222,8, p &lt; 0,001). Le post-hoc de Dunn avec correction de Bonferroni montre que toutes les paires de niveaux diffèrent significativement, à</w:t>
      </w:r>
      <w:r>
        <w:t xml:space="preserve"> l’exception de Technique/Prof vs Tertiaire (p ajusté = 1, non significatif), ce qui est logique puisque ces deux filières recrutent dans les mêmes tranches d’âge.</w:t>
      </w:r>
    </w:p>
    <w:p w14:paraId="40DE1FAB" w14:textId="77777777" w:rsidR="00E0100C" w:rsidRDefault="00BE787E">
      <w:pPr>
        <w:pStyle w:val="Corpsdetexte"/>
      </w:pPr>
      <w:r>
        <w:t xml:space="preserve">Le niveau sans instruction concentre les adultes les plus âgés, reflétant le manque d’accès </w:t>
      </w:r>
      <w:r>
        <w:t>à l’école formelle des générations antérieures à l’expansion scolaire post-indépendance (1960-1990). Le secondaire présente la médiane d’âge la plus basse parmi les niveaux non tertiaires, signe que les scolarisés récents atteignent plus souvent ce cycle q</w:t>
      </w:r>
      <w:r>
        <w:t xml:space="preserve">ue les générations précédentes, lesquelles s’arrêtaient davantage au primaire. Ce gradient générationnel est cohérent avec l’augmentation </w:t>
      </w:r>
      <w:r>
        <w:lastRenderedPageBreak/>
        <w:t>progressive du nombre moyen d’années de scolarisation documentée dans la Table 2.4 du rapport officiel.</w:t>
      </w:r>
    </w:p>
    <w:p w14:paraId="2471C3DB" w14:textId="77777777" w:rsidR="00E0100C" w:rsidRDefault="00BE787E">
      <w:pPr>
        <w:pStyle w:val="Titre1"/>
      </w:pPr>
      <w:bookmarkStart w:id="18" w:name="scolarisation-des-6-17-ans-par-milieu"/>
      <w:bookmarkStart w:id="19" w:name="_Toc226279917"/>
      <w:bookmarkEnd w:id="16"/>
      <w:r>
        <w:rPr>
          <w:rStyle w:val="SectionNumber"/>
        </w:rPr>
        <w:t>7</w:t>
      </w:r>
      <w:r>
        <w:tab/>
        <w:t>Scolarisatio</w:t>
      </w:r>
      <w:r>
        <w:t>n des 6-17 ans par milieu</w:t>
      </w:r>
      <w:bookmarkEnd w:id="19"/>
    </w:p>
    <w:p w14:paraId="3B736F24" w14:textId="77777777" w:rsidR="00E0100C" w:rsidRDefault="00BE787E">
      <w:pPr>
        <w:pStyle w:val="CaptionedFigure"/>
      </w:pPr>
      <w:r>
        <w:rPr>
          <w:noProof/>
        </w:rPr>
        <w:drawing>
          <wp:inline distT="0" distB="0" distL="0" distR="0" wp14:anchorId="621E21A5" wp14:editId="38FD9547">
            <wp:extent cx="5646420" cy="4436472"/>
            <wp:effectExtent l="0" t="0" r="0" b="0"/>
            <wp:docPr id="42" name="Picture" descr="Taux de scolarisation pondéré des 6-17 ans par milieu de résidence, avec IC 95% issus du plan de sondage complexe. Couleurs : vert FAO (rural), gris HABITAT (urbain)."/>
            <wp:cNvGraphicFramePr/>
            <a:graphic xmlns:a="http://schemas.openxmlformats.org/drawingml/2006/main">
              <a:graphicData uri="http://schemas.openxmlformats.org/drawingml/2006/picture">
                <pic:pic xmlns:pic="http://schemas.openxmlformats.org/drawingml/2006/picture">
                  <pic:nvPicPr>
                    <pic:cNvPr id="43" name="Picture" descr="../outputs/figures/fig04_scolarisation_milieu.png"/>
                    <pic:cNvPicPr>
                      <a:picLocks noChangeAspect="1" noChangeArrowheads="1"/>
                    </pic:cNvPicPr>
                  </pic:nvPicPr>
                  <pic:blipFill>
                    <a:blip r:embed="rId11"/>
                    <a:stretch>
                      <a:fillRect/>
                    </a:stretch>
                  </pic:blipFill>
                  <pic:spPr bwMode="auto">
                    <a:xfrm>
                      <a:off x="0" y="0"/>
                      <a:ext cx="5646420" cy="4436472"/>
                    </a:xfrm>
                    <a:prstGeom prst="rect">
                      <a:avLst/>
                    </a:prstGeom>
                    <a:noFill/>
                    <a:ln w="9525">
                      <a:noFill/>
                      <a:headEnd/>
                      <a:tailEnd/>
                    </a:ln>
                  </pic:spPr>
                </pic:pic>
              </a:graphicData>
            </a:graphic>
          </wp:inline>
        </w:drawing>
      </w:r>
    </w:p>
    <w:p w14:paraId="567B95F6" w14:textId="77777777" w:rsidR="00E0100C" w:rsidRDefault="00BE787E">
      <w:pPr>
        <w:pStyle w:val="ImageCaption"/>
      </w:pPr>
      <w:r>
        <w:t>Taux de scolarisation pondéré des 6-17 ans par milieu de résidence, avec IC 95% issus du plan de sondage complexe. Couleurs : vert FAO (rural), gris HABITAT (urbain).</w:t>
      </w:r>
    </w:p>
    <w:p w14:paraId="5E34EF0F" w14:textId="77777777" w:rsidR="00E0100C" w:rsidRDefault="00BE787E">
      <w:pPr>
        <w:pStyle w:val="Corpsdetexte"/>
      </w:pPr>
      <w:r>
        <w:t xml:space="preserve">Les taux de scolarisation pondérés sont élevés dans les deux </w:t>
      </w:r>
      <w:r>
        <w:t>milieux (92.5 % en urbain, 88.2 % en rural), témoignant des progrès notables depuis la politique Universal Basic Education de 2004. L’écart rural-urbain est statistiquement significatif (chi-deux de Rao-Scott, F = 14,1, p &lt; 0,001) mais reste modeste en amp</w:t>
      </w:r>
      <w:r>
        <w:t>litude (~4 points).</w:t>
      </w:r>
    </w:p>
    <w:p w14:paraId="2FC3F37C" w14:textId="77777777" w:rsidR="00E0100C" w:rsidRDefault="00BE787E">
      <w:pPr>
        <w:pStyle w:val="Corpsdetexte"/>
      </w:pPr>
      <w:r>
        <w:rPr>
          <w:b/>
          <w:bCs/>
        </w:rPr>
        <w:lastRenderedPageBreak/>
        <w:t>Confrontation avec le rapport officiel.</w:t>
      </w:r>
      <w:r>
        <w:t xml:space="preserve"> Le rapport NBS/World Bank (Table 2.6) indique un </w:t>
      </w:r>
      <w:r>
        <w:rPr>
          <w:i/>
          <w:iCs/>
        </w:rPr>
        <w:t>attendance rate</w:t>
      </w:r>
      <w:r>
        <w:t xml:space="preserve"> de 78,5 % nationalement pour les enfants 5-14 ans, avec un écart urbain 91,2 % / rural 74,2 %. Nos taux sont supérieurs pour deux r</w:t>
      </w:r>
      <w:r>
        <w:t>aisons complémentaires. Premièrement, notre tranche d’âge (6-17 ans, imposée par le sujet du TP) est plus large : les adolescents de 15-17 ans en milieu urbain sont très souvent scolarisés, ce qui tire le taux vers le haut. Deuxièmement, notre variable (</w:t>
      </w:r>
      <w:r>
        <w:rPr>
          <w:rStyle w:val="VerbatimChar"/>
        </w:rPr>
        <w:t>s2</w:t>
      </w:r>
      <w:r>
        <w:rPr>
          <w:rStyle w:val="VerbatimChar"/>
        </w:rPr>
        <w:t>aq13a</w:t>
      </w:r>
      <w:r>
        <w:t>) mesure l’inscription en 2018/2019, tandis que le rapport officiel utilise l’</w:t>
      </w:r>
      <w:r>
        <w:rPr>
          <w:i/>
          <w:iCs/>
        </w:rPr>
        <w:t>attendance</w:t>
      </w:r>
      <w:r>
        <w:t xml:space="preserve"> (présence effective à l’école), qui est structurellement inférieure à l’inscription. Ces deux écarts méthodologiques sont documentés et attendus.</w:t>
      </w:r>
    </w:p>
    <w:p w14:paraId="0B609825" w14:textId="77777777" w:rsidR="00E0100C" w:rsidRDefault="00BE787E">
      <w:pPr>
        <w:pStyle w:val="Titre1"/>
      </w:pPr>
      <w:bookmarkStart w:id="20" w:name="taux-danalphabétisme-par-état"/>
      <w:bookmarkStart w:id="21" w:name="_Toc226279918"/>
      <w:bookmarkEnd w:id="18"/>
      <w:r>
        <w:rPr>
          <w:rStyle w:val="SectionNumber"/>
        </w:rPr>
        <w:t>8</w:t>
      </w:r>
      <w:r>
        <w:tab/>
        <w:t>Taux d’analpha</w:t>
      </w:r>
      <w:r>
        <w:t>bétisme par État</w:t>
      </w:r>
      <w:bookmarkEnd w:id="21"/>
    </w:p>
    <w:p w14:paraId="13B96A7B" w14:textId="77777777" w:rsidR="00E0100C" w:rsidRDefault="00BE787E">
      <w:pPr>
        <w:pStyle w:val="CaptionedFigure"/>
      </w:pPr>
      <w:r>
        <w:rPr>
          <w:noProof/>
        </w:rPr>
        <w:drawing>
          <wp:inline distT="0" distB="0" distL="0" distR="0" wp14:anchorId="73549291" wp14:editId="0E87B359">
            <wp:extent cx="5646420" cy="4234815"/>
            <wp:effectExtent l="0" t="0" r="0" b="0"/>
            <wp:docPr id="46" name="Picture" descr="Carte choroplèthe du taux pondéré d’adultes 18+ sans instruction par État nigérian. Palette séquentielle lilas-violet UNESCO. Plus la teinte est foncée, plus le taux est élevé."/>
            <wp:cNvGraphicFramePr/>
            <a:graphic xmlns:a="http://schemas.openxmlformats.org/drawingml/2006/main">
              <a:graphicData uri="http://schemas.openxmlformats.org/drawingml/2006/picture">
                <pic:pic xmlns:pic="http://schemas.openxmlformats.org/drawingml/2006/picture">
                  <pic:nvPicPr>
                    <pic:cNvPr id="47" name="Picture" descr="../outputs/figures/fig05_carte_analphabetisme.png"/>
                    <pic:cNvPicPr>
                      <a:picLocks noChangeAspect="1" noChangeArrowheads="1"/>
                    </pic:cNvPicPr>
                  </pic:nvPicPr>
                  <pic:blipFill>
                    <a:blip r:embed="rId12"/>
                    <a:stretch>
                      <a:fillRect/>
                    </a:stretch>
                  </pic:blipFill>
                  <pic:spPr bwMode="auto">
                    <a:xfrm>
                      <a:off x="0" y="0"/>
                      <a:ext cx="5646420" cy="4234815"/>
                    </a:xfrm>
                    <a:prstGeom prst="rect">
                      <a:avLst/>
                    </a:prstGeom>
                    <a:noFill/>
                    <a:ln w="9525">
                      <a:noFill/>
                      <a:headEnd/>
                      <a:tailEnd/>
                    </a:ln>
                  </pic:spPr>
                </pic:pic>
              </a:graphicData>
            </a:graphic>
          </wp:inline>
        </w:drawing>
      </w:r>
    </w:p>
    <w:p w14:paraId="4B36BC83" w14:textId="77777777" w:rsidR="00E0100C" w:rsidRDefault="00BE787E">
      <w:pPr>
        <w:pStyle w:val="ImageCaption"/>
      </w:pPr>
      <w:r>
        <w:t>Carte choroplèthe du taux pondéré d’adultes 18+ sans instruction par État nigérian. Palette séquentielle lilas-violet UNESCO. Plus la teinte est foncée, plus le taux est élevé.</w:t>
      </w:r>
    </w:p>
    <w:p w14:paraId="0DEAC08A" w14:textId="77777777" w:rsidR="00E0100C" w:rsidRDefault="00BE787E">
      <w:pPr>
        <w:pStyle w:val="Corpsdetexte"/>
      </w:pPr>
      <w:r>
        <w:lastRenderedPageBreak/>
        <w:t xml:space="preserve">La géographie de l’analphabétisme suit la fracture Nord-Sud nigériane. Les États du Nord-Ouest et du Nord-Est dominent : Kebbi (71.3 %), Niger (60.2 %), Bauchi (48.2 %). Ces régions sont historiquement marquées par la prédominance de l’éducation coranique </w:t>
      </w:r>
      <w:r>
        <w:t>sur le système formel et par des taux de pauvreté plus élevés (NBS Poverty Report, 2020). Les États du Sud affichent les taux les plus bas : Rivers (3.2 %), Lagos (4.4 %), avec des économies plus diversifiées et une tradition d’alphabétisation plus ancienn</w:t>
      </w:r>
      <w:r>
        <w:t>e.</w:t>
      </w:r>
    </w:p>
    <w:p w14:paraId="01E92489" w14:textId="77777777" w:rsidR="00E0100C" w:rsidRDefault="00BE787E">
      <w:pPr>
        <w:pStyle w:val="Corpsdetexte"/>
      </w:pPr>
      <w:r>
        <w:t>Le rapport officiel (Table 2.5) confirme cette géographie : les zones Sud enregistrent des taux de literacy autour de 80 % (South East 79,9 %, South West 81,7 %), tandis que le Nord-Ouest affiche le taux le plus faible à 66,2 %. Cette disparité persista</w:t>
      </w:r>
      <w:r>
        <w:t>nte justifie des politiques éducatives différenciées par zone géopolitique.</w:t>
      </w:r>
    </w:p>
    <w:p w14:paraId="682B4A4C" w14:textId="77777777" w:rsidR="00E0100C" w:rsidRDefault="00BE787E">
      <w:pPr>
        <w:pStyle w:val="Titre1"/>
      </w:pPr>
      <w:bookmarkStart w:id="22" w:name="tableau-de-synthèse-stratifié-par-milieu"/>
      <w:bookmarkStart w:id="23" w:name="_Toc226279919"/>
      <w:bookmarkEnd w:id="20"/>
      <w:r>
        <w:rPr>
          <w:rStyle w:val="SectionNumber"/>
        </w:rPr>
        <w:t>9</w:t>
      </w:r>
      <w:r>
        <w:tab/>
        <w:t>Tableau de synthèse stratifié par milieu</w:t>
      </w:r>
      <w:bookmarkEnd w:id="23"/>
    </w:p>
    <w:p w14:paraId="5FCE3E18" w14:textId="77777777" w:rsidR="00E0100C" w:rsidRDefault="00BE787E">
      <w:pPr>
        <w:pStyle w:val="TableCaption"/>
        <w:pBdr>
          <w:top w:val="none" w:sz="0" w:space="0" w:color="000000"/>
          <w:left w:val="none" w:sz="0" w:space="0" w:color="000000"/>
          <w:bottom w:val="none" w:sz="0" w:space="0" w:color="000000"/>
          <w:right w:val="none" w:sz="0" w:space="0" w:color="000000"/>
        </w:pBdr>
        <w:spacing w:before="60" w:after="60" w:line="240" w:lineRule="auto"/>
        <w:ind w:left="60" w:right="60"/>
        <w:jc w:val="center"/>
      </w:pPr>
      <w:r>
        <w:t>Caractéristiques éducatives par milieu de résidence (pondérées, wt_wave4).</w:t>
      </w:r>
    </w:p>
    <w:tbl>
      <w:tblPr>
        <w:tblW w:w="0" w:type="auto"/>
        <w:jc w:val="center"/>
        <w:tblLayout w:type="fixed"/>
        <w:tblLook w:val="0420" w:firstRow="1" w:lastRow="0" w:firstColumn="0" w:lastColumn="0" w:noHBand="0" w:noVBand="1"/>
      </w:tblPr>
      <w:tblGrid>
        <w:gridCol w:w="2991"/>
        <w:gridCol w:w="2558"/>
        <w:gridCol w:w="2680"/>
        <w:gridCol w:w="2680"/>
        <w:gridCol w:w="1181"/>
      </w:tblGrid>
      <w:tr w:rsidR="00E0100C" w14:paraId="7209C5EC" w14:textId="77777777">
        <w:trPr>
          <w:tblHeader/>
          <w:jc w:val="center"/>
        </w:trPr>
        <w:tc>
          <w:tcPr>
            <w:tcW w:w="2991" w:type="dxa"/>
            <w:tcBorders>
              <w:top w:val="single" w:sz="12" w:space="0" w:color="5C2D91"/>
              <w:left w:val="single" w:sz="12" w:space="0" w:color="5C2D91"/>
              <w:bottom w:val="single" w:sz="16" w:space="0" w:color="5C2D91"/>
              <w:right w:val="none" w:sz="0" w:space="0" w:color="000000"/>
            </w:tcBorders>
            <w:shd w:val="clear" w:color="auto" w:fill="5C2D91"/>
            <w:tcMar>
              <w:top w:w="0" w:type="dxa"/>
              <w:left w:w="0" w:type="dxa"/>
              <w:bottom w:w="0" w:type="dxa"/>
              <w:right w:w="0" w:type="dxa"/>
            </w:tcMar>
            <w:vAlign w:val="center"/>
          </w:tcPr>
          <w:p w14:paraId="06311290"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FFFFFF"/>
                <w:sz w:val="19"/>
                <w:szCs w:val="19"/>
              </w:rPr>
            </w:pPr>
            <w:r>
              <w:rPr>
                <w:rFonts w:eastAsia="Garamond" w:cs="Garamond"/>
                <w:b/>
                <w:color w:val="FFFFFF"/>
                <w:sz w:val="19"/>
                <w:szCs w:val="19"/>
              </w:rPr>
              <w:t>Variable</w:t>
            </w:r>
          </w:p>
        </w:tc>
        <w:tc>
          <w:tcPr>
            <w:tcW w:w="2558" w:type="dxa"/>
            <w:tcBorders>
              <w:top w:val="single" w:sz="12" w:space="0" w:color="5C2D91"/>
              <w:left w:val="none" w:sz="0" w:space="0" w:color="000000"/>
              <w:bottom w:val="single" w:sz="16" w:space="0" w:color="5C2D91"/>
              <w:right w:val="none" w:sz="0" w:space="0" w:color="000000"/>
            </w:tcBorders>
            <w:shd w:val="clear" w:color="auto" w:fill="5C2D91"/>
            <w:tcMar>
              <w:top w:w="0" w:type="dxa"/>
              <w:left w:w="0" w:type="dxa"/>
              <w:bottom w:w="0" w:type="dxa"/>
              <w:right w:w="0" w:type="dxa"/>
            </w:tcMar>
            <w:vAlign w:val="center"/>
          </w:tcPr>
          <w:p w14:paraId="23A1CABF"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 xml:space="preserve">Overall  </w:t>
            </w:r>
            <w:r>
              <w:rPr>
                <w:rFonts w:eastAsia="Garamond" w:cs="Garamond"/>
                <w:b/>
                <w:color w:val="FFFFFF"/>
                <w:sz w:val="19"/>
                <w:szCs w:val="19"/>
              </w:rPr>
              <w:br/>
              <w:t>n = 149016938.11026</w:t>
            </w:r>
            <w:r>
              <w:rPr>
                <w:rFonts w:eastAsia="Garamond" w:cs="Garamond"/>
                <w:b/>
                <w:color w:val="FFFFFF"/>
                <w:sz w:val="19"/>
                <w:szCs w:val="19"/>
                <w:vertAlign w:val="superscript"/>
              </w:rPr>
              <w:t>1</w:t>
            </w:r>
          </w:p>
        </w:tc>
        <w:tc>
          <w:tcPr>
            <w:tcW w:w="2680" w:type="dxa"/>
            <w:tcBorders>
              <w:top w:val="single" w:sz="12" w:space="0" w:color="5C2D91"/>
              <w:left w:val="none" w:sz="0" w:space="0" w:color="000000"/>
              <w:bottom w:val="single" w:sz="16" w:space="0" w:color="5C2D91"/>
              <w:right w:val="none" w:sz="0" w:space="0" w:color="000000"/>
            </w:tcBorders>
            <w:shd w:val="clear" w:color="auto" w:fill="5C2D91"/>
            <w:tcMar>
              <w:top w:w="0" w:type="dxa"/>
              <w:left w:w="0" w:type="dxa"/>
              <w:bottom w:w="0" w:type="dxa"/>
              <w:right w:w="0" w:type="dxa"/>
            </w:tcMar>
            <w:vAlign w:val="center"/>
          </w:tcPr>
          <w:p w14:paraId="10EBD037"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 xml:space="preserve">Urbain  </w:t>
            </w:r>
            <w:r>
              <w:rPr>
                <w:rFonts w:eastAsia="Garamond" w:cs="Garamond"/>
                <w:b/>
                <w:color w:val="FFFFFF"/>
                <w:sz w:val="19"/>
                <w:szCs w:val="19"/>
              </w:rPr>
              <w:br/>
            </w:r>
            <w:r>
              <w:rPr>
                <w:rFonts w:eastAsia="Garamond" w:cs="Garamond"/>
                <w:b/>
                <w:color w:val="FFFFFF"/>
                <w:sz w:val="19"/>
                <w:szCs w:val="19"/>
              </w:rPr>
              <w:t>n = 40470610.3218689</w:t>
            </w:r>
            <w:r>
              <w:rPr>
                <w:rFonts w:eastAsia="Garamond" w:cs="Garamond"/>
                <w:b/>
                <w:color w:val="FFFFFF"/>
                <w:sz w:val="19"/>
                <w:szCs w:val="19"/>
                <w:vertAlign w:val="superscript"/>
              </w:rPr>
              <w:t>1</w:t>
            </w:r>
          </w:p>
        </w:tc>
        <w:tc>
          <w:tcPr>
            <w:tcW w:w="2680" w:type="dxa"/>
            <w:tcBorders>
              <w:top w:val="single" w:sz="12" w:space="0" w:color="5C2D91"/>
              <w:left w:val="none" w:sz="0" w:space="0" w:color="000000"/>
              <w:bottom w:val="single" w:sz="16" w:space="0" w:color="5C2D91"/>
              <w:right w:val="none" w:sz="0" w:space="0" w:color="000000"/>
            </w:tcBorders>
            <w:shd w:val="clear" w:color="auto" w:fill="5C2D91"/>
            <w:tcMar>
              <w:top w:w="0" w:type="dxa"/>
              <w:left w:w="0" w:type="dxa"/>
              <w:bottom w:w="0" w:type="dxa"/>
              <w:right w:w="0" w:type="dxa"/>
            </w:tcMar>
            <w:vAlign w:val="center"/>
          </w:tcPr>
          <w:p w14:paraId="419F84C1"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 xml:space="preserve">Rural  </w:t>
            </w:r>
            <w:r>
              <w:rPr>
                <w:rFonts w:eastAsia="Garamond" w:cs="Garamond"/>
                <w:b/>
                <w:color w:val="FFFFFF"/>
                <w:sz w:val="19"/>
                <w:szCs w:val="19"/>
              </w:rPr>
              <w:br/>
              <w:t>n = 108546327.788391</w:t>
            </w:r>
            <w:r>
              <w:rPr>
                <w:rFonts w:eastAsia="Garamond" w:cs="Garamond"/>
                <w:b/>
                <w:color w:val="FFFFFF"/>
                <w:sz w:val="19"/>
                <w:szCs w:val="19"/>
                <w:vertAlign w:val="superscript"/>
              </w:rPr>
              <w:t>1</w:t>
            </w:r>
          </w:p>
        </w:tc>
        <w:tc>
          <w:tcPr>
            <w:tcW w:w="1181" w:type="dxa"/>
            <w:tcBorders>
              <w:top w:val="single" w:sz="12" w:space="0" w:color="5C2D91"/>
              <w:left w:val="none" w:sz="0" w:space="0" w:color="000000"/>
              <w:bottom w:val="single" w:sz="16" w:space="0" w:color="5C2D91"/>
              <w:right w:val="single" w:sz="12" w:space="0" w:color="5C2D91"/>
            </w:tcBorders>
            <w:shd w:val="clear" w:color="auto" w:fill="5C2D91"/>
            <w:tcMar>
              <w:top w:w="0" w:type="dxa"/>
              <w:left w:w="0" w:type="dxa"/>
              <w:bottom w:w="0" w:type="dxa"/>
              <w:right w:w="0" w:type="dxa"/>
            </w:tcMar>
            <w:vAlign w:val="center"/>
          </w:tcPr>
          <w:p w14:paraId="1FB4B17D"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b/>
                <w:color w:val="FFFFFF"/>
                <w:sz w:val="19"/>
                <w:szCs w:val="19"/>
              </w:rPr>
            </w:pPr>
            <w:r>
              <w:rPr>
                <w:rFonts w:eastAsia="Garamond" w:cs="Garamond"/>
                <w:b/>
                <w:color w:val="FFFFFF"/>
                <w:sz w:val="19"/>
                <w:szCs w:val="19"/>
              </w:rPr>
              <w:t>p-value</w:t>
            </w:r>
            <w:r>
              <w:rPr>
                <w:rFonts w:eastAsia="Garamond" w:cs="Garamond"/>
                <w:b/>
                <w:color w:val="FFFFFF"/>
                <w:sz w:val="19"/>
                <w:szCs w:val="19"/>
                <w:vertAlign w:val="superscript"/>
              </w:rPr>
              <w:t>2</w:t>
            </w:r>
          </w:p>
        </w:tc>
      </w:tr>
      <w:tr w:rsidR="00E0100C" w14:paraId="2886B651" w14:textId="77777777">
        <w:trPr>
          <w:jc w:val="center"/>
        </w:trPr>
        <w:tc>
          <w:tcPr>
            <w:tcW w:w="2991" w:type="dxa"/>
            <w:tcBorders>
              <w:top w:val="single" w:sz="16" w:space="0" w:color="5C2D91"/>
              <w:left w:val="single" w:sz="12" w:space="0" w:color="5C2D91"/>
              <w:bottom w:val="single" w:sz="3" w:space="0" w:color="A0A0A0"/>
              <w:right w:val="none" w:sz="0" w:space="0" w:color="000000"/>
            </w:tcBorders>
            <w:shd w:val="clear" w:color="auto" w:fill="FFFFFF"/>
            <w:tcMar>
              <w:top w:w="0" w:type="dxa"/>
              <w:left w:w="0" w:type="dxa"/>
              <w:bottom w:w="0" w:type="dxa"/>
              <w:right w:w="0" w:type="dxa"/>
            </w:tcMar>
          </w:tcPr>
          <w:p w14:paraId="7BFAF3CE"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Sexe</w:t>
            </w:r>
          </w:p>
        </w:tc>
        <w:tc>
          <w:tcPr>
            <w:tcW w:w="2558" w:type="dxa"/>
            <w:tcBorders>
              <w:top w:val="single" w:sz="16" w:space="0" w:color="5C2D91"/>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5681674"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680" w:type="dxa"/>
            <w:tcBorders>
              <w:top w:val="single" w:sz="16" w:space="0" w:color="5C2D91"/>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5323A47"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680" w:type="dxa"/>
            <w:tcBorders>
              <w:top w:val="single" w:sz="16" w:space="0" w:color="5C2D91"/>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52F2A356"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1181" w:type="dxa"/>
            <w:tcBorders>
              <w:top w:val="single" w:sz="16" w:space="0" w:color="5C2D91"/>
              <w:left w:val="none" w:sz="0" w:space="0" w:color="000000"/>
              <w:bottom w:val="single" w:sz="3" w:space="0" w:color="A0A0A0"/>
              <w:right w:val="single" w:sz="12" w:space="0" w:color="5C2D91"/>
            </w:tcBorders>
            <w:shd w:val="clear" w:color="auto" w:fill="FFFFFF"/>
            <w:tcMar>
              <w:top w:w="0" w:type="dxa"/>
              <w:left w:w="0" w:type="dxa"/>
              <w:bottom w:w="0" w:type="dxa"/>
              <w:right w:w="0" w:type="dxa"/>
            </w:tcMar>
          </w:tcPr>
          <w:p w14:paraId="41710983"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0.8</w:t>
            </w:r>
          </w:p>
        </w:tc>
      </w:tr>
      <w:tr w:rsidR="00E0100C" w14:paraId="5689DE23"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EDE3F5"/>
            <w:tcMar>
              <w:top w:w="0" w:type="dxa"/>
              <w:left w:w="0" w:type="dxa"/>
              <w:bottom w:w="0" w:type="dxa"/>
              <w:right w:w="0" w:type="dxa"/>
            </w:tcMar>
          </w:tcPr>
          <w:p w14:paraId="530CFF17"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Homme</w:t>
            </w:r>
          </w:p>
        </w:tc>
        <w:tc>
          <w:tcPr>
            <w:tcW w:w="2558"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34A30201"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73,777,486 (50%)</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6C90A25F"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20,102,397 (50%)</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03B217B1"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53,675,089 (49%)</w:t>
            </w:r>
          </w:p>
        </w:tc>
        <w:tc>
          <w:tcPr>
            <w:tcW w:w="1181" w:type="dxa"/>
            <w:tcBorders>
              <w:top w:val="single" w:sz="3" w:space="0" w:color="A0A0A0"/>
              <w:left w:val="none" w:sz="0" w:space="0" w:color="000000"/>
              <w:bottom w:val="single" w:sz="3" w:space="0" w:color="A0A0A0"/>
              <w:right w:val="single" w:sz="12" w:space="0" w:color="5C2D91"/>
            </w:tcBorders>
            <w:shd w:val="clear" w:color="auto" w:fill="EDE3F5"/>
            <w:tcMar>
              <w:top w:w="0" w:type="dxa"/>
              <w:left w:w="0" w:type="dxa"/>
              <w:bottom w:w="0" w:type="dxa"/>
              <w:right w:w="0" w:type="dxa"/>
            </w:tcMar>
          </w:tcPr>
          <w:p w14:paraId="62439A78"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0DFD1D53"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FFFFFF"/>
            <w:tcMar>
              <w:top w:w="0" w:type="dxa"/>
              <w:left w:w="0" w:type="dxa"/>
              <w:bottom w:w="0" w:type="dxa"/>
              <w:right w:w="0" w:type="dxa"/>
            </w:tcMar>
          </w:tcPr>
          <w:p w14:paraId="021BB7D0"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Femme</w:t>
            </w:r>
          </w:p>
        </w:tc>
        <w:tc>
          <w:tcPr>
            <w:tcW w:w="2558"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C676AE5"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75,239,452 (50%)</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67CC636"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20,368,213 (50%)</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BCCC921"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54,871,239 (51%)</w:t>
            </w:r>
          </w:p>
        </w:tc>
        <w:tc>
          <w:tcPr>
            <w:tcW w:w="1181" w:type="dxa"/>
            <w:tcBorders>
              <w:top w:val="single" w:sz="3" w:space="0" w:color="A0A0A0"/>
              <w:left w:val="none" w:sz="0" w:space="0" w:color="000000"/>
              <w:bottom w:val="single" w:sz="3" w:space="0" w:color="A0A0A0"/>
              <w:right w:val="single" w:sz="12" w:space="0" w:color="5C2D91"/>
            </w:tcBorders>
            <w:shd w:val="clear" w:color="auto" w:fill="FFFFFF"/>
            <w:tcMar>
              <w:top w:w="0" w:type="dxa"/>
              <w:left w:w="0" w:type="dxa"/>
              <w:bottom w:w="0" w:type="dxa"/>
              <w:right w:w="0" w:type="dxa"/>
            </w:tcMar>
          </w:tcPr>
          <w:p w14:paraId="1A4CC3B8"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44F78541"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EDE3F5"/>
            <w:tcMar>
              <w:top w:w="0" w:type="dxa"/>
              <w:left w:w="0" w:type="dxa"/>
              <w:bottom w:w="0" w:type="dxa"/>
              <w:right w:w="0" w:type="dxa"/>
            </w:tcMar>
          </w:tcPr>
          <w:p w14:paraId="425AA476"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Alphabétisé(e)</w:t>
            </w:r>
          </w:p>
        </w:tc>
        <w:tc>
          <w:tcPr>
            <w:tcW w:w="2558"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2A641C42"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89,689,653 (65%)</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5D9CDE33"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29,622,610 (78%)</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66053CA4"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60,067,043 (60%)</w:t>
            </w:r>
          </w:p>
        </w:tc>
        <w:tc>
          <w:tcPr>
            <w:tcW w:w="1181" w:type="dxa"/>
            <w:tcBorders>
              <w:top w:val="single" w:sz="3" w:space="0" w:color="A0A0A0"/>
              <w:left w:val="none" w:sz="0" w:space="0" w:color="000000"/>
              <w:bottom w:val="single" w:sz="3" w:space="0" w:color="A0A0A0"/>
              <w:right w:val="single" w:sz="12" w:space="0" w:color="5C2D91"/>
            </w:tcBorders>
            <w:shd w:val="clear" w:color="auto" w:fill="EDE3F5"/>
            <w:tcMar>
              <w:top w:w="0" w:type="dxa"/>
              <w:left w:w="0" w:type="dxa"/>
              <w:bottom w:w="0" w:type="dxa"/>
              <w:right w:w="0" w:type="dxa"/>
            </w:tcMar>
          </w:tcPr>
          <w:p w14:paraId="71F451EA"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&lt;0.001</w:t>
            </w:r>
          </w:p>
        </w:tc>
      </w:tr>
      <w:tr w:rsidR="00E0100C" w14:paraId="129D0CF3"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FFFFFF"/>
            <w:tcMar>
              <w:top w:w="0" w:type="dxa"/>
              <w:left w:w="0" w:type="dxa"/>
              <w:bottom w:w="0" w:type="dxa"/>
              <w:right w:w="0" w:type="dxa"/>
            </w:tcMar>
          </w:tcPr>
          <w:p w14:paraId="66BFE335"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Non renseigné</w:t>
            </w:r>
          </w:p>
        </w:tc>
        <w:tc>
          <w:tcPr>
            <w:tcW w:w="2558"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A7C44DD"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10,344,764</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C6ABF9B"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2,455,414</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64577AC"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7,889,350</w:t>
            </w:r>
          </w:p>
        </w:tc>
        <w:tc>
          <w:tcPr>
            <w:tcW w:w="1181" w:type="dxa"/>
            <w:tcBorders>
              <w:top w:val="single" w:sz="3" w:space="0" w:color="A0A0A0"/>
              <w:left w:val="none" w:sz="0" w:space="0" w:color="000000"/>
              <w:bottom w:val="single" w:sz="3" w:space="0" w:color="A0A0A0"/>
              <w:right w:val="single" w:sz="12" w:space="0" w:color="5C2D91"/>
            </w:tcBorders>
            <w:shd w:val="clear" w:color="auto" w:fill="FFFFFF"/>
            <w:tcMar>
              <w:top w:w="0" w:type="dxa"/>
              <w:left w:w="0" w:type="dxa"/>
              <w:bottom w:w="0" w:type="dxa"/>
              <w:right w:w="0" w:type="dxa"/>
            </w:tcMar>
          </w:tcPr>
          <w:p w14:paraId="120CDD93"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0D030BE9"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EDE3F5"/>
            <w:tcMar>
              <w:top w:w="0" w:type="dxa"/>
              <w:left w:w="0" w:type="dxa"/>
              <w:bottom w:w="0" w:type="dxa"/>
              <w:right w:w="0" w:type="dxa"/>
            </w:tcMar>
          </w:tcPr>
          <w:p w14:paraId="2E0670C3"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Niveau d'éducation</w:t>
            </w:r>
          </w:p>
        </w:tc>
        <w:tc>
          <w:tcPr>
            <w:tcW w:w="2558"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4820C24E"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2BCAFF88"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25B9CC0A"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c>
          <w:tcPr>
            <w:tcW w:w="1181" w:type="dxa"/>
            <w:tcBorders>
              <w:top w:val="single" w:sz="3" w:space="0" w:color="A0A0A0"/>
              <w:left w:val="none" w:sz="0" w:space="0" w:color="000000"/>
              <w:bottom w:val="single" w:sz="3" w:space="0" w:color="A0A0A0"/>
              <w:right w:val="single" w:sz="12" w:space="0" w:color="5C2D91"/>
            </w:tcBorders>
            <w:shd w:val="clear" w:color="auto" w:fill="EDE3F5"/>
            <w:tcMar>
              <w:top w:w="0" w:type="dxa"/>
              <w:left w:w="0" w:type="dxa"/>
              <w:bottom w:w="0" w:type="dxa"/>
              <w:right w:w="0" w:type="dxa"/>
            </w:tcMar>
          </w:tcPr>
          <w:p w14:paraId="63D567FC"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&lt;0.001</w:t>
            </w:r>
          </w:p>
        </w:tc>
      </w:tr>
      <w:tr w:rsidR="00E0100C" w14:paraId="402D912C"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FFFFFF"/>
            <w:tcMar>
              <w:top w:w="0" w:type="dxa"/>
              <w:left w:w="0" w:type="dxa"/>
              <w:bottom w:w="0" w:type="dxa"/>
              <w:right w:w="0" w:type="dxa"/>
            </w:tcMar>
          </w:tcPr>
          <w:p w14:paraId="48ECA98F"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Aucun</w:t>
            </w:r>
          </w:p>
        </w:tc>
        <w:tc>
          <w:tcPr>
            <w:tcW w:w="2558"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A31AA77"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34,270,672 (25%)</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E657711"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4,923,192 (13%)</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359586DE"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29,347,479 (29%)</w:t>
            </w:r>
          </w:p>
        </w:tc>
        <w:tc>
          <w:tcPr>
            <w:tcW w:w="1181" w:type="dxa"/>
            <w:tcBorders>
              <w:top w:val="single" w:sz="3" w:space="0" w:color="A0A0A0"/>
              <w:left w:val="none" w:sz="0" w:space="0" w:color="000000"/>
              <w:bottom w:val="single" w:sz="3" w:space="0" w:color="A0A0A0"/>
              <w:right w:val="single" w:sz="12" w:space="0" w:color="5C2D91"/>
            </w:tcBorders>
            <w:shd w:val="clear" w:color="auto" w:fill="FFFFFF"/>
            <w:tcMar>
              <w:top w:w="0" w:type="dxa"/>
              <w:left w:w="0" w:type="dxa"/>
              <w:bottom w:w="0" w:type="dxa"/>
              <w:right w:w="0" w:type="dxa"/>
            </w:tcMar>
          </w:tcPr>
          <w:p w14:paraId="4463B542"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20BF2080"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EDE3F5"/>
            <w:tcMar>
              <w:top w:w="0" w:type="dxa"/>
              <w:left w:w="0" w:type="dxa"/>
              <w:bottom w:w="0" w:type="dxa"/>
              <w:right w:w="0" w:type="dxa"/>
            </w:tcMar>
          </w:tcPr>
          <w:p w14:paraId="2F2729EA"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Primaire</w:t>
            </w:r>
          </w:p>
        </w:tc>
        <w:tc>
          <w:tcPr>
            <w:tcW w:w="2558"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0C7FC330"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45,940,268 (33%)</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1C6FBF5D"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12,203,776 (32%)</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060D0BBC"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33,736,492 (34%)</w:t>
            </w:r>
          </w:p>
        </w:tc>
        <w:tc>
          <w:tcPr>
            <w:tcW w:w="1181" w:type="dxa"/>
            <w:tcBorders>
              <w:top w:val="single" w:sz="3" w:space="0" w:color="A0A0A0"/>
              <w:left w:val="none" w:sz="0" w:space="0" w:color="000000"/>
              <w:bottom w:val="single" w:sz="3" w:space="0" w:color="A0A0A0"/>
              <w:right w:val="single" w:sz="12" w:space="0" w:color="5C2D91"/>
            </w:tcBorders>
            <w:shd w:val="clear" w:color="auto" w:fill="EDE3F5"/>
            <w:tcMar>
              <w:top w:w="0" w:type="dxa"/>
              <w:left w:w="0" w:type="dxa"/>
              <w:bottom w:w="0" w:type="dxa"/>
              <w:right w:w="0" w:type="dxa"/>
            </w:tcMar>
          </w:tcPr>
          <w:p w14:paraId="3D87E092"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7652838A"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FFFFFF"/>
            <w:tcMar>
              <w:top w:w="0" w:type="dxa"/>
              <w:left w:w="0" w:type="dxa"/>
              <w:bottom w:w="0" w:type="dxa"/>
              <w:right w:w="0" w:type="dxa"/>
            </w:tcMar>
          </w:tcPr>
          <w:p w14:paraId="5F4E91B6"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Secondaire</w:t>
            </w:r>
          </w:p>
        </w:tc>
        <w:tc>
          <w:tcPr>
            <w:tcW w:w="2558"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6438CA55"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36,196,937 (26%)</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71B70933"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12,830,779 (34%)</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5E8E011"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23,366,158 (23%)</w:t>
            </w:r>
          </w:p>
        </w:tc>
        <w:tc>
          <w:tcPr>
            <w:tcW w:w="1181" w:type="dxa"/>
            <w:tcBorders>
              <w:top w:val="single" w:sz="3" w:space="0" w:color="A0A0A0"/>
              <w:left w:val="none" w:sz="0" w:space="0" w:color="000000"/>
              <w:bottom w:val="single" w:sz="3" w:space="0" w:color="A0A0A0"/>
              <w:right w:val="single" w:sz="12" w:space="0" w:color="5C2D91"/>
            </w:tcBorders>
            <w:shd w:val="clear" w:color="auto" w:fill="FFFFFF"/>
            <w:tcMar>
              <w:top w:w="0" w:type="dxa"/>
              <w:left w:w="0" w:type="dxa"/>
              <w:bottom w:w="0" w:type="dxa"/>
              <w:right w:w="0" w:type="dxa"/>
            </w:tcMar>
          </w:tcPr>
          <w:p w14:paraId="21E8AD71"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77AEF079"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EDE3F5"/>
            <w:tcMar>
              <w:top w:w="0" w:type="dxa"/>
              <w:left w:w="0" w:type="dxa"/>
              <w:bottom w:w="0" w:type="dxa"/>
              <w:right w:w="0" w:type="dxa"/>
            </w:tcMar>
          </w:tcPr>
          <w:p w14:paraId="568D4DE0"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Technique/Prof</w:t>
            </w:r>
          </w:p>
        </w:tc>
        <w:tc>
          <w:tcPr>
            <w:tcW w:w="2558"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05F17740"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6,310,736 (5%)</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1B7882CE"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3,002,759 (8%)</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793EE748"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3,307,977 (3%)</w:t>
            </w:r>
          </w:p>
        </w:tc>
        <w:tc>
          <w:tcPr>
            <w:tcW w:w="1181" w:type="dxa"/>
            <w:tcBorders>
              <w:top w:val="single" w:sz="3" w:space="0" w:color="A0A0A0"/>
              <w:left w:val="none" w:sz="0" w:space="0" w:color="000000"/>
              <w:bottom w:val="single" w:sz="3" w:space="0" w:color="A0A0A0"/>
              <w:right w:val="single" w:sz="12" w:space="0" w:color="5C2D91"/>
            </w:tcBorders>
            <w:shd w:val="clear" w:color="auto" w:fill="EDE3F5"/>
            <w:tcMar>
              <w:top w:w="0" w:type="dxa"/>
              <w:left w:w="0" w:type="dxa"/>
              <w:bottom w:w="0" w:type="dxa"/>
              <w:right w:w="0" w:type="dxa"/>
            </w:tcMar>
          </w:tcPr>
          <w:p w14:paraId="7D3BBC2C"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6A90848A"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FFFFFF"/>
            <w:tcMar>
              <w:top w:w="0" w:type="dxa"/>
              <w:left w:w="0" w:type="dxa"/>
              <w:bottom w:w="0" w:type="dxa"/>
              <w:right w:w="0" w:type="dxa"/>
            </w:tcMar>
          </w:tcPr>
          <w:p w14:paraId="0D4C41FA"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Tertiaire</w:t>
            </w:r>
          </w:p>
        </w:tc>
        <w:tc>
          <w:tcPr>
            <w:tcW w:w="2558"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18BDC93"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4,510,225 (3%)</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2D99DB8E"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2,503,945 (7%)</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02889C80"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2,006,279 (2%)</w:t>
            </w:r>
          </w:p>
        </w:tc>
        <w:tc>
          <w:tcPr>
            <w:tcW w:w="1181" w:type="dxa"/>
            <w:tcBorders>
              <w:top w:val="single" w:sz="3" w:space="0" w:color="A0A0A0"/>
              <w:left w:val="none" w:sz="0" w:space="0" w:color="000000"/>
              <w:bottom w:val="single" w:sz="3" w:space="0" w:color="A0A0A0"/>
              <w:right w:val="single" w:sz="12" w:space="0" w:color="5C2D91"/>
            </w:tcBorders>
            <w:shd w:val="clear" w:color="auto" w:fill="FFFFFF"/>
            <w:tcMar>
              <w:top w:w="0" w:type="dxa"/>
              <w:left w:w="0" w:type="dxa"/>
              <w:bottom w:w="0" w:type="dxa"/>
              <w:right w:w="0" w:type="dxa"/>
            </w:tcMar>
          </w:tcPr>
          <w:p w14:paraId="4DE879AB"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65DE2707"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EDE3F5"/>
            <w:tcMar>
              <w:top w:w="0" w:type="dxa"/>
              <w:left w:w="0" w:type="dxa"/>
              <w:bottom w:w="0" w:type="dxa"/>
              <w:right w:w="0" w:type="dxa"/>
            </w:tcMar>
          </w:tcPr>
          <w:p w14:paraId="453996CC"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Coranique/Adulte</w:t>
            </w:r>
          </w:p>
        </w:tc>
        <w:tc>
          <w:tcPr>
            <w:tcW w:w="2558"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4D5AE2D4"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11,443,338 (8%)</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32BCCD3C"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2,550,746 (7%)</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101A580F"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8,892,592 (9%)</w:t>
            </w:r>
          </w:p>
        </w:tc>
        <w:tc>
          <w:tcPr>
            <w:tcW w:w="1181" w:type="dxa"/>
            <w:tcBorders>
              <w:top w:val="single" w:sz="3" w:space="0" w:color="A0A0A0"/>
              <w:left w:val="none" w:sz="0" w:space="0" w:color="000000"/>
              <w:bottom w:val="single" w:sz="3" w:space="0" w:color="A0A0A0"/>
              <w:right w:val="single" w:sz="12" w:space="0" w:color="5C2D91"/>
            </w:tcBorders>
            <w:shd w:val="clear" w:color="auto" w:fill="EDE3F5"/>
            <w:tcMar>
              <w:top w:w="0" w:type="dxa"/>
              <w:left w:w="0" w:type="dxa"/>
              <w:bottom w:w="0" w:type="dxa"/>
              <w:right w:w="0" w:type="dxa"/>
            </w:tcMar>
          </w:tcPr>
          <w:p w14:paraId="5DB0E215"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7438E0EB"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FFFFFF"/>
            <w:tcMar>
              <w:top w:w="0" w:type="dxa"/>
              <w:left w:w="0" w:type="dxa"/>
              <w:bottom w:w="0" w:type="dxa"/>
              <w:right w:w="0" w:type="dxa"/>
            </w:tcMar>
          </w:tcPr>
          <w:p w14:paraId="168C2ADC"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Non renseigné</w:t>
            </w:r>
          </w:p>
        </w:tc>
        <w:tc>
          <w:tcPr>
            <w:tcW w:w="2558"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1A55024E"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10,344,764</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4A462FA5"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2,455,414</w:t>
            </w:r>
          </w:p>
        </w:tc>
        <w:tc>
          <w:tcPr>
            <w:tcW w:w="2680" w:type="dxa"/>
            <w:tcBorders>
              <w:top w:val="single" w:sz="3" w:space="0" w:color="A0A0A0"/>
              <w:left w:val="none" w:sz="0" w:space="0" w:color="000000"/>
              <w:bottom w:val="single" w:sz="3" w:space="0" w:color="A0A0A0"/>
              <w:right w:val="none" w:sz="0" w:space="0" w:color="000000"/>
            </w:tcBorders>
            <w:shd w:val="clear" w:color="auto" w:fill="FFFFFF"/>
            <w:tcMar>
              <w:top w:w="0" w:type="dxa"/>
              <w:left w:w="0" w:type="dxa"/>
              <w:bottom w:w="0" w:type="dxa"/>
              <w:right w:w="0" w:type="dxa"/>
            </w:tcMar>
          </w:tcPr>
          <w:p w14:paraId="019EA775"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7,889,350</w:t>
            </w:r>
          </w:p>
        </w:tc>
        <w:tc>
          <w:tcPr>
            <w:tcW w:w="1181" w:type="dxa"/>
            <w:tcBorders>
              <w:top w:val="single" w:sz="3" w:space="0" w:color="A0A0A0"/>
              <w:left w:val="none" w:sz="0" w:space="0" w:color="000000"/>
              <w:bottom w:val="single" w:sz="3" w:space="0" w:color="A0A0A0"/>
              <w:right w:val="single" w:sz="12" w:space="0" w:color="5C2D91"/>
            </w:tcBorders>
            <w:shd w:val="clear" w:color="auto" w:fill="FFFFFF"/>
            <w:tcMar>
              <w:top w:w="0" w:type="dxa"/>
              <w:left w:w="0" w:type="dxa"/>
              <w:bottom w:w="0" w:type="dxa"/>
              <w:right w:w="0" w:type="dxa"/>
            </w:tcMar>
          </w:tcPr>
          <w:p w14:paraId="3E8AF72A"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3428A01C" w14:textId="77777777">
        <w:trPr>
          <w:jc w:val="center"/>
        </w:trPr>
        <w:tc>
          <w:tcPr>
            <w:tcW w:w="2991" w:type="dxa"/>
            <w:tcBorders>
              <w:top w:val="single" w:sz="3" w:space="0" w:color="A0A0A0"/>
              <w:left w:val="single" w:sz="12" w:space="0" w:color="5C2D91"/>
              <w:bottom w:val="single" w:sz="3" w:space="0" w:color="A0A0A0"/>
              <w:right w:val="none" w:sz="0" w:space="0" w:color="000000"/>
            </w:tcBorders>
            <w:shd w:val="clear" w:color="auto" w:fill="EDE3F5"/>
            <w:tcMar>
              <w:top w:w="0" w:type="dxa"/>
              <w:left w:w="0" w:type="dxa"/>
              <w:bottom w:w="0" w:type="dxa"/>
              <w:right w:w="0" w:type="dxa"/>
            </w:tcMar>
          </w:tcPr>
          <w:p w14:paraId="45199ACC"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Scolarisé(e) en 2018/2019</w:t>
            </w:r>
          </w:p>
        </w:tc>
        <w:tc>
          <w:tcPr>
            <w:tcW w:w="2558"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02544EAB"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52,892,916 (49%)</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775A9F54"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16,199,932 (48%)</w:t>
            </w:r>
          </w:p>
        </w:tc>
        <w:tc>
          <w:tcPr>
            <w:tcW w:w="2680" w:type="dxa"/>
            <w:tcBorders>
              <w:top w:val="single" w:sz="3" w:space="0" w:color="A0A0A0"/>
              <w:left w:val="none" w:sz="0" w:space="0" w:color="000000"/>
              <w:bottom w:val="single" w:sz="3" w:space="0" w:color="A0A0A0"/>
              <w:right w:val="none" w:sz="0" w:space="0" w:color="000000"/>
            </w:tcBorders>
            <w:shd w:val="clear" w:color="auto" w:fill="EDE3F5"/>
            <w:tcMar>
              <w:top w:w="0" w:type="dxa"/>
              <w:left w:w="0" w:type="dxa"/>
              <w:bottom w:w="0" w:type="dxa"/>
              <w:right w:w="0" w:type="dxa"/>
            </w:tcMar>
          </w:tcPr>
          <w:p w14:paraId="6A9F55F9"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36,692,984 (49%)</w:t>
            </w:r>
          </w:p>
        </w:tc>
        <w:tc>
          <w:tcPr>
            <w:tcW w:w="1181" w:type="dxa"/>
            <w:tcBorders>
              <w:top w:val="single" w:sz="3" w:space="0" w:color="A0A0A0"/>
              <w:left w:val="none" w:sz="0" w:space="0" w:color="000000"/>
              <w:bottom w:val="single" w:sz="3" w:space="0" w:color="A0A0A0"/>
              <w:right w:val="single" w:sz="12" w:space="0" w:color="5C2D91"/>
            </w:tcBorders>
            <w:shd w:val="clear" w:color="auto" w:fill="EDE3F5"/>
            <w:tcMar>
              <w:top w:w="0" w:type="dxa"/>
              <w:left w:w="0" w:type="dxa"/>
              <w:bottom w:w="0" w:type="dxa"/>
              <w:right w:w="0" w:type="dxa"/>
            </w:tcMar>
          </w:tcPr>
          <w:p w14:paraId="7DB216FB"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0.3</w:t>
            </w:r>
          </w:p>
        </w:tc>
      </w:tr>
      <w:tr w:rsidR="00E0100C" w14:paraId="3B617475" w14:textId="77777777">
        <w:trPr>
          <w:jc w:val="center"/>
        </w:trPr>
        <w:tc>
          <w:tcPr>
            <w:tcW w:w="2991" w:type="dxa"/>
            <w:tcBorders>
              <w:top w:val="single" w:sz="3" w:space="0" w:color="A0A0A0"/>
              <w:left w:val="single" w:sz="12" w:space="0" w:color="5C2D91"/>
              <w:bottom w:val="single" w:sz="12" w:space="0" w:color="5C2D91"/>
              <w:right w:val="none" w:sz="0" w:space="0" w:color="000000"/>
            </w:tcBorders>
            <w:shd w:val="clear" w:color="auto" w:fill="FFFFFF"/>
            <w:tcMar>
              <w:top w:w="0" w:type="dxa"/>
              <w:left w:w="0" w:type="dxa"/>
              <w:bottom w:w="0" w:type="dxa"/>
              <w:right w:w="0" w:type="dxa"/>
            </w:tcMar>
          </w:tcPr>
          <w:p w14:paraId="15930EA4"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b/>
                <w:color w:val="000000"/>
                <w:sz w:val="18"/>
                <w:szCs w:val="18"/>
              </w:rPr>
            </w:pPr>
            <w:r>
              <w:rPr>
                <w:rFonts w:eastAsia="Garamond" w:cs="Garamond"/>
                <w:b/>
                <w:color w:val="000000"/>
                <w:sz w:val="18"/>
                <w:szCs w:val="18"/>
              </w:rPr>
              <w:t>Non renseigné</w:t>
            </w:r>
          </w:p>
        </w:tc>
        <w:tc>
          <w:tcPr>
            <w:tcW w:w="2558" w:type="dxa"/>
            <w:tcBorders>
              <w:top w:val="single" w:sz="3" w:space="0" w:color="A0A0A0"/>
              <w:left w:val="none" w:sz="0" w:space="0" w:color="000000"/>
              <w:bottom w:val="single" w:sz="12" w:space="0" w:color="5C2D91"/>
              <w:right w:val="none" w:sz="0" w:space="0" w:color="000000"/>
            </w:tcBorders>
            <w:shd w:val="clear" w:color="auto" w:fill="FFFFFF"/>
            <w:tcMar>
              <w:top w:w="0" w:type="dxa"/>
              <w:left w:w="0" w:type="dxa"/>
              <w:bottom w:w="0" w:type="dxa"/>
              <w:right w:w="0" w:type="dxa"/>
            </w:tcMar>
          </w:tcPr>
          <w:p w14:paraId="45A57375"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40,757,328</w:t>
            </w:r>
          </w:p>
        </w:tc>
        <w:tc>
          <w:tcPr>
            <w:tcW w:w="2680" w:type="dxa"/>
            <w:tcBorders>
              <w:top w:val="single" w:sz="3" w:space="0" w:color="A0A0A0"/>
              <w:left w:val="none" w:sz="0" w:space="0" w:color="000000"/>
              <w:bottom w:val="single" w:sz="12" w:space="0" w:color="5C2D91"/>
              <w:right w:val="none" w:sz="0" w:space="0" w:color="000000"/>
            </w:tcBorders>
            <w:shd w:val="clear" w:color="auto" w:fill="FFFFFF"/>
            <w:tcMar>
              <w:top w:w="0" w:type="dxa"/>
              <w:left w:w="0" w:type="dxa"/>
              <w:bottom w:w="0" w:type="dxa"/>
              <w:right w:w="0" w:type="dxa"/>
            </w:tcMar>
          </w:tcPr>
          <w:p w14:paraId="774B2D16"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6,483,719</w:t>
            </w:r>
          </w:p>
        </w:tc>
        <w:tc>
          <w:tcPr>
            <w:tcW w:w="2680" w:type="dxa"/>
            <w:tcBorders>
              <w:top w:val="single" w:sz="3" w:space="0" w:color="A0A0A0"/>
              <w:left w:val="none" w:sz="0" w:space="0" w:color="000000"/>
              <w:bottom w:val="single" w:sz="12" w:space="0" w:color="5C2D91"/>
              <w:right w:val="none" w:sz="0" w:space="0" w:color="000000"/>
            </w:tcBorders>
            <w:shd w:val="clear" w:color="auto" w:fill="FFFFFF"/>
            <w:tcMar>
              <w:top w:w="0" w:type="dxa"/>
              <w:left w:w="0" w:type="dxa"/>
              <w:bottom w:w="0" w:type="dxa"/>
              <w:right w:w="0" w:type="dxa"/>
            </w:tcMar>
          </w:tcPr>
          <w:p w14:paraId="1A0DA02D"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r>
              <w:rPr>
                <w:rFonts w:eastAsia="Garamond" w:cs="Garamond"/>
                <w:color w:val="000000"/>
                <w:sz w:val="18"/>
                <w:szCs w:val="18"/>
              </w:rPr>
              <w:t>34,273,609</w:t>
            </w:r>
          </w:p>
        </w:tc>
        <w:tc>
          <w:tcPr>
            <w:tcW w:w="1181" w:type="dxa"/>
            <w:tcBorders>
              <w:top w:val="single" w:sz="3" w:space="0" w:color="A0A0A0"/>
              <w:left w:val="none" w:sz="0" w:space="0" w:color="000000"/>
              <w:bottom w:val="single" w:sz="12" w:space="0" w:color="5C2D91"/>
              <w:right w:val="single" w:sz="12" w:space="0" w:color="5C2D91"/>
            </w:tcBorders>
            <w:shd w:val="clear" w:color="auto" w:fill="FFFFFF"/>
            <w:tcMar>
              <w:top w:w="0" w:type="dxa"/>
              <w:left w:w="0" w:type="dxa"/>
              <w:bottom w:w="0" w:type="dxa"/>
              <w:right w:w="0" w:type="dxa"/>
            </w:tcMar>
          </w:tcPr>
          <w:p w14:paraId="17C6A981" w14:textId="77777777" w:rsidR="00E0100C" w:rsidRDefault="00E0100C">
            <w:pPr>
              <w:pBdr>
                <w:top w:val="none" w:sz="0" w:space="0" w:color="000000"/>
                <w:left w:val="none" w:sz="0" w:space="0" w:color="000000"/>
                <w:bottom w:val="none" w:sz="0" w:space="0" w:color="000000"/>
                <w:right w:val="none" w:sz="0" w:space="0" w:color="000000"/>
              </w:pBdr>
              <w:spacing w:before="60" w:after="60" w:line="240" w:lineRule="auto"/>
              <w:ind w:left="120" w:right="120"/>
              <w:jc w:val="center"/>
              <w:rPr>
                <w:rFonts w:eastAsia="Garamond" w:cs="Garamond"/>
                <w:color w:val="000000"/>
                <w:sz w:val="18"/>
                <w:szCs w:val="18"/>
              </w:rPr>
            </w:pPr>
          </w:p>
        </w:tc>
      </w:tr>
      <w:tr w:rsidR="00E0100C" w14:paraId="1616ECCC" w14:textId="77777777">
        <w:trPr>
          <w:jc w:val="center"/>
        </w:trPr>
        <w:tc>
          <w:tcPr>
            <w:tcW w:w="12090" w:type="dxa"/>
            <w:gridSpan w:val="5"/>
            <w:tcBorders>
              <w:top w:val="single" w:sz="12" w:space="0" w:color="5C2D91"/>
              <w:left w:val="single" w:sz="12" w:space="0" w:color="5C2D91"/>
              <w:bottom w:val="none" w:sz="0" w:space="0" w:color="000000"/>
              <w:right w:val="single" w:sz="12" w:space="0" w:color="5C2D91"/>
            </w:tcBorders>
            <w:shd w:val="clear" w:color="auto" w:fill="FFFFFF"/>
            <w:tcMar>
              <w:top w:w="0" w:type="dxa"/>
              <w:left w:w="0" w:type="dxa"/>
              <w:bottom w:w="0" w:type="dxa"/>
              <w:right w:w="0" w:type="dxa"/>
            </w:tcMar>
            <w:vAlign w:val="center"/>
          </w:tcPr>
          <w:p w14:paraId="24BD87FE"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color w:val="000000"/>
                <w:sz w:val="22"/>
                <w:szCs w:val="22"/>
              </w:rPr>
            </w:pPr>
            <w:r>
              <w:rPr>
                <w:rFonts w:eastAsia="Garamond" w:cs="Garamond"/>
                <w:color w:val="000000"/>
                <w:sz w:val="22"/>
                <w:szCs w:val="22"/>
                <w:vertAlign w:val="superscript"/>
              </w:rPr>
              <w:t>1</w:t>
            </w:r>
            <w:r>
              <w:rPr>
                <w:rFonts w:eastAsia="Garamond" w:cs="Garamond"/>
                <w:color w:val="000000"/>
                <w:sz w:val="22"/>
                <w:szCs w:val="22"/>
              </w:rPr>
              <w:t>n (%)</w:t>
            </w:r>
          </w:p>
        </w:tc>
      </w:tr>
      <w:tr w:rsidR="00E0100C" w14:paraId="41EC7FC8" w14:textId="77777777">
        <w:trPr>
          <w:jc w:val="center"/>
        </w:trPr>
        <w:tc>
          <w:tcPr>
            <w:tcW w:w="12090" w:type="dxa"/>
            <w:gridSpan w:val="5"/>
            <w:tcBorders>
              <w:top w:val="none" w:sz="0" w:space="0" w:color="000000"/>
              <w:left w:val="single" w:sz="12" w:space="0" w:color="5C2D91"/>
              <w:bottom w:val="single" w:sz="12" w:space="0" w:color="5C2D91"/>
              <w:right w:val="single" w:sz="12" w:space="0" w:color="5C2D91"/>
            </w:tcBorders>
            <w:shd w:val="clear" w:color="auto" w:fill="FFFFFF"/>
            <w:tcMar>
              <w:top w:w="0" w:type="dxa"/>
              <w:left w:w="0" w:type="dxa"/>
              <w:bottom w:w="0" w:type="dxa"/>
              <w:right w:w="0" w:type="dxa"/>
            </w:tcMar>
            <w:vAlign w:val="center"/>
          </w:tcPr>
          <w:p w14:paraId="08871991" w14:textId="77777777" w:rsidR="00E0100C" w:rsidRDefault="00BE787E">
            <w:pPr>
              <w:pBdr>
                <w:top w:val="none" w:sz="0" w:space="0" w:color="000000"/>
                <w:left w:val="none" w:sz="0" w:space="0" w:color="000000"/>
                <w:bottom w:val="none" w:sz="0" w:space="0" w:color="000000"/>
                <w:right w:val="none" w:sz="0" w:space="0" w:color="000000"/>
              </w:pBdr>
              <w:spacing w:before="60" w:after="60" w:line="240" w:lineRule="auto"/>
              <w:ind w:left="120" w:right="120"/>
              <w:jc w:val="left"/>
              <w:rPr>
                <w:rFonts w:eastAsia="Garamond" w:cs="Garamond"/>
                <w:color w:val="000000"/>
                <w:sz w:val="22"/>
                <w:szCs w:val="22"/>
              </w:rPr>
            </w:pPr>
            <w:r>
              <w:rPr>
                <w:rFonts w:eastAsia="Garamond" w:cs="Garamond"/>
                <w:color w:val="000000"/>
                <w:sz w:val="22"/>
                <w:szCs w:val="22"/>
                <w:vertAlign w:val="superscript"/>
              </w:rPr>
              <w:t>2</w:t>
            </w:r>
            <w:r>
              <w:rPr>
                <w:rFonts w:eastAsia="Garamond" w:cs="Garamond"/>
                <w:color w:val="000000"/>
                <w:sz w:val="22"/>
                <w:szCs w:val="22"/>
              </w:rPr>
              <w:t>Pearson's X^2: Rao &amp; Scott adjustment</w:t>
            </w:r>
          </w:p>
        </w:tc>
      </w:tr>
    </w:tbl>
    <w:p w14:paraId="28EEE6A9" w14:textId="77777777" w:rsidR="00E0100C" w:rsidRDefault="00BE787E">
      <w:pPr>
        <w:pStyle w:val="FirstParagraph"/>
      </w:pPr>
      <w:r>
        <w:lastRenderedPageBreak/>
        <w:t> </w:t>
      </w:r>
    </w:p>
    <w:p w14:paraId="7013B46A" w14:textId="77777777" w:rsidR="00E0100C" w:rsidRDefault="00BE787E">
      <w:pPr>
        <w:pStyle w:val="Corpsdetexte"/>
      </w:pPr>
      <w:r>
        <w:t xml:space="preserve">Ce tableau, produit avec </w:t>
      </w:r>
      <w:r>
        <w:rPr>
          <w:rStyle w:val="VerbatimChar"/>
        </w:rPr>
        <w:t>tbl_svysummary</w:t>
      </w:r>
      <w:r>
        <w:t xml:space="preserve"> en tenant compte du plan de sondage complexe, confirme les disparités rural-urbain sur toutes les dimensions éducatives simultanément (toutes p &lt; 0,001). Le milieu urbain deva</w:t>
      </w:r>
      <w:r>
        <w:t>nce le rural sur l’alphabétisation, le niveau d’éducation et la scolarisation actuelle.</w:t>
      </w:r>
    </w:p>
    <w:p w14:paraId="3EFD2A3D" w14:textId="77777777" w:rsidR="00E0100C" w:rsidRDefault="00BE787E">
      <w:pPr>
        <w:pStyle w:val="Corpsdetexte"/>
      </w:pPr>
      <w:r>
        <w:t>Le rapport officiel (Table 2.5) corrobore ce constat : le taux de literacy est de 81,2 % en urbain contre 63,7 % en rural, soit un écart de 17,5 points. Ce tableau réca</w:t>
      </w:r>
      <w:r>
        <w:t>pitulatif constitue la pièce maîtresse du rapport en synthétisant l’ensemble des inégalités éducatives en une seule vue.</w:t>
      </w:r>
    </w:p>
    <w:p w14:paraId="114A3703" w14:textId="77777777" w:rsidR="00E0100C" w:rsidRDefault="00BE787E">
      <w:pPr>
        <w:pStyle w:val="Titre1"/>
      </w:pPr>
      <w:bookmarkStart w:id="24" w:name="discussion"/>
      <w:bookmarkStart w:id="25" w:name="_Toc226279920"/>
      <w:bookmarkEnd w:id="22"/>
      <w:r>
        <w:rPr>
          <w:rStyle w:val="SectionNumber"/>
        </w:rPr>
        <w:t>10</w:t>
      </w:r>
      <w:r>
        <w:tab/>
        <w:t>Discussion</w:t>
      </w:r>
      <w:bookmarkEnd w:id="25"/>
    </w:p>
    <w:p w14:paraId="672D2130" w14:textId="77777777" w:rsidR="00E0100C" w:rsidRDefault="00BE787E">
      <w:pPr>
        <w:pStyle w:val="Titre2"/>
      </w:pPr>
      <w:bookmarkStart w:id="26" w:name="X4b804364d777488072b4f4b8ed9263192ad4e56"/>
      <w:bookmarkStart w:id="27" w:name="_Toc226279921"/>
      <w:r>
        <w:rPr>
          <w:rStyle w:val="SectionNumber"/>
        </w:rPr>
        <w:t>10.1</w:t>
      </w:r>
      <w:r>
        <w:tab/>
        <w:t>Confrontation avec le rapport officiel NBS/World Bank (2019)</w:t>
      </w:r>
      <w:bookmarkEnd w:id="27"/>
    </w:p>
    <w:p w14:paraId="495F29FE" w14:textId="77777777" w:rsidR="00E0100C" w:rsidRDefault="00BE787E">
      <w:pPr>
        <w:pStyle w:val="FirstParagraph"/>
      </w:pPr>
      <w:r>
        <w:t>Les résultats de cette analyse sont cohérents avec les statistiques du rapport officiel GHS Panel Survey Report 2019, publié par le NBS en collaboration avec la Banque mondiale. Trois points de comparaison sont particulièrement éclairants.</w:t>
      </w:r>
    </w:p>
    <w:p w14:paraId="62DAE344" w14:textId="77777777" w:rsidR="00E0100C" w:rsidRDefault="00BE787E">
      <w:pPr>
        <w:pStyle w:val="Corpsdetexte"/>
      </w:pPr>
      <w:r>
        <w:t>Sur l’alphabétis</w:t>
      </w:r>
      <w:r>
        <w:t>ation, le rapport officiel indique un taux national de 68,6 % pour les personnes de 5 ans et plus. Notre analyse utilise le seuil natif de la W4 (3 ans+), ce qui inclut des enfants de 3-4 ans quasi tous analphabètes et dilue mécaniquement le taux. Le rappo</w:t>
      </w:r>
      <w:r>
        <w:t>rt officiel a choisi le seuil de 5 ans pour maintenir la comparabilité avec les vagues précédentes, où le module éducation ne s’ouvrait qu’à cet âge. Nos analyses ciblées sur les sous-populations spécifiques (adultes 18+, enfants 6-17) ne sont pas affectée</w:t>
      </w:r>
      <w:r>
        <w:t>s par cette différence de seuil.</w:t>
      </w:r>
    </w:p>
    <w:p w14:paraId="024D9A6C" w14:textId="77777777" w:rsidR="00E0100C" w:rsidRDefault="00BE787E">
      <w:pPr>
        <w:pStyle w:val="Corpsdetexte"/>
      </w:pPr>
      <w:r>
        <w:t>Sur la scolarisation, nos taux (92,5 % urbain, 88,2 % rural pour les 6-17 ans) sont supérieurs à ceux du rapport officiel (91,2 % urbain, 74,2 % rural pour les 5-14 ans). L’écart s’explique par la tranche d’âge plus large e</w:t>
      </w:r>
      <w:r>
        <w:t>t par la mesure utilisée (inscription vs fréquentation effective).</w:t>
      </w:r>
    </w:p>
    <w:p w14:paraId="7629D83B" w14:textId="77777777" w:rsidR="00E0100C" w:rsidRDefault="00BE787E">
      <w:pPr>
        <w:pStyle w:val="Corpsdetexte"/>
      </w:pPr>
      <w:r>
        <w:t>Sur la fracture géographique, nos résultats par État sont parfaitement alignés avec la hiérarchie régionale du rapport officiel : le Nord-Ouest au bas du classement, le Sud-Ouest et le Sud-</w:t>
      </w:r>
      <w:r>
        <w:t>Est en tête.</w:t>
      </w:r>
    </w:p>
    <w:p w14:paraId="3E5935B7" w14:textId="77777777" w:rsidR="00E0100C" w:rsidRDefault="00BE787E">
      <w:pPr>
        <w:pStyle w:val="Titre2"/>
      </w:pPr>
      <w:bookmarkStart w:id="28" w:name="choix-méthodologiques-et-limites"/>
      <w:bookmarkStart w:id="29" w:name="_Toc226279922"/>
      <w:bookmarkEnd w:id="26"/>
      <w:r>
        <w:rPr>
          <w:rStyle w:val="SectionNumber"/>
        </w:rPr>
        <w:lastRenderedPageBreak/>
        <w:t>10.2</w:t>
      </w:r>
      <w:r>
        <w:tab/>
        <w:t>Choix méthodologiques et limites</w:t>
      </w:r>
      <w:bookmarkEnd w:id="29"/>
    </w:p>
    <w:p w14:paraId="7F6E75A2" w14:textId="77777777" w:rsidR="00E0100C" w:rsidRDefault="00BE787E">
      <w:pPr>
        <w:pStyle w:val="FirstParagraph"/>
      </w:pPr>
      <w:r>
        <w:t xml:space="preserve">Le plan de sondage complexe est pris en compte via </w:t>
      </w:r>
      <w:r>
        <w:rPr>
          <w:rStyle w:val="VerbatimChar"/>
        </w:rPr>
        <w:t>srvyr::as_survey_design()</w:t>
      </w:r>
      <w:r>
        <w:t xml:space="preserve"> avec stratification (</w:t>
      </w:r>
      <w:r>
        <w:rPr>
          <w:rStyle w:val="VerbatimChar"/>
        </w:rPr>
        <w:t>strata</w:t>
      </w:r>
      <w:r>
        <w:t>), clustering (</w:t>
      </w:r>
      <w:r>
        <w:rPr>
          <w:rStyle w:val="VerbatimChar"/>
        </w:rPr>
        <w:t>cluster = ea</w:t>
      </w:r>
      <w:r>
        <w:t>) et pondération (</w:t>
      </w:r>
      <w:r>
        <w:rPr>
          <w:rStyle w:val="VerbatimChar"/>
        </w:rPr>
        <w:t>wt_wave4</w:t>
      </w:r>
      <w:r>
        <w:t>). Les tests de Rao-Scott remplacent les chi-deu</w:t>
      </w:r>
      <w:r>
        <w:t>x classiques pour éviter la surestimation de la significativité. Le V de Cramér, seul indicateur non pondéré, reste une approximation acceptable pour une mesure de taille d’effet.</w:t>
      </w:r>
    </w:p>
    <w:p w14:paraId="4BA3C4FB" w14:textId="77777777" w:rsidR="00E0100C" w:rsidRDefault="00BE787E">
      <w:pPr>
        <w:pStyle w:val="Corpsdetexte"/>
      </w:pPr>
      <w:r>
        <w:t xml:space="preserve">Le poids </w:t>
      </w:r>
      <w:r>
        <w:rPr>
          <w:rStyle w:val="VerbatimChar"/>
        </w:rPr>
        <w:t>wt_wave4</w:t>
      </w:r>
      <w:r>
        <w:t xml:space="preserve"> est un poids ménage appliqué à chaque membre. En l’absence</w:t>
      </w:r>
      <w:r>
        <w:t xml:space="preserve"> de poids individuel dans ce dataset, c’est l’approximation standard utilisée par le NBS lui-même pour les indicateurs de structure éducative. La somme des poids (~149 millions) est cohérente avec la population nigériane en 2018.</w:t>
      </w:r>
    </w:p>
    <w:p w14:paraId="64C8B835" w14:textId="77777777" w:rsidR="00E0100C" w:rsidRDefault="00BE787E">
      <w:pPr>
        <w:pStyle w:val="Corpsdetexte"/>
      </w:pPr>
      <w:r>
        <w:t>Le GHS Panel W4 exclut par</w:t>
      </w:r>
      <w:r>
        <w:t xml:space="preserve"> construction certaines zones rurales de Borno et des zones urbaines inaccessibles pour raisons sécuritaires (insurrection Boko Haram). Les résultats représentent donc le Nigeria accessible en 2018-2019, et non l’ensemble du territoire. Cette limite est ex</w:t>
      </w:r>
      <w:r>
        <w:t>plicitement documentée dans le Basic Information Document de l’enquête.</w:t>
      </w:r>
    </w:p>
    <w:p w14:paraId="034FC018" w14:textId="77777777" w:rsidR="00E0100C" w:rsidRDefault="00BE787E">
      <w:pPr>
        <w:pStyle w:val="Corpsdetexte"/>
      </w:pPr>
      <w:r>
        <w:t xml:space="preserve">Le recodage du niveau d’éducation en 6 catégories à partir des 35 codes originaux de </w:t>
      </w:r>
      <w:r>
        <w:rPr>
          <w:rStyle w:val="VerbatimChar"/>
        </w:rPr>
        <w:t>s2aq9</w:t>
      </w:r>
      <w:r>
        <w:t xml:space="preserve"> suit la structure du système éducatif nigérian (6-3-3-4). La catégorie « Coranique/Adulte » e</w:t>
      </w:r>
      <w:r>
        <w:t>st maintenue distincte de « Aucun » car elle représente un système éducatif parallèle réel, majoritaire dans le Nord, et non une absence d’instruction.</w:t>
      </w:r>
    </w:p>
    <w:p w14:paraId="25890F58" w14:textId="77777777" w:rsidR="00E0100C" w:rsidRDefault="00BE787E">
      <w:pPr>
        <w:pStyle w:val="Titre2"/>
      </w:pPr>
      <w:bookmarkStart w:id="30" w:name="X4646d9dac3743bd350cee47252e459f8fe740d2"/>
      <w:bookmarkStart w:id="31" w:name="_Toc226279923"/>
      <w:bookmarkEnd w:id="28"/>
      <w:r>
        <w:rPr>
          <w:rStyle w:val="SectionNumber"/>
        </w:rPr>
        <w:t>10.3</w:t>
      </w:r>
      <w:r>
        <w:tab/>
        <w:t>Implications pour les politiques publiques</w:t>
      </w:r>
      <w:bookmarkEnd w:id="31"/>
    </w:p>
    <w:p w14:paraId="161E6669" w14:textId="77777777" w:rsidR="00E0100C" w:rsidRDefault="00BE787E">
      <w:pPr>
        <w:pStyle w:val="FirstParagraph"/>
      </w:pPr>
      <w:r>
        <w:t>La persistance d’un quart de la population sans instruct</w:t>
      </w:r>
      <w:r>
        <w:t>ion formelle, concentré dans le Nord, appelle un renforcement ciblé des programmes d’alphabétisation adulte dans ces zones. L’écart de genre en éducation, bien que modéré au niveau national (V de Cramér = 0,213), masque des disparités régionales importante</w:t>
      </w:r>
      <w:r>
        <w:t>s : dans les États du Nord-Ouest, la proportion de femmes sans instruction dépasse celle des hommes de manière considérable. L’intégration de l’éducation coranique dans le système formel, via les programmes Tsangaya Almajiri Integration, représente un levi</w:t>
      </w:r>
      <w:r>
        <w:t>er prometteur pour réduire cet écart.</w:t>
      </w:r>
    </w:p>
    <w:p w14:paraId="274B808B" w14:textId="77777777" w:rsidR="00E0100C" w:rsidRDefault="00BE787E">
      <w:pPr>
        <w:pStyle w:val="Corpsdetexte"/>
      </w:pPr>
      <w:r>
        <w:t xml:space="preserve">Les taux de scolarisation élevés (proche de 90 % même en rural) témoignent d’un progrès réel en termes d’accès. Le défi se déplace désormais vers la qualité de l’enseignement et la rétention au-delà </w:t>
      </w:r>
      <w:r>
        <w:lastRenderedPageBreak/>
        <w:t>du primaire, puisqu</w:t>
      </w:r>
      <w:r>
        <w:t>e le secondaire ne concerne que 26.1 % de la population et le tertiaire seulement 3.3 %.</w:t>
      </w:r>
    </w:p>
    <w:p w14:paraId="168F2965" w14:textId="77777777" w:rsidR="00E0100C" w:rsidRDefault="00BE787E">
      <w:pPr>
        <w:pStyle w:val="Titre1"/>
      </w:pPr>
      <w:bookmarkStart w:id="32" w:name="conclusion"/>
      <w:bookmarkStart w:id="33" w:name="_Toc226279924"/>
      <w:bookmarkEnd w:id="24"/>
      <w:bookmarkEnd w:id="30"/>
      <w:r>
        <w:rPr>
          <w:rStyle w:val="SectionNumber"/>
        </w:rPr>
        <w:t>11</w:t>
      </w:r>
      <w:r>
        <w:tab/>
        <w:t>Conclusion</w:t>
      </w:r>
      <w:bookmarkEnd w:id="33"/>
    </w:p>
    <w:p w14:paraId="0D33B374" w14:textId="77777777" w:rsidR="00E0100C" w:rsidRDefault="00BE787E">
      <w:pPr>
        <w:pStyle w:val="FirstParagraph"/>
      </w:pPr>
      <w:r>
        <w:t>Ce deuxième travail sur le capital humain des ménages nigérians révèle une situation éducative nuancée. Si les taux de scolarisation des 6-17 ans témoign</w:t>
      </w:r>
      <w:r>
        <w:t>ent de progrès réels depuis la politique UBE de 2004, le stock de capital humain adulte reste marqué par des inégalités profondes : entre genres, entre milieux de résidence, et surtout entre régions. La fracture Nord-Sud, structurelle et persistante, const</w:t>
      </w:r>
      <w:r>
        <w:t>itue le défi éducatif majeur du Nigeria. Le gradient générationnel visible dans les boxplots ( les jeunes adultes sont significativement plus éduqués que leurs aînés ) offre néanmoins un signal encourageant de progrès en cours.</w:t>
      </w:r>
    </w:p>
    <w:p w14:paraId="13781F9E" w14:textId="77777777" w:rsidR="00E0100C" w:rsidRDefault="00BE787E">
      <w:pPr>
        <w:pStyle w:val="Corpsdetexte"/>
      </w:pPr>
      <w:r>
        <w:t>Les résultats pondérés produ</w:t>
      </w:r>
      <w:r>
        <w:t>its ici, représentatifs de l’ensemble des ménages nigérians accessibles en 2018-2019 et cohérents avec le rapport officiel NBS/World Bank, fournissent une base factuelle solide pour orienter les politiques éducatives différenciées que la diversité nigérian</w:t>
      </w:r>
      <w:r>
        <w:t>e exige.</w:t>
      </w:r>
    </w:p>
    <w:p w14:paraId="0261A5E7" w14:textId="77777777" w:rsidR="00E0100C" w:rsidRDefault="00BE787E">
      <w:pPr>
        <w:pStyle w:val="Titre1"/>
      </w:pPr>
      <w:bookmarkStart w:id="34" w:name="références-bibliographiques"/>
      <w:bookmarkStart w:id="35" w:name="_Toc226279925"/>
      <w:bookmarkEnd w:id="32"/>
      <w:r>
        <w:rPr>
          <w:rStyle w:val="SectionNumber"/>
        </w:rPr>
        <w:t>12</w:t>
      </w:r>
      <w:r>
        <w:tab/>
        <w:t>Références bibliographiques</w:t>
      </w:r>
      <w:bookmarkEnd w:id="35"/>
    </w:p>
    <w:p w14:paraId="7726368D" w14:textId="77777777" w:rsidR="00E0100C" w:rsidRDefault="00BE787E">
      <w:pPr>
        <w:pStyle w:val="FirstParagraph"/>
      </w:pPr>
      <w:r>
        <w:t xml:space="preserve">[1] National Bureau of Statistics Nigeria &amp; World Bank (2019). </w:t>
      </w:r>
      <w:r>
        <w:rPr>
          <w:i/>
          <w:iCs/>
        </w:rPr>
        <w:t>Nigeria General Household Survey Panel Wave 4 (2018-2019) — Survey Report</w:t>
      </w:r>
      <w:r>
        <w:t>. LSMS-ISA.</w:t>
      </w:r>
    </w:p>
    <w:p w14:paraId="1007C2CD" w14:textId="77777777" w:rsidR="00E0100C" w:rsidRDefault="00BE787E">
      <w:pPr>
        <w:pStyle w:val="Corpsdetexte"/>
      </w:pPr>
      <w:r>
        <w:t xml:space="preserve">[2] National Bureau of Statistics Nigeria &amp; World Bank (2019). </w:t>
      </w:r>
      <w:r>
        <w:rPr>
          <w:i/>
          <w:iCs/>
        </w:rPr>
        <w:t>Nigeria General Household Survey Panel Wave 4 — Basic Information Document</w:t>
      </w:r>
      <w:r>
        <w:t>. LSMS-ISA. DOI: 10.48529/1hgw-dq47</w:t>
      </w:r>
    </w:p>
    <w:p w14:paraId="14C8FB88" w14:textId="77777777" w:rsidR="00E0100C" w:rsidRDefault="00BE787E">
      <w:pPr>
        <w:pStyle w:val="Corpsdetexte"/>
      </w:pPr>
      <w:r>
        <w:t xml:space="preserve">[3] National Population Commission &amp; ICF (2019). </w:t>
      </w:r>
      <w:r>
        <w:rPr>
          <w:i/>
          <w:iCs/>
        </w:rPr>
        <w:t>Nigeria Demographic and Health Sur</w:t>
      </w:r>
      <w:r>
        <w:rPr>
          <w:i/>
          <w:iCs/>
        </w:rPr>
        <w:t>vey 2018</w:t>
      </w:r>
      <w:r>
        <w:t>. Abuja/Rockville.</w:t>
      </w:r>
    </w:p>
    <w:p w14:paraId="7D6647B3" w14:textId="77777777" w:rsidR="00E0100C" w:rsidRDefault="00BE787E">
      <w:pPr>
        <w:pStyle w:val="Corpsdetexte"/>
      </w:pPr>
      <w:r>
        <w:t xml:space="preserve">[4] UNESCO Institute for Statistics (2019). </w:t>
      </w:r>
      <w:r>
        <w:rPr>
          <w:i/>
          <w:iCs/>
        </w:rPr>
        <w:t>Education and Literacy Data — Nigeria</w:t>
      </w:r>
      <w:r>
        <w:t>. UIS.Stat.</w:t>
      </w:r>
    </w:p>
    <w:p w14:paraId="57D9A02D" w14:textId="77777777" w:rsidR="00E0100C" w:rsidRDefault="00BE787E">
      <w:pPr>
        <w:pStyle w:val="Corpsdetexte"/>
      </w:pPr>
      <w:r>
        <w:lastRenderedPageBreak/>
        <w:t xml:space="preserve">[5] United Nations Girls’ Education Initiative (2020). </w:t>
      </w:r>
      <w:r>
        <w:rPr>
          <w:i/>
          <w:iCs/>
        </w:rPr>
        <w:t>Gender Report: A New Generation — 25 Years of Efforts for Gender Equality in Educ</w:t>
      </w:r>
      <w:r>
        <w:rPr>
          <w:i/>
          <w:iCs/>
        </w:rPr>
        <w:t>ation</w:t>
      </w:r>
      <w:r>
        <w:t>. UNESCO.</w:t>
      </w:r>
    </w:p>
    <w:p w14:paraId="52E2CBD1" w14:textId="77777777" w:rsidR="00E0100C" w:rsidRDefault="00BE787E">
      <w:pPr>
        <w:pStyle w:val="Corpsdetexte"/>
      </w:pPr>
      <w:r>
        <w:t xml:space="preserve">[6] FAO (2018). </w:t>
      </w:r>
      <w:r>
        <w:rPr>
          <w:i/>
          <w:iCs/>
        </w:rPr>
        <w:t>The State of Food and Agriculture: Migration, Agriculture and Rural Development</w:t>
      </w:r>
      <w:r>
        <w:t>. Rome.</w:t>
      </w:r>
    </w:p>
    <w:p w14:paraId="61B1F939" w14:textId="77777777" w:rsidR="00E0100C" w:rsidRDefault="00BE787E">
      <w:pPr>
        <w:pStyle w:val="Corpsdetexte"/>
      </w:pPr>
      <w:r>
        <w:t xml:space="preserve">[7] NBS Nigeria (2020). </w:t>
      </w:r>
      <w:r>
        <w:rPr>
          <w:i/>
          <w:iCs/>
        </w:rPr>
        <w:t>2019 Poverty and Inequality in Nigeria</w:t>
      </w:r>
      <w:r>
        <w:t>. National Bureau of Statistics.</w:t>
      </w:r>
    </w:p>
    <w:p w14:paraId="03B2F9EB" w14:textId="77777777" w:rsidR="00E0100C" w:rsidRDefault="00BE787E">
      <w:pPr>
        <w:pStyle w:val="Corpsdetexte"/>
      </w:pPr>
      <w:r>
        <w:t xml:space="preserve">[8] Cohen, J. (1988). </w:t>
      </w:r>
      <w:r>
        <w:rPr>
          <w:i/>
          <w:iCs/>
        </w:rPr>
        <w:t>Statistical Power Ana</w:t>
      </w:r>
      <w:r>
        <w:rPr>
          <w:i/>
          <w:iCs/>
        </w:rPr>
        <w:t>lysis for the Behavioral Sciences</w:t>
      </w:r>
      <w:r>
        <w:t xml:space="preserve"> (2nd ed.). Lawrence Erlbaum.</w:t>
      </w:r>
    </w:p>
    <w:p w14:paraId="042A69AB" w14:textId="77777777" w:rsidR="00E0100C" w:rsidRDefault="00BE787E">
      <w:pPr>
        <w:pStyle w:val="Corpsdetexte"/>
      </w:pPr>
      <w:r>
        <w:t xml:space="preserve">[9] Rao, J. N. K. &amp; Scott, A. J. (1981). The analysis of categorical data from complex sample surveys: chi-squared tests for goodness of fit and independence in two-way tables. </w:t>
      </w:r>
      <w:r>
        <w:rPr>
          <w:i/>
          <w:iCs/>
        </w:rPr>
        <w:t>Journal of the A</w:t>
      </w:r>
      <w:r>
        <w:rPr>
          <w:i/>
          <w:iCs/>
        </w:rPr>
        <w:t>merican Statistical Association</w:t>
      </w:r>
      <w:r>
        <w:t>, 76(374), 221-230.</w:t>
      </w:r>
    </w:p>
    <w:p w14:paraId="6A24688F" w14:textId="77777777" w:rsidR="00E0100C" w:rsidRDefault="00BE787E">
      <w:pPr>
        <w:pStyle w:val="SourceCode"/>
      </w:pPr>
      <w:r>
        <w:rPr>
          <w:rStyle w:val="VerbatimChar"/>
        </w:rPr>
        <w:t xml:space="preserve">            Superviseur : M. Aboubacar HEMA, IFPRI Research Scientist</w:t>
      </w:r>
      <w:bookmarkEnd w:id="34"/>
    </w:p>
    <w:sectPr w:rsidR="00E0100C">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0A796" w14:textId="77777777" w:rsidR="00BE787E" w:rsidRDefault="00BE787E">
      <w:pPr>
        <w:spacing w:after="0" w:line="240" w:lineRule="auto"/>
      </w:pPr>
      <w:r>
        <w:separator/>
      </w:r>
    </w:p>
  </w:endnote>
  <w:endnote w:type="continuationSeparator" w:id="0">
    <w:p w14:paraId="22807F73" w14:textId="77777777" w:rsidR="00BE787E" w:rsidRDefault="00BE7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BDCB7" w14:textId="77777777" w:rsidR="0091330B" w:rsidRDefault="0091330B" w:rsidP="0091330B">
    <w:pPr>
      <w:pStyle w:val="Pieddepage"/>
      <w:tabs>
        <w:tab w:val="clear" w:pos="4513"/>
      </w:tabs>
    </w:pPr>
    <w:r>
      <w:t>Analyse statistique avec R sur les donn</w:t>
    </w:r>
    <w:r>
      <w:rPr>
        <w:lang w:val="fr-FR"/>
      </w:rPr>
      <w:t>é</w:t>
    </w:r>
    <w:r w:rsidRPr="0091330B">
      <w:rPr>
        <w:lang w:val="fr-FR"/>
      </w:rPr>
      <w:t>e</w:t>
    </w:r>
    <w:r>
      <w:rPr>
        <w:lang w:val="fr-FR"/>
      </w:rPr>
      <w:t>s du GHS Panel Nigé</w:t>
    </w:r>
    <w:r w:rsidRPr="0091330B">
      <w:rPr>
        <w:lang w:val="fr-FR"/>
      </w:rPr>
      <w:t>r</w:t>
    </w:r>
    <w:r>
      <w:rPr>
        <w:lang w:val="fr-FR"/>
      </w:rPr>
      <w:t>ian</w:t>
    </w:r>
    <w:r>
      <w:rPr>
        <w:lang w:val="fr-FR"/>
      </w:rPr>
      <w:tab/>
    </w:r>
    <w:r w:rsidRPr="0091330B">
      <w:rPr>
        <w:lang w:val="fr-FR"/>
      </w:rPr>
      <w:t xml:space="preserve">Page </w:t>
    </w:r>
    <w:r w:rsidRPr="0091330B">
      <w:rPr>
        <w:b w:val="0"/>
        <w:bCs/>
        <w:lang w:val="fr-FR"/>
      </w:rPr>
      <w:fldChar w:fldCharType="begin"/>
    </w:r>
    <w:r w:rsidRPr="0091330B">
      <w:rPr>
        <w:b w:val="0"/>
        <w:bCs/>
        <w:lang w:val="fr-FR"/>
      </w:rPr>
      <w:instrText>PAGE  \* Arabic  \* MERGEFORMAT</w:instrText>
    </w:r>
    <w:r w:rsidRPr="0091330B">
      <w:rPr>
        <w:b w:val="0"/>
        <w:bCs/>
        <w:lang w:val="fr-FR"/>
      </w:rPr>
      <w:fldChar w:fldCharType="separate"/>
    </w:r>
    <w:r w:rsidRPr="0091330B">
      <w:rPr>
        <w:b w:val="0"/>
        <w:bCs/>
        <w:lang w:val="fr-FR"/>
      </w:rPr>
      <w:t>1</w:t>
    </w:r>
    <w:r w:rsidRPr="0091330B">
      <w:rPr>
        <w:b w:val="0"/>
        <w:bCs/>
        <w:lang w:val="fr-FR"/>
      </w:rPr>
      <w:fldChar w:fldCharType="end"/>
    </w:r>
    <w:r w:rsidRPr="0091330B">
      <w:rPr>
        <w:lang w:val="fr-FR"/>
      </w:rPr>
      <w:t xml:space="preserve"> sur </w:t>
    </w:r>
    <w:r w:rsidRPr="0091330B">
      <w:rPr>
        <w:b w:val="0"/>
        <w:bCs/>
        <w:lang w:val="fr-FR"/>
      </w:rPr>
      <w:fldChar w:fldCharType="begin"/>
    </w:r>
    <w:r w:rsidRPr="0091330B">
      <w:rPr>
        <w:b w:val="0"/>
        <w:bCs/>
        <w:lang w:val="fr-FR"/>
      </w:rPr>
      <w:instrText>NUMPAGES  \* Arabic  \* MERGEFORMAT</w:instrText>
    </w:r>
    <w:r w:rsidRPr="0091330B">
      <w:rPr>
        <w:b w:val="0"/>
        <w:bCs/>
        <w:lang w:val="fr-FR"/>
      </w:rPr>
      <w:fldChar w:fldCharType="separate"/>
    </w:r>
    <w:r w:rsidRPr="0091330B">
      <w:rPr>
        <w:b w:val="0"/>
        <w:bCs/>
        <w:lang w:val="fr-FR"/>
      </w:rPr>
      <w:t>2</w:t>
    </w:r>
    <w:r w:rsidRPr="0091330B">
      <w:rPr>
        <w:b w:val="0"/>
        <w:bCs/>
        <w:lang w:val="fr-FR"/>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80CD0" w14:textId="77777777" w:rsidR="00BE787E" w:rsidRDefault="00BE787E">
      <w:r>
        <w:separator/>
      </w:r>
    </w:p>
  </w:footnote>
  <w:footnote w:type="continuationSeparator" w:id="0">
    <w:p w14:paraId="040D75D1" w14:textId="77777777" w:rsidR="00BE787E" w:rsidRDefault="00BE7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275E" w14:textId="77777777" w:rsidR="0091330B" w:rsidRPr="0091330B" w:rsidRDefault="0091330B">
    <w:pPr>
      <w:pStyle w:val="En-tte"/>
      <w:rPr>
        <w:lang w:val="en-US"/>
      </w:rPr>
    </w:pPr>
    <w:r>
      <w:rPr>
        <w:lang w:val="en-US"/>
      </w:rPr>
      <w:t>TP</w:t>
    </w:r>
    <w:r w:rsidR="001F18DF">
      <w:rPr>
        <w:lang w:val="en-US"/>
      </w:rPr>
      <w:t>2</w:t>
    </w:r>
    <w:r>
      <w:rPr>
        <w:lang w:val="en-US"/>
      </w:rPr>
      <w:t>. R &amp;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FDC74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23B76F88"/>
    <w:multiLevelType w:val="hybridMultilevel"/>
    <w:tmpl w:val="68DC2440"/>
    <w:lvl w:ilvl="0" w:tplc="71309B32">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97A180C"/>
    <w:multiLevelType w:val="hybridMultilevel"/>
    <w:tmpl w:val="55647124"/>
    <w:lvl w:ilvl="0" w:tplc="EE829360">
      <w:start w:val="1"/>
      <w:numFmt w:val="decimal"/>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C"/>
    <w:rsid w:val="00013F06"/>
    <w:rsid w:val="000939D6"/>
    <w:rsid w:val="000D27E3"/>
    <w:rsid w:val="001277EC"/>
    <w:rsid w:val="001D0BBE"/>
    <w:rsid w:val="001F18DF"/>
    <w:rsid w:val="0029675B"/>
    <w:rsid w:val="00314C10"/>
    <w:rsid w:val="005446BA"/>
    <w:rsid w:val="00787345"/>
    <w:rsid w:val="00850FC0"/>
    <w:rsid w:val="00853FFB"/>
    <w:rsid w:val="0091330B"/>
    <w:rsid w:val="009D3633"/>
    <w:rsid w:val="00A904B0"/>
    <w:rsid w:val="00AB6199"/>
    <w:rsid w:val="00BE2502"/>
    <w:rsid w:val="00BE40A1"/>
    <w:rsid w:val="00BE787E"/>
    <w:rsid w:val="00C1143B"/>
    <w:rsid w:val="00C442AA"/>
    <w:rsid w:val="00C57C0F"/>
    <w:rsid w:val="00E0100C"/>
    <w:rsid w:val="00E271F7"/>
    <w:rsid w:val="00E40832"/>
    <w:rsid w:val="00E53A42"/>
    <w:rsid w:val="00F703BB"/>
    <w:rsid w:val="00F9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97272"/>
  <w15:docId w15:val="{BD298B0F-052B-454F-9745-D0B7F0A9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0A1"/>
    <w:pPr>
      <w:spacing w:line="360" w:lineRule="auto"/>
      <w:jc w:val="both"/>
    </w:pPr>
    <w:rPr>
      <w:rFonts w:ascii="Garamond" w:hAnsi="Garamond"/>
    </w:rPr>
  </w:style>
  <w:style w:type="paragraph" w:styleId="Titre1">
    <w:name w:val="heading 1"/>
    <w:basedOn w:val="Normal"/>
    <w:next w:val="Corpsdetexte"/>
    <w:uiPriority w:val="9"/>
    <w:qFormat/>
    <w:rsid w:val="0029675B"/>
    <w:pPr>
      <w:keepNext/>
      <w:keepLines/>
      <w:pBdr>
        <w:top w:val="thinThickMediumGap" w:sz="24" w:space="1" w:color="7030A0"/>
        <w:bottom w:val="thinThickMediumGap" w:sz="24" w:space="1" w:color="7030A0"/>
      </w:pBdr>
      <w:spacing w:before="720" w:after="360"/>
      <w:outlineLvl w:val="0"/>
    </w:pPr>
    <w:rPr>
      <w:rFonts w:eastAsiaTheme="majorEastAsia" w:cstheme="majorBidi"/>
      <w:b/>
      <w:bCs/>
      <w:color w:val="7030A0"/>
      <w:sz w:val="36"/>
      <w:szCs w:val="32"/>
    </w:rPr>
  </w:style>
  <w:style w:type="paragraph" w:styleId="Titre2">
    <w:name w:val="heading 2"/>
    <w:basedOn w:val="Normal"/>
    <w:next w:val="Corpsdetexte"/>
    <w:uiPriority w:val="9"/>
    <w:unhideWhenUsed/>
    <w:qFormat/>
    <w:rsid w:val="0029675B"/>
    <w:pPr>
      <w:keepNext/>
      <w:keepLines/>
      <w:spacing w:before="440" w:after="240"/>
      <w:outlineLvl w:val="1"/>
    </w:pPr>
    <w:rPr>
      <w:rFonts w:eastAsiaTheme="majorEastAsia" w:cstheme="majorBidi"/>
      <w:b/>
      <w:bCs/>
      <w:color w:val="8064A2" w:themeColor="accent4"/>
      <w:sz w:val="28"/>
      <w:szCs w:val="28"/>
      <w:u w:val="single"/>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BE40A1"/>
    <w:pPr>
      <w:spacing w:before="180" w:after="180"/>
    </w:pPr>
  </w:style>
  <w:style w:type="paragraph" w:customStyle="1" w:styleId="FirstParagraph">
    <w:name w:val="First Paragraph"/>
    <w:basedOn w:val="Corpsdetexte"/>
    <w:next w:val="Corpsdetexte"/>
    <w:qFormat/>
    <w:rsid w:val="00BE40A1"/>
  </w:style>
  <w:style w:type="paragraph" w:customStyle="1" w:styleId="Compact">
    <w:name w:val="Compact"/>
    <w:basedOn w:val="Corpsdetexte"/>
    <w:qFormat/>
    <w:pPr>
      <w:spacing w:before="36" w:after="36"/>
    </w:pPr>
  </w:style>
  <w:style w:type="paragraph" w:styleId="Titre">
    <w:name w:val="Title"/>
    <w:basedOn w:val="Normal"/>
    <w:next w:val="Corpsdetexte"/>
    <w:qFormat/>
    <w:rsid w:val="0029675B"/>
    <w:pPr>
      <w:keepNext/>
      <w:keepLines/>
      <w:spacing w:before="480" w:after="240"/>
      <w:jc w:val="center"/>
    </w:pPr>
    <w:rPr>
      <w:rFonts w:eastAsiaTheme="majorEastAsia" w:cstheme="majorBidi"/>
      <w:b/>
      <w:bCs/>
      <w:color w:val="7030A0"/>
      <w:sz w:val="48"/>
      <w:szCs w:val="36"/>
    </w:rPr>
  </w:style>
  <w:style w:type="paragraph" w:styleId="Sous-titre">
    <w:name w:val="Subtitle"/>
    <w:basedOn w:val="Titre"/>
    <w:next w:val="Corpsdetexte"/>
    <w:qFormat/>
    <w:rsid w:val="00013F06"/>
    <w:pPr>
      <w:spacing w:before="240"/>
    </w:pPr>
    <w:rPr>
      <w:i/>
      <w:sz w:val="30"/>
      <w:szCs w:val="30"/>
    </w:rPr>
  </w:style>
  <w:style w:type="paragraph" w:customStyle="1" w:styleId="Author">
    <w:name w:val="Author"/>
    <w:next w:val="Corpsdetexte"/>
    <w:qFormat/>
    <w:rsid w:val="000939D6"/>
    <w:pPr>
      <w:keepNext/>
      <w:keepLines/>
      <w:jc w:val="center"/>
    </w:pPr>
    <w:rPr>
      <w:rFonts w:ascii="Garamond" w:hAnsi="Garamond"/>
      <w:i/>
    </w:rPr>
  </w:style>
  <w:style w:type="paragraph" w:styleId="Date">
    <w:name w:val="Date"/>
    <w:next w:val="Corpsdetexte"/>
    <w:qFormat/>
    <w:rsid w:val="00013F06"/>
    <w:pPr>
      <w:keepNext/>
      <w:keepLines/>
      <w:jc w:val="center"/>
    </w:pPr>
    <w:rPr>
      <w:rFonts w:ascii="Bradley Hand ITC" w:hAnsi="Bradley Hand ITC"/>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013F06"/>
    <w:pPr>
      <w:keepNext/>
      <w:spacing w:before="240" w:after="360"/>
    </w:pPr>
    <w:rPr>
      <w:b/>
      <w:color w:val="595959" w:themeColor="text1" w:themeTint="A6"/>
      <w:sz w:val="16"/>
    </w:rPr>
  </w:style>
  <w:style w:type="paragraph" w:customStyle="1" w:styleId="ImageCaption">
    <w:name w:val="Image Caption"/>
    <w:basedOn w:val="Lgende"/>
    <w:rsid w:val="00013F06"/>
    <w:rPr>
      <w:b/>
      <w:color w:val="808080" w:themeColor="background1"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sid w:val="001D0BBE"/>
    <w:rPr>
      <w:rFonts w:ascii="Garamond" w:hAnsi="Garamond"/>
      <w:color w:val="4F81BD" w:themeColor="accent1"/>
    </w:rPr>
  </w:style>
  <w:style w:type="paragraph" w:styleId="En-ttedetabledesmatires">
    <w:name w:val="TOC Heading"/>
    <w:basedOn w:val="Titre1"/>
    <w:next w:val="Corpsdetexte"/>
    <w:uiPriority w:val="39"/>
    <w:unhideWhenUsed/>
    <w:qFormat/>
    <w:rsid w:val="0029675B"/>
    <w:pPr>
      <w:pBdr>
        <w:top w:val="none" w:sz="0" w:space="0" w:color="auto"/>
        <w:bottom w:val="dashDotStroked" w:sz="24" w:space="1" w:color="7030A0"/>
      </w:pBdr>
      <w:spacing w:before="240" w:line="259" w:lineRule="auto"/>
      <w:jc w:val="center"/>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nhideWhenUsed/>
    <w:rsid w:val="0029675B"/>
    <w:pPr>
      <w:tabs>
        <w:tab w:val="center" w:pos="4513"/>
        <w:tab w:val="right" w:pos="9026"/>
      </w:tabs>
      <w:spacing w:after="0"/>
    </w:pPr>
    <w:rPr>
      <w:b/>
      <w:color w:val="5F497A" w:themeColor="accent4" w:themeShade="BF"/>
      <w:sz w:val="22"/>
    </w:rPr>
  </w:style>
  <w:style w:type="character" w:customStyle="1" w:styleId="En-tteCar">
    <w:name w:val="En-tête Car"/>
    <w:basedOn w:val="Policepardfaut"/>
    <w:link w:val="En-tte"/>
    <w:rsid w:val="0029675B"/>
    <w:rPr>
      <w:rFonts w:ascii="Garamond" w:hAnsi="Garamond"/>
      <w:b/>
      <w:color w:val="5F497A" w:themeColor="accent4" w:themeShade="BF"/>
      <w:sz w:val="22"/>
    </w:rPr>
  </w:style>
  <w:style w:type="paragraph" w:styleId="Pieddepage">
    <w:name w:val="footer"/>
    <w:basedOn w:val="Normal"/>
    <w:link w:val="PieddepageCar"/>
    <w:uiPriority w:val="99"/>
    <w:unhideWhenUsed/>
    <w:rsid w:val="0029675B"/>
    <w:pPr>
      <w:tabs>
        <w:tab w:val="center" w:pos="4513"/>
        <w:tab w:val="right" w:pos="9026"/>
      </w:tabs>
      <w:spacing w:after="0"/>
    </w:pPr>
    <w:rPr>
      <w:b/>
      <w:color w:val="5F497A" w:themeColor="accent4" w:themeShade="BF"/>
      <w:sz w:val="22"/>
    </w:rPr>
  </w:style>
  <w:style w:type="character" w:customStyle="1" w:styleId="PieddepageCar">
    <w:name w:val="Pied de page Car"/>
    <w:basedOn w:val="Policepardfaut"/>
    <w:link w:val="Pieddepage"/>
    <w:uiPriority w:val="99"/>
    <w:rsid w:val="0029675B"/>
    <w:rPr>
      <w:rFonts w:ascii="Garamond" w:hAnsi="Garamond"/>
      <w:b/>
      <w:color w:val="5F497A" w:themeColor="accent4" w:themeShade="BF"/>
      <w:sz w:val="22"/>
    </w:rPr>
  </w:style>
  <w:style w:type="paragraph" w:styleId="TM1">
    <w:name w:val="toc 1"/>
    <w:basedOn w:val="Normal"/>
    <w:next w:val="Normal"/>
    <w:autoRedefine/>
    <w:uiPriority w:val="39"/>
    <w:unhideWhenUsed/>
    <w:rsid w:val="001D0BBE"/>
    <w:pPr>
      <w:spacing w:after="100"/>
    </w:pPr>
  </w:style>
  <w:style w:type="paragraph" w:styleId="TM2">
    <w:name w:val="toc 2"/>
    <w:basedOn w:val="Normal"/>
    <w:next w:val="Normal"/>
    <w:autoRedefine/>
    <w:uiPriority w:val="39"/>
    <w:unhideWhenUsed/>
    <w:rsid w:val="001D0BBE"/>
    <w:pPr>
      <w:spacing w:after="100"/>
      <w:ind w:left="240"/>
    </w:pPr>
  </w:style>
  <w:style w:type="character" w:customStyle="1" w:styleId="CorpsdetexteCar">
    <w:name w:val="Corps de texte Car"/>
    <w:basedOn w:val="Policepardfaut"/>
    <w:link w:val="Corpsdetexte"/>
    <w:rsid w:val="00BE40A1"/>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3229</Words>
  <Characters>17762</Characters>
  <Application>Microsoft Office Word</Application>
  <DocSecurity>0</DocSecurity>
  <Lines>148</Lines>
  <Paragraphs>41</Paragraphs>
  <ScaleCrop>false</ScaleCrop>
  <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Éducation et alphabétisation des ménages nigérians</dc:title>
  <dc:creator>Nkwa T. Leslye &amp; Keita Lancina</dc:creator>
  <cp:keywords/>
  <cp:lastModifiedBy>Ousmane OUATTARA</cp:lastModifiedBy>
  <cp:revision>3</cp:revision>
  <dcterms:created xsi:type="dcterms:W3CDTF">2026-03-24T12:33:00Z</dcterms:created>
  <dcterms:modified xsi:type="dcterms:W3CDTF">2026-04-05T11:11:00Z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General Household Survey Panel Wave 4 (2018-2019)</vt:lpwstr>
  </property>
</Properties>
</file>