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5668A" w:rsidRPr="00232B46" w:rsidRDefault="004D5C97" w:rsidP="00232B46">
      <w:pPr>
        <w:pStyle w:val="Titre"/>
        <w:jc w:val="both"/>
        <w:rPr>
          <w:lang w:val="fr-FR"/>
        </w:rPr>
      </w:pPr>
      <w:r w:rsidRPr="00232B46">
        <w:rPr>
          <w:lang w:val="fr-FR"/>
        </w:rPr>
        <w:t>Éducation et alphabétisation des membres des ménages nigérians</w:t>
      </w:r>
    </w:p>
    <w:p w:rsidR="0015668A" w:rsidRDefault="004D5C97" w:rsidP="00232B46">
      <w:pPr>
        <w:pStyle w:val="Sous-titre"/>
        <w:jc w:val="both"/>
      </w:pPr>
      <w:r>
        <w:t>Nigeria General Household Survey Panel — Wave 4 (2018)</w:t>
      </w:r>
    </w:p>
    <w:p w:rsidR="0015668A" w:rsidRDefault="004D5C97" w:rsidP="00232B46">
      <w:pPr>
        <w:pStyle w:val="Author"/>
        <w:jc w:val="both"/>
      </w:pPr>
      <w:r>
        <w:t>DIOP Marème, KANE Boubacar</w:t>
      </w:r>
    </w:p>
    <w:p w:rsidR="0015668A" w:rsidRDefault="004D5C97" w:rsidP="00232B46">
      <w:pPr>
        <w:pStyle w:val="Date"/>
        <w:jc w:val="both"/>
      </w:pPr>
      <w:r>
        <w:t>2026-03-25</w:t>
      </w:r>
    </w:p>
    <w:sdt>
      <w:sdtPr>
        <w:rPr>
          <w:rFonts w:asciiTheme="minorHAnsi" w:eastAsiaTheme="minorHAnsi" w:hAnsiTheme="minorHAnsi" w:cstheme="minorBidi"/>
          <w:color w:val="auto"/>
          <w:sz w:val="24"/>
          <w:szCs w:val="24"/>
        </w:rPr>
        <w:id w:val="-1471658432"/>
        <w:docPartObj>
          <w:docPartGallery w:val="Table of Contents"/>
          <w:docPartUnique/>
        </w:docPartObj>
      </w:sdtPr>
      <w:sdtEndPr/>
      <w:sdtContent>
        <w:p w:rsidR="0015668A" w:rsidRDefault="004D5C97" w:rsidP="00232B46">
          <w:pPr>
            <w:pStyle w:val="En-ttedetabledesmatires"/>
            <w:jc w:val="both"/>
          </w:pPr>
          <w:r>
            <w:t>Table of Contents</w:t>
          </w:r>
        </w:p>
        <w:p w:rsidR="00232B46" w:rsidRDefault="004D5C97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r>
            <w:fldChar w:fldCharType="begin"/>
          </w:r>
          <w:r>
            <w:instrText>TOC \o "1-2" \h \z \u</w:instrText>
          </w:r>
          <w:r w:rsidR="00232B46">
            <w:fldChar w:fldCharType="separate"/>
          </w:r>
          <w:hyperlink w:anchor="_Toc225300776" w:history="1">
            <w:r w:rsidR="00232B46" w:rsidRPr="0057601C">
              <w:rPr>
                <w:rStyle w:val="Lienhypertexte"/>
                <w:noProof/>
              </w:rPr>
              <w:t>1</w:t>
            </w:r>
            <w:r w:rsidR="00232B46">
              <w:rPr>
                <w:noProof/>
              </w:rPr>
              <w:tab/>
            </w:r>
            <w:r w:rsidR="00232B46" w:rsidRPr="0057601C">
              <w:rPr>
                <w:rStyle w:val="Lienhypertexte"/>
                <w:noProof/>
              </w:rPr>
              <w:t>Introduction</w:t>
            </w:r>
            <w:r w:rsidR="00232B46">
              <w:rPr>
                <w:noProof/>
                <w:webHidden/>
              </w:rPr>
              <w:tab/>
            </w:r>
            <w:r w:rsidR="00232B46">
              <w:rPr>
                <w:noProof/>
                <w:webHidden/>
              </w:rPr>
              <w:fldChar w:fldCharType="begin"/>
            </w:r>
            <w:r w:rsidR="00232B46">
              <w:rPr>
                <w:noProof/>
                <w:webHidden/>
              </w:rPr>
              <w:instrText xml:space="preserve"> PAGEREF _Toc225300776 \h </w:instrText>
            </w:r>
            <w:r w:rsidR="00232B46">
              <w:rPr>
                <w:noProof/>
                <w:webHidden/>
              </w:rPr>
            </w:r>
            <w:r w:rsidR="00232B46">
              <w:rPr>
                <w:noProof/>
                <w:webHidden/>
              </w:rPr>
              <w:fldChar w:fldCharType="separate"/>
            </w:r>
            <w:r w:rsidR="00232B46">
              <w:rPr>
                <w:noProof/>
                <w:webHidden/>
              </w:rPr>
              <w:t>2</w:t>
            </w:r>
            <w:r w:rsidR="00232B46"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77" w:history="1">
            <w:r w:rsidRPr="0057601C">
              <w:rPr>
                <w:rStyle w:val="Lienhypertexte"/>
                <w:noProof/>
              </w:rPr>
              <w:t>1.1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Description des bases de données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78" w:history="1">
            <w:r w:rsidRPr="0057601C">
              <w:rPr>
                <w:rStyle w:val="Lienhypertexte"/>
                <w:noProof/>
              </w:rPr>
              <w:t>1.2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Construction de la variable niveau d’éducation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hyperlink w:anchor="_Toc225300779" w:history="1">
            <w:r w:rsidRPr="0057601C">
              <w:rPr>
                <w:rStyle w:val="Lienhypertexte"/>
                <w:noProof/>
              </w:rPr>
              <w:t>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Distribution du niveau d’éducation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0" w:history="1">
            <w:r w:rsidRPr="0057601C">
              <w:rPr>
                <w:rStyle w:val="Lienhypertexte"/>
                <w:noProof/>
              </w:rPr>
              <w:t>2.1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1" w:history="1">
            <w:r w:rsidRPr="0057601C">
              <w:rPr>
                <w:rStyle w:val="Lienhypertexte"/>
                <w:noProof/>
              </w:rPr>
              <w:t>2.2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2" w:history="1">
            <w:r w:rsidRPr="0057601C">
              <w:rPr>
                <w:rStyle w:val="Lienhypertexte"/>
                <w:noProof/>
              </w:rPr>
              <w:t>2.3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hyperlink w:anchor="_Toc225300783" w:history="1">
            <w:r w:rsidRPr="0057601C">
              <w:rPr>
                <w:rStyle w:val="Lienhypertexte"/>
                <w:noProof/>
              </w:rPr>
              <w:t>3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Comparaison du niveau d’éducation entre hommes et femmes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4" w:history="1">
            <w:r w:rsidRPr="0057601C">
              <w:rPr>
                <w:rStyle w:val="Lienhypertexte"/>
                <w:noProof/>
              </w:rPr>
              <w:t>3.1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5" w:history="1">
            <w:r w:rsidRPr="0057601C">
              <w:rPr>
                <w:rStyle w:val="Lienhypertexte"/>
                <w:noProof/>
              </w:rPr>
              <w:t>3.2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6" w:history="1">
            <w:r w:rsidRPr="0057601C">
              <w:rPr>
                <w:rStyle w:val="Lienhypertexte"/>
                <w:noProof/>
              </w:rPr>
              <w:t>3.3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hyperlink w:anchor="_Toc225300787" w:history="1">
            <w:r w:rsidRPr="0057601C">
              <w:rPr>
                <w:rStyle w:val="Lienhypertexte"/>
                <w:noProof/>
              </w:rPr>
              <w:t>4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Relation entre âge et niveau d’éducation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8" w:history="1">
            <w:r w:rsidRPr="0057601C">
              <w:rPr>
                <w:rStyle w:val="Lienhypertexte"/>
                <w:noProof/>
              </w:rPr>
              <w:t>4.1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89" w:history="1">
            <w:r w:rsidRPr="0057601C">
              <w:rPr>
                <w:rStyle w:val="Lienhypertexte"/>
                <w:noProof/>
              </w:rPr>
              <w:t>4.2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0" w:history="1">
            <w:r w:rsidRPr="0057601C">
              <w:rPr>
                <w:rStyle w:val="Lienhypertexte"/>
                <w:noProof/>
              </w:rPr>
              <w:t>4.3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hyperlink w:anchor="_Toc225300791" w:history="1">
            <w:r w:rsidRPr="0057601C">
              <w:rPr>
                <w:rStyle w:val="Lienhypertexte"/>
                <w:noProof/>
              </w:rPr>
              <w:t>5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Taux de scolarisation des 6-17 ans selon le milieu de résidence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2" w:history="1">
            <w:r w:rsidRPr="0057601C">
              <w:rPr>
                <w:rStyle w:val="Lienhypertexte"/>
                <w:noProof/>
              </w:rPr>
              <w:t>5.1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3" w:history="1">
            <w:r w:rsidRPr="0057601C">
              <w:rPr>
                <w:rStyle w:val="Lienhypertexte"/>
                <w:noProof/>
              </w:rPr>
              <w:t>5.2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4" w:history="1">
            <w:r w:rsidRPr="0057601C">
              <w:rPr>
                <w:rStyle w:val="Lienhypertexte"/>
                <w:noProof/>
              </w:rPr>
              <w:t>5.3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hyperlink w:anchor="_Toc225300795" w:history="1">
            <w:r w:rsidRPr="0057601C">
              <w:rPr>
                <w:rStyle w:val="Lienhypertexte"/>
                <w:noProof/>
              </w:rPr>
              <w:t>6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Analphabétisme par État nigérian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6" w:history="1">
            <w:r w:rsidRPr="0057601C">
              <w:rPr>
                <w:rStyle w:val="Lienhypertexte"/>
                <w:noProof/>
              </w:rPr>
              <w:t>6.1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Méthodologie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7" w:history="1">
            <w:r w:rsidRPr="0057601C">
              <w:rPr>
                <w:rStyle w:val="Lienhypertexte"/>
                <w:noProof/>
              </w:rPr>
              <w:t>6.2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Résultats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2"/>
            <w:tabs>
              <w:tab w:val="left" w:pos="880"/>
              <w:tab w:val="right" w:leader="dot" w:pos="9396"/>
            </w:tabs>
            <w:jc w:val="both"/>
            <w:rPr>
              <w:noProof/>
            </w:rPr>
          </w:pPr>
          <w:hyperlink w:anchor="_Toc225300798" w:history="1">
            <w:r w:rsidRPr="0057601C">
              <w:rPr>
                <w:rStyle w:val="Lienhypertexte"/>
                <w:noProof/>
              </w:rPr>
              <w:t>6.3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Interprétation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232B46" w:rsidRDefault="00232B46" w:rsidP="00232B46">
          <w:pPr>
            <w:pStyle w:val="TM1"/>
            <w:tabs>
              <w:tab w:val="left" w:pos="440"/>
              <w:tab w:val="right" w:leader="dot" w:pos="9396"/>
            </w:tabs>
            <w:jc w:val="both"/>
            <w:rPr>
              <w:noProof/>
            </w:rPr>
          </w:pPr>
          <w:hyperlink w:anchor="_Toc225300799" w:history="1">
            <w:r w:rsidRPr="0057601C">
              <w:rPr>
                <w:rStyle w:val="Lienhypertexte"/>
                <w:noProof/>
              </w:rPr>
              <w:t>7</w:t>
            </w:r>
            <w:r>
              <w:rPr>
                <w:noProof/>
              </w:rPr>
              <w:tab/>
            </w:r>
            <w:r w:rsidRPr="0057601C">
              <w:rPr>
                <w:rStyle w:val="Lienhypertexte"/>
                <w:noProof/>
              </w:rPr>
              <w:t>Conclusion générale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_Toc225300799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5668A" w:rsidRDefault="004D5C97" w:rsidP="00232B46">
          <w:pPr>
            <w:jc w:val="both"/>
          </w:pPr>
          <w:r>
            <w:fldChar w:fldCharType="end"/>
          </w:r>
        </w:p>
      </w:sdtContent>
    </w:sdt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0" w:name="introduction"/>
      <w:bookmarkStart w:id="1" w:name="_Toc225300776"/>
      <w:r w:rsidRPr="00232B46">
        <w:rPr>
          <w:rStyle w:val="SectionNumber"/>
          <w:lang w:val="fr-FR"/>
        </w:rPr>
        <w:lastRenderedPageBreak/>
        <w:t>1</w:t>
      </w:r>
      <w:r w:rsidRPr="00232B46">
        <w:rPr>
          <w:lang w:val="fr-FR"/>
        </w:rPr>
        <w:tab/>
        <w:t>Introduction</w:t>
      </w:r>
      <w:bookmarkEnd w:id="1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Ce rapport analyse les niveaux d’instruction et les taux d’alphabétisation des membres des ménages nigérians à partir des données de la quatrième vague (2018) du Nigeria General Household Survey (GHS) Panel, collectée dans le cadre du programme LSMS-ISA de</w:t>
      </w:r>
      <w:r w:rsidRPr="00232B46">
        <w:rPr>
          <w:lang w:val="fr-FR"/>
        </w:rPr>
        <w:t xml:space="preserve"> la Banque Mondiale. L’objectif est de comparer les profils éducatifs entre sexes, tranches d’âge et zones géographiques, afin de mettre en évidence les inégalités d’accès à l’éducation au Nigeria en 2018. Toutes les estimations sont pondérées à l’aide des</w:t>
      </w:r>
      <w:r w:rsidRPr="00232B46">
        <w:rPr>
          <w:lang w:val="fr-FR"/>
        </w:rPr>
        <w:t xml:space="preserve"> poids de sondage </w:t>
      </w:r>
      <w:r w:rsidRPr="00232B46">
        <w:rPr>
          <w:rStyle w:val="VerbatimChar"/>
          <w:lang w:val="fr-FR"/>
        </w:rPr>
        <w:t>wt_wave4</w:t>
      </w:r>
      <w:r w:rsidRPr="00232B46">
        <w:rPr>
          <w:lang w:val="fr-FR"/>
        </w:rPr>
        <w:t xml:space="preserve"> pour assurer la représentativité nationale des résultats.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2" w:name="description-des-bases-de-données"/>
      <w:bookmarkStart w:id="3" w:name="_Toc225300777"/>
      <w:r w:rsidRPr="00232B46">
        <w:rPr>
          <w:rStyle w:val="SectionNumber"/>
          <w:lang w:val="fr-FR"/>
        </w:rPr>
        <w:t>1.1</w:t>
      </w:r>
      <w:r w:rsidRPr="00232B46">
        <w:rPr>
          <w:lang w:val="fr-FR"/>
        </w:rPr>
        <w:tab/>
        <w:t>Description des bases de données</w:t>
      </w:r>
      <w:bookmarkEnd w:id="3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rStyle w:val="VerbatimChar"/>
          <w:b/>
          <w:bCs/>
          <w:lang w:val="fr-FR"/>
        </w:rPr>
        <w:t>sect2_harvestw4</w:t>
      </w:r>
      <w:r w:rsidRPr="00232B46">
        <w:rPr>
          <w:lang w:val="fr-FR"/>
        </w:rPr>
        <w:t xml:space="preserve"> est la section éducation individuelle du GHS Panel Wave 4. Elle contient 26 557 observations et 60 variables couvrant </w:t>
      </w:r>
      <w:r w:rsidRPr="00232B46">
        <w:rPr>
          <w:lang w:val="fr-FR"/>
        </w:rPr>
        <w:t xml:space="preserve">le statut scolaire actuel, le niveau d’instruction atteint, les raisons de non-scolarisation et les dépenses éducatives. Contrairement aux Waves 1 et 2 où les modules éducation étaient scindés en </w:t>
      </w:r>
      <w:r w:rsidRPr="00232B46">
        <w:rPr>
          <w:rStyle w:val="VerbatimChar"/>
          <w:lang w:val="fr-FR"/>
        </w:rPr>
        <w:t>sect2a</w:t>
      </w:r>
      <w:r w:rsidRPr="00232B46">
        <w:rPr>
          <w:lang w:val="fr-FR"/>
        </w:rPr>
        <w:t xml:space="preserve"> et </w:t>
      </w:r>
      <w:r w:rsidRPr="00232B46">
        <w:rPr>
          <w:rStyle w:val="VerbatimChar"/>
          <w:lang w:val="fr-FR"/>
        </w:rPr>
        <w:t>sect2b</w:t>
      </w:r>
      <w:r w:rsidRPr="00232B46">
        <w:rPr>
          <w:lang w:val="fr-FR"/>
        </w:rPr>
        <w:t>, la Wave 4 fusionne toutes les informations</w:t>
      </w:r>
      <w:r w:rsidRPr="00232B46">
        <w:rPr>
          <w:lang w:val="fr-FR"/>
        </w:rPr>
        <w:t xml:space="preserve"> en un seul fichier. Les variables clés mobilisées sont </w:t>
      </w:r>
      <w:r w:rsidRPr="00232B46">
        <w:rPr>
          <w:rStyle w:val="VerbatimChar"/>
          <w:lang w:val="fr-FR"/>
        </w:rPr>
        <w:t>s2aq5</w:t>
      </w:r>
      <w:r w:rsidRPr="00232B46">
        <w:rPr>
          <w:lang w:val="fr-FR"/>
        </w:rPr>
        <w:t xml:space="preserve"> (alphabétisation), </w:t>
      </w:r>
      <w:r w:rsidRPr="00232B46">
        <w:rPr>
          <w:rStyle w:val="VerbatimChar"/>
          <w:lang w:val="fr-FR"/>
        </w:rPr>
        <w:t>s2aq6</w:t>
      </w:r>
      <w:r w:rsidRPr="00232B46">
        <w:rPr>
          <w:lang w:val="fr-FR"/>
        </w:rPr>
        <w:t xml:space="preserve"> (scolarisation passée), </w:t>
      </w:r>
      <w:r w:rsidRPr="00232B46">
        <w:rPr>
          <w:rStyle w:val="VerbatimChar"/>
          <w:lang w:val="fr-FR"/>
        </w:rPr>
        <w:t>s2aq9</w:t>
      </w:r>
      <w:r w:rsidRPr="00232B46">
        <w:rPr>
          <w:lang w:val="fr-FR"/>
        </w:rPr>
        <w:t xml:space="preserve"> (niveau atteint), </w:t>
      </w:r>
      <w:r w:rsidRPr="00232B46">
        <w:rPr>
          <w:rStyle w:val="VerbatimChar"/>
          <w:lang w:val="fr-FR"/>
        </w:rPr>
        <w:t>s2aq13a</w:t>
      </w:r>
      <w:r w:rsidRPr="00232B46">
        <w:rPr>
          <w:lang w:val="fr-FR"/>
        </w:rPr>
        <w:t xml:space="preserve"> (scolarisation actuelle 2018/2019) et </w:t>
      </w:r>
      <w:r w:rsidRPr="00232B46">
        <w:rPr>
          <w:rStyle w:val="VerbatimChar"/>
          <w:lang w:val="fr-FR"/>
        </w:rPr>
        <w:t>s2aq15</w:t>
      </w:r>
      <w:r w:rsidRPr="00232B46">
        <w:rPr>
          <w:lang w:val="fr-FR"/>
        </w:rPr>
        <w:t xml:space="preserve"> (niveau fréquenté en 2017/2018).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rStyle w:val="VerbatimChar"/>
          <w:b/>
          <w:bCs/>
          <w:lang w:val="fr-FR"/>
        </w:rPr>
        <w:t>sect1_harvestw4</w:t>
      </w:r>
      <w:r w:rsidRPr="00232B46">
        <w:rPr>
          <w:lang w:val="fr-FR"/>
        </w:rPr>
        <w:t xml:space="preserve"> est la section démo</w:t>
      </w:r>
      <w:r w:rsidRPr="00232B46">
        <w:rPr>
          <w:lang w:val="fr-FR"/>
        </w:rPr>
        <w:t>graphique du ménage. Elle contient 30 337 observations et 59 variables dont le sexe (</w:t>
      </w:r>
      <w:r w:rsidRPr="00232B46">
        <w:rPr>
          <w:rStyle w:val="VerbatimChar"/>
          <w:lang w:val="fr-FR"/>
        </w:rPr>
        <w:t>s1q2</w:t>
      </w:r>
      <w:r w:rsidRPr="00232B46">
        <w:rPr>
          <w:lang w:val="fr-FR"/>
        </w:rPr>
        <w:t>) et l’âge (</w:t>
      </w:r>
      <w:r w:rsidRPr="00232B46">
        <w:rPr>
          <w:rStyle w:val="VerbatimChar"/>
          <w:lang w:val="fr-FR"/>
        </w:rPr>
        <w:t>s1q4</w:t>
      </w:r>
      <w:r w:rsidRPr="00232B46">
        <w:rPr>
          <w:lang w:val="fr-FR"/>
        </w:rPr>
        <w:t xml:space="preserve">) des membres, utilisés pour stratifier les analyses par groupe démographique. La jointure avec </w:t>
      </w:r>
      <w:r w:rsidRPr="00232B46">
        <w:rPr>
          <w:rStyle w:val="VerbatimChar"/>
          <w:lang w:val="fr-FR"/>
        </w:rPr>
        <w:t>sect2</w:t>
      </w:r>
      <w:r w:rsidRPr="00232B46">
        <w:rPr>
          <w:lang w:val="fr-FR"/>
        </w:rPr>
        <w:t xml:space="preserve"> est réalisée sur les identifiants </w:t>
      </w:r>
      <w:r w:rsidRPr="00232B46">
        <w:rPr>
          <w:rStyle w:val="VerbatimChar"/>
          <w:lang w:val="fr-FR"/>
        </w:rPr>
        <w:t>hhid</w:t>
      </w:r>
      <w:r w:rsidRPr="00232B46">
        <w:rPr>
          <w:lang w:val="fr-FR"/>
        </w:rPr>
        <w:t xml:space="preserve"> et </w:t>
      </w:r>
      <w:r w:rsidRPr="00232B46">
        <w:rPr>
          <w:rStyle w:val="VerbatimChar"/>
          <w:lang w:val="fr-FR"/>
        </w:rPr>
        <w:t>indiv</w:t>
      </w:r>
      <w:r w:rsidRPr="00232B46">
        <w:rPr>
          <w:lang w:val="fr-FR"/>
        </w:rPr>
        <w:t xml:space="preserve">, </w:t>
      </w:r>
      <w:r w:rsidRPr="00232B46">
        <w:rPr>
          <w:lang w:val="fr-FR"/>
        </w:rPr>
        <w:t>sans perte d’observation.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rStyle w:val="VerbatimChar"/>
          <w:b/>
          <w:bCs/>
          <w:lang w:val="fr-FR"/>
        </w:rPr>
        <w:t>totcons_final</w:t>
      </w:r>
      <w:r w:rsidRPr="00232B46">
        <w:rPr>
          <w:lang w:val="fr-FR"/>
        </w:rPr>
        <w:t xml:space="preserve"> contient les agrégats de consommation par ménage. La variable </w:t>
      </w:r>
      <w:r w:rsidRPr="00232B46">
        <w:rPr>
          <w:rStyle w:val="VerbatimChar"/>
          <w:lang w:val="fr-FR"/>
        </w:rPr>
        <w:t>wt_wave4</w:t>
      </w:r>
      <w:r w:rsidRPr="00232B46">
        <w:rPr>
          <w:lang w:val="fr-FR"/>
        </w:rPr>
        <w:t xml:space="preserve"> (poids de sondage) est extraite de ce fichier et fusionnée via </w:t>
      </w:r>
      <w:r w:rsidRPr="00232B46">
        <w:rPr>
          <w:rStyle w:val="VerbatimChar"/>
          <w:lang w:val="fr-FR"/>
        </w:rPr>
        <w:t>hhid</w:t>
      </w:r>
      <w:r w:rsidRPr="00232B46">
        <w:rPr>
          <w:lang w:val="fr-FR"/>
        </w:rPr>
        <w:t xml:space="preserve"> pour pondérer toutes les estimations. On dénombre 24 NA sur cette variable (0</w:t>
      </w:r>
      <w:r w:rsidRPr="00232B46">
        <w:rPr>
          <w:lang w:val="fr-FR"/>
        </w:rPr>
        <w:t>,09%), négligeables et exclus de l’analyse.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4" w:name="X350431e2fba0c431029ae77ea82114f8e0b65b0"/>
      <w:bookmarkStart w:id="5" w:name="_Toc225300778"/>
      <w:bookmarkEnd w:id="2"/>
      <w:r w:rsidRPr="00232B46">
        <w:rPr>
          <w:rStyle w:val="SectionNumber"/>
          <w:lang w:val="fr-FR"/>
        </w:rPr>
        <w:t>1.2</w:t>
      </w:r>
      <w:r w:rsidRPr="00232B46">
        <w:rPr>
          <w:lang w:val="fr-FR"/>
        </w:rPr>
        <w:tab/>
        <w:t>Construction de la variable niveau d’éducation</w:t>
      </w:r>
      <w:bookmarkEnd w:id="5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 xml:space="preserve">La variable </w:t>
      </w:r>
      <w:r w:rsidRPr="00232B46">
        <w:rPr>
          <w:rStyle w:val="VerbatimChar"/>
          <w:lang w:val="fr-FR"/>
        </w:rPr>
        <w:t>niveau_educ</w:t>
      </w:r>
      <w:r w:rsidRPr="00232B46">
        <w:rPr>
          <w:lang w:val="fr-FR"/>
        </w:rPr>
        <w:t xml:space="preserve"> à 5 catégories ordonnées a été construite en trois passes : (1) les individus jamais scolarisés (</w:t>
      </w:r>
      <w:r w:rsidRPr="00232B46">
        <w:rPr>
          <w:rStyle w:val="VerbatimChar"/>
          <w:lang w:val="fr-FR"/>
        </w:rPr>
        <w:t>s2aq6 = 2</w:t>
      </w:r>
      <w:r w:rsidRPr="00232B46">
        <w:rPr>
          <w:lang w:val="fr-FR"/>
        </w:rPr>
        <w:t>) sont directement classés “Auc</w:t>
      </w:r>
      <w:r w:rsidRPr="00232B46">
        <w:rPr>
          <w:lang w:val="fr-FR"/>
        </w:rPr>
        <w:t xml:space="preserve">un” ; (2) le niveau est reconstitué par </w:t>
      </w:r>
      <w:r w:rsidRPr="00232B46">
        <w:rPr>
          <w:rStyle w:val="VerbatimChar"/>
          <w:lang w:val="fr-FR"/>
        </w:rPr>
        <w:t>coalesce(s2aq9, s2aq13b, s2aq15)</w:t>
      </w:r>
      <w:r w:rsidRPr="00232B46">
        <w:rPr>
          <w:lang w:val="fr-FR"/>
        </w:rPr>
        <w:t xml:space="preserve"> pour maximiser la couverture ; (3) un filet via </w:t>
      </w:r>
      <w:r w:rsidRPr="00232B46">
        <w:rPr>
          <w:rStyle w:val="VerbatimChar"/>
          <w:lang w:val="fr-FR"/>
        </w:rPr>
        <w:t>s2aq10</w:t>
      </w:r>
      <w:r w:rsidRPr="00232B46">
        <w:rPr>
          <w:lang w:val="fr-FR"/>
        </w:rPr>
        <w:t xml:space="preserve"> complète les cas résiduels. La catégorie “Préscolaire” a été supprimée en raison d’effectifs trop faibles. Les NA restants corre</w:t>
      </w:r>
      <w:r w:rsidRPr="00232B46">
        <w:rPr>
          <w:lang w:val="fr-FR"/>
        </w:rPr>
        <w:t>spondent aux enfants de moins de 3 ans exclus du questionnaire éducation.</w:t>
      </w:r>
    </w:p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6" w:name="distribution-du-niveau-déducation"/>
      <w:bookmarkStart w:id="7" w:name="_Toc225300779"/>
      <w:bookmarkEnd w:id="0"/>
      <w:bookmarkEnd w:id="4"/>
      <w:r w:rsidRPr="00232B46">
        <w:rPr>
          <w:rStyle w:val="SectionNumber"/>
          <w:lang w:val="fr-FR"/>
        </w:rPr>
        <w:t>2</w:t>
      </w:r>
      <w:r w:rsidRPr="00232B46">
        <w:rPr>
          <w:lang w:val="fr-FR"/>
        </w:rPr>
        <w:tab/>
        <w:t>Distribution du niveau d’éducation</w:t>
      </w:r>
      <w:bookmarkEnd w:id="7"/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8" w:name="méthodologie"/>
      <w:bookmarkStart w:id="9" w:name="_Toc225300780"/>
      <w:r w:rsidRPr="00232B46">
        <w:rPr>
          <w:rStyle w:val="SectionNumber"/>
          <w:lang w:val="fr-FR"/>
        </w:rPr>
        <w:t>2.1</w:t>
      </w:r>
      <w:r w:rsidRPr="00232B46">
        <w:rPr>
          <w:lang w:val="fr-FR"/>
        </w:rPr>
        <w:tab/>
        <w:t>Méthodologie</w:t>
      </w:r>
      <w:bookmarkEnd w:id="9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 xml:space="preserve">Les proportions sont estimées par la fonction </w:t>
      </w:r>
      <w:r w:rsidRPr="00232B46">
        <w:rPr>
          <w:rStyle w:val="VerbatimChar"/>
          <w:lang w:val="fr-FR"/>
        </w:rPr>
        <w:t>svymean</w:t>
      </w:r>
      <w:r w:rsidRPr="00232B46">
        <w:rPr>
          <w:lang w:val="fr-FR"/>
        </w:rPr>
        <w:t xml:space="preserve"> du package </w:t>
      </w:r>
      <w:r w:rsidRPr="00232B46">
        <w:rPr>
          <w:rStyle w:val="VerbatimChar"/>
          <w:lang w:val="fr-FR"/>
        </w:rPr>
        <w:t>survey</w:t>
      </w:r>
      <w:r w:rsidRPr="00232B46">
        <w:rPr>
          <w:lang w:val="fr-FR"/>
        </w:rPr>
        <w:t xml:space="preserve">, avec intervalles de confiance à 95% par la méthode de linéarisation de Taylor. L’analyse </w:t>
      </w:r>
      <w:r w:rsidRPr="00232B46">
        <w:rPr>
          <w:lang w:val="fr-FR"/>
        </w:rPr>
        <w:lastRenderedPageBreak/>
        <w:t>porte sur l’ensemble des individus de 3 ans et plus disposant d’une information éducative.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10" w:name="résultats"/>
      <w:bookmarkStart w:id="11" w:name="_Toc225300781"/>
      <w:bookmarkEnd w:id="8"/>
      <w:r w:rsidRPr="00232B46">
        <w:rPr>
          <w:rStyle w:val="SectionNumber"/>
          <w:lang w:val="fr-FR"/>
        </w:rPr>
        <w:t>2.2</w:t>
      </w:r>
      <w:r w:rsidRPr="00232B46">
        <w:rPr>
          <w:lang w:val="fr-FR"/>
        </w:rPr>
        <w:tab/>
        <w:t>Résultats</w:t>
      </w:r>
      <w:bookmarkEnd w:id="11"/>
    </w:p>
    <w:p w:rsidR="0015668A" w:rsidRPr="00232B46" w:rsidRDefault="004D5C97" w:rsidP="00232B46">
      <w:pPr>
        <w:keepNext/>
        <w:spacing w:after="60"/>
        <w:jc w:val="both"/>
        <w:rPr>
          <w:lang w:val="fr-FR"/>
        </w:rPr>
      </w:pPr>
      <w:r w:rsidRPr="00232B46">
        <w:rPr>
          <w:rFonts w:ascii="Calibri" w:hAnsi="Calibri"/>
          <w:lang w:val="fr-FR"/>
        </w:rPr>
        <w:t xml:space="preserve">Table </w:t>
      </w:r>
      <w:r>
        <w:fldChar w:fldCharType="begin"/>
      </w:r>
      <w:r w:rsidRPr="00232B46">
        <w:rPr>
          <w:lang w:val="fr-FR"/>
        </w:rPr>
        <w:instrText xml:space="preserve"> SEQ Table \* ARABIC </w:instrText>
      </w:r>
      <w:r>
        <w:fldChar w:fldCharType="separate"/>
      </w:r>
      <w:r w:rsidR="00232B46" w:rsidRPr="00232B46">
        <w:rPr>
          <w:noProof/>
          <w:lang w:val="fr-FR"/>
        </w:rPr>
        <w:t>1</w:t>
      </w:r>
      <w:r>
        <w:fldChar w:fldCharType="end"/>
      </w:r>
      <w:r w:rsidRPr="00232B46">
        <w:rPr>
          <w:rFonts w:ascii="Calibri" w:hAnsi="Calibri"/>
          <w:lang w:val="fr-FR"/>
        </w:rPr>
        <w:t xml:space="preserve">: </w:t>
      </w:r>
      <w:r w:rsidRPr="00232B46">
        <w:rPr>
          <w:rFonts w:ascii="Calibri" w:hAnsi="Calibri"/>
          <w:color w:val="333333"/>
          <w:lang w:val="fr-FR"/>
        </w:rPr>
        <w:t>Distribution pondérée du ni</w:t>
      </w:r>
      <w:r w:rsidRPr="00232B46">
        <w:rPr>
          <w:rFonts w:ascii="Calibri" w:hAnsi="Calibri"/>
          <w:color w:val="333333"/>
          <w:lang w:val="fr-FR"/>
        </w:rPr>
        <w:t>veau d'éducation — Wave 4 (2018)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048"/>
        <w:gridCol w:w="1586"/>
        <w:gridCol w:w="1101"/>
        <w:gridCol w:w="1215"/>
      </w:tblGrid>
      <w:tr w:rsidR="0015668A" w:rsidTr="0015668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Niveau d'éducation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Proportion (%)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IC bas (%)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IC haut (%)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Aucun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26.0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24.7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27.2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Primaire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29.7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28.7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30.7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Junior Secondary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8.8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8.2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9.3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Senior Secondary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19.0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18.1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19.9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Tertiaire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16.5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15.3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17.7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gridSpan w:val="4"/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Estimations pondérées — poids</w:t>
            </w:r>
            <w:r>
              <w:rPr>
                <w:rFonts w:ascii="Calibri" w:hAnsi="Calibri"/>
                <w:sz w:val="20"/>
              </w:rPr>
              <w:t xml:space="preserve"> wt_wave4 | Source : GHS Panel Wave 4</w:t>
            </w:r>
          </w:p>
        </w:tc>
      </w:tr>
    </w:tbl>
    <w:p w:rsidR="0015668A" w:rsidRDefault="004D5C97" w:rsidP="00232B46">
      <w:pPr>
        <w:pStyle w:val="CaptionedFigure"/>
        <w:jc w:val="both"/>
      </w:pPr>
      <w:r>
        <w:rPr>
          <w:noProof/>
          <w:lang w:val="fr-FR" w:eastAsia="fr-FR"/>
        </w:rPr>
        <w:drawing>
          <wp:inline distT="0" distB="0" distL="0" distR="0">
            <wp:extent cx="5334000" cy="3048000"/>
            <wp:effectExtent l="0" t="0" r="0" b="0"/>
            <wp:docPr id="25" name="Picture" descr="Distribution pondérée du niveau d’éducation atteint (individus de 3 ans et plus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" descr="TP2_final_files/figure-docx/barplot-niveau-educ-1.png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68A" w:rsidRPr="00232B46" w:rsidRDefault="004D5C97" w:rsidP="00232B46">
      <w:pPr>
        <w:pStyle w:val="ImageCaption"/>
        <w:jc w:val="both"/>
        <w:rPr>
          <w:lang w:val="fr-FR"/>
        </w:rPr>
      </w:pPr>
      <w:r w:rsidRPr="00232B46">
        <w:rPr>
          <w:lang w:val="fr-FR"/>
        </w:rPr>
        <w:t>Distribution pondérée du niveau d’éducation atteint (individus de 3 ans et plus)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12" w:name="interprétation"/>
      <w:bookmarkStart w:id="13" w:name="_Toc225300782"/>
      <w:bookmarkEnd w:id="10"/>
      <w:r w:rsidRPr="00232B46">
        <w:rPr>
          <w:rStyle w:val="SectionNumber"/>
          <w:lang w:val="fr-FR"/>
        </w:rPr>
        <w:t>2.3</w:t>
      </w:r>
      <w:r w:rsidRPr="00232B46">
        <w:rPr>
          <w:lang w:val="fr-FR"/>
        </w:rPr>
        <w:tab/>
        <w:t>Interprétation</w:t>
      </w:r>
      <w:bookmarkEnd w:id="13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Les estimations pondérées révèlent que le niveau Primaire est le plus représenté (29,7%, IC : [28,7% — 30,7%]), suivi du niveau “Aucun” (25,9%, IC : [24,7% — 27,2%]). Le Senior Secondary concerne 19,0% de la population et le niveau Tertiaire 16,5%. Ces rés</w:t>
      </w:r>
      <w:r w:rsidRPr="00232B46">
        <w:rPr>
          <w:lang w:val="fr-FR"/>
        </w:rPr>
        <w:t>ultats indiquent qu’environ un quart de la population nigériane de 3 ans et plus n’a aucun niveau d’instruction formelle, reflétant les défis persistants du système éducatif nigérian.</w:t>
      </w:r>
    </w:p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14" w:name="Xf0bf68e7b4161c3a60b0bf8b06801a5e0490c3a"/>
      <w:bookmarkStart w:id="15" w:name="_Toc225300783"/>
      <w:bookmarkEnd w:id="6"/>
      <w:bookmarkEnd w:id="12"/>
      <w:r w:rsidRPr="00232B46">
        <w:rPr>
          <w:rStyle w:val="SectionNumber"/>
          <w:lang w:val="fr-FR"/>
        </w:rPr>
        <w:lastRenderedPageBreak/>
        <w:t>3</w:t>
      </w:r>
      <w:r w:rsidRPr="00232B46">
        <w:rPr>
          <w:lang w:val="fr-FR"/>
        </w:rPr>
        <w:tab/>
        <w:t>Comparaison du niveau d’éducation entre hommes et femmes</w:t>
      </w:r>
      <w:bookmarkEnd w:id="15"/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16" w:name="méthodologie-1"/>
      <w:bookmarkStart w:id="17" w:name="_Toc225300784"/>
      <w:r w:rsidRPr="00232B46">
        <w:rPr>
          <w:rStyle w:val="SectionNumber"/>
          <w:lang w:val="fr-FR"/>
        </w:rPr>
        <w:t>3.1</w:t>
      </w:r>
      <w:r w:rsidRPr="00232B46">
        <w:rPr>
          <w:lang w:val="fr-FR"/>
        </w:rPr>
        <w:tab/>
      </w:r>
      <w:r w:rsidRPr="00232B46">
        <w:rPr>
          <w:lang w:val="fr-FR"/>
        </w:rPr>
        <w:t>Méthodologie</w:t>
      </w:r>
      <w:bookmarkEnd w:id="17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 xml:space="preserve">L’analyse porte sur les adultes de 18 ans et plus. Un design survey spécifique est créé pour ce sous-groupe. Le tableau de contingence est obtenu par </w:t>
      </w:r>
      <w:r w:rsidRPr="00232B46">
        <w:rPr>
          <w:rStyle w:val="VerbatimChar"/>
          <w:lang w:val="fr-FR"/>
        </w:rPr>
        <w:t>svytable</w:t>
      </w:r>
      <w:r w:rsidRPr="00232B46">
        <w:rPr>
          <w:lang w:val="fr-FR"/>
        </w:rPr>
        <w:t xml:space="preserve"> et le test d’indépendance par le chi-deux de Rao-Scott (</w:t>
      </w:r>
      <w:r w:rsidRPr="00232B46">
        <w:rPr>
          <w:rStyle w:val="VerbatimChar"/>
          <w:lang w:val="fr-FR"/>
        </w:rPr>
        <w:t>svychisq</w:t>
      </w:r>
      <w:r w:rsidRPr="00232B46">
        <w:rPr>
          <w:lang w:val="fr-FR"/>
        </w:rPr>
        <w:t>), adapté aux donnée</w:t>
      </w:r>
      <w:r w:rsidRPr="00232B46">
        <w:rPr>
          <w:lang w:val="fr-FR"/>
        </w:rPr>
        <w:t>s d’enquêtes complexes.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18" w:name="résultats-1"/>
      <w:bookmarkStart w:id="19" w:name="_Toc225300785"/>
      <w:bookmarkEnd w:id="16"/>
      <w:r w:rsidRPr="00232B46">
        <w:rPr>
          <w:rStyle w:val="SectionNumber"/>
          <w:lang w:val="fr-FR"/>
        </w:rPr>
        <w:t>3.2</w:t>
      </w:r>
      <w:r w:rsidRPr="00232B46">
        <w:rPr>
          <w:lang w:val="fr-FR"/>
        </w:rPr>
        <w:tab/>
        <w:t>Résultats</w:t>
      </w:r>
      <w:bookmarkEnd w:id="19"/>
    </w:p>
    <w:p w:rsidR="0015668A" w:rsidRPr="00232B46" w:rsidRDefault="004D5C97" w:rsidP="00232B46">
      <w:pPr>
        <w:keepNext/>
        <w:spacing w:after="60"/>
        <w:jc w:val="both"/>
        <w:rPr>
          <w:lang w:val="fr-FR"/>
        </w:rPr>
      </w:pPr>
      <w:r w:rsidRPr="00232B46">
        <w:rPr>
          <w:rFonts w:ascii="Calibri" w:hAnsi="Calibri"/>
          <w:lang w:val="fr-FR"/>
        </w:rPr>
        <w:t xml:space="preserve">Table </w:t>
      </w:r>
      <w:r>
        <w:fldChar w:fldCharType="begin"/>
      </w:r>
      <w:r w:rsidRPr="00232B46">
        <w:rPr>
          <w:lang w:val="fr-FR"/>
        </w:rPr>
        <w:instrText xml:space="preserve"> SEQ Table \* ARABIC </w:instrText>
      </w:r>
      <w:r>
        <w:fldChar w:fldCharType="separate"/>
      </w:r>
      <w:r w:rsidR="00232B46" w:rsidRPr="00232B46">
        <w:rPr>
          <w:noProof/>
          <w:lang w:val="fr-FR"/>
        </w:rPr>
        <w:t>2</w:t>
      </w:r>
      <w:r>
        <w:fldChar w:fldCharType="end"/>
      </w:r>
      <w:r w:rsidRPr="00232B46">
        <w:rPr>
          <w:rFonts w:ascii="Calibri" w:hAnsi="Calibri"/>
          <w:lang w:val="fr-FR"/>
        </w:rPr>
        <w:t xml:space="preserve">: </w:t>
      </w:r>
      <w:r w:rsidRPr="00232B46">
        <w:rPr>
          <w:rFonts w:ascii="Calibri" w:hAnsi="Calibri"/>
          <w:color w:val="333333"/>
          <w:lang w:val="fr-FR"/>
        </w:rPr>
        <w:t>Niveau d'éducation par sexe — adultes 18+ (effectifs pondérés)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770"/>
        <w:gridCol w:w="1031"/>
        <w:gridCol w:w="930"/>
        <w:gridCol w:w="1508"/>
        <w:gridCol w:w="1531"/>
        <w:gridCol w:w="930"/>
      </w:tblGrid>
      <w:tr w:rsidR="0015668A" w:rsidTr="0015668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Sexe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Aucun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Primaire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Junior Secondary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Senior Secondary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Tertiaire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Homme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4,918,624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6,545,071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1,893,525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11,570,532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9,550,919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Femme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11,402,779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7,485,308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2,148,611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8,937,942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8,069,983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gridSpan w:val="6"/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Test de Rao-Scott : F = 80.10, p &lt; 2.2e-16 | Estimations pondérées wt_wave4</w:t>
            </w:r>
          </w:p>
        </w:tc>
      </w:tr>
    </w:tbl>
    <w:p w:rsidR="0015668A" w:rsidRDefault="004D5C97" w:rsidP="00232B46">
      <w:pPr>
        <w:pStyle w:val="CaptionedFigure"/>
        <w:jc w:val="both"/>
      </w:pPr>
      <w:r>
        <w:rPr>
          <w:noProof/>
          <w:lang w:val="fr-FR" w:eastAsia="fr-FR"/>
        </w:rPr>
        <w:drawing>
          <wp:inline distT="0" distB="0" distL="0" distR="0">
            <wp:extent cx="5334000" cy="3048000"/>
            <wp:effectExtent l="0" t="0" r="0" b="0"/>
            <wp:docPr id="32" name="Picture" descr="Répartition pondérée du niveau d’éducation par sexe (adultes 18+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" descr="TP2_final_files/figure-docx/barplot-sexe-educ-1.png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68A" w:rsidRPr="00232B46" w:rsidRDefault="004D5C97" w:rsidP="00232B46">
      <w:pPr>
        <w:pStyle w:val="ImageCaption"/>
        <w:jc w:val="both"/>
        <w:rPr>
          <w:lang w:val="fr-FR"/>
        </w:rPr>
      </w:pPr>
      <w:r w:rsidRPr="00232B46">
        <w:rPr>
          <w:lang w:val="fr-FR"/>
        </w:rPr>
        <w:t>Répartition pondérée du niveau d’éducation par sexe (adultes 18+)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20" w:name="interprétation-1"/>
      <w:bookmarkStart w:id="21" w:name="_Toc225300786"/>
      <w:bookmarkEnd w:id="18"/>
      <w:r w:rsidRPr="00232B46">
        <w:rPr>
          <w:rStyle w:val="SectionNumber"/>
          <w:lang w:val="fr-FR"/>
        </w:rPr>
        <w:t>3.3</w:t>
      </w:r>
      <w:r w:rsidRPr="00232B46">
        <w:rPr>
          <w:lang w:val="fr-FR"/>
        </w:rPr>
        <w:tab/>
        <w:t>Interprétation</w:t>
      </w:r>
      <w:bookmarkEnd w:id="21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Les inégalités de genre sont marquées et hautement significatives (test de Rao-Scott : F = 80,10, p &lt; 2,2×10⁻¹⁶). Les femmes adultes sont surreprésentées dans la catégorie “Aucun” par rapport aux hommes, et sous-représentées aux niveaux Senior Secondary et</w:t>
      </w:r>
      <w:r w:rsidRPr="00232B46">
        <w:rPr>
          <w:lang w:val="fr-FR"/>
        </w:rPr>
        <w:t xml:space="preserve"> Tertiaire. Ces écarts reflètent les inégalités historiques d’accès à l’éducation qui ont défavorisé les filles au Nigeria, bien qu’une convergence progressive soit observée pour les générations récentes.</w:t>
      </w:r>
    </w:p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22" w:name="relation-entre-âge-et-niveau-déducation"/>
      <w:bookmarkStart w:id="23" w:name="_Toc225300787"/>
      <w:bookmarkEnd w:id="14"/>
      <w:bookmarkEnd w:id="20"/>
      <w:r w:rsidRPr="00232B46">
        <w:rPr>
          <w:rStyle w:val="SectionNumber"/>
          <w:lang w:val="fr-FR"/>
        </w:rPr>
        <w:lastRenderedPageBreak/>
        <w:t>4</w:t>
      </w:r>
      <w:r w:rsidRPr="00232B46">
        <w:rPr>
          <w:lang w:val="fr-FR"/>
        </w:rPr>
        <w:tab/>
        <w:t>Relation entre âge et niveau d’éducation</w:t>
      </w:r>
      <w:bookmarkEnd w:id="23"/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24" w:name="méthodologie-2"/>
      <w:bookmarkStart w:id="25" w:name="_Toc225300788"/>
      <w:r w:rsidRPr="00232B46">
        <w:rPr>
          <w:rStyle w:val="SectionNumber"/>
          <w:lang w:val="fr-FR"/>
        </w:rPr>
        <w:t>4.1</w:t>
      </w:r>
      <w:r w:rsidRPr="00232B46">
        <w:rPr>
          <w:lang w:val="fr-FR"/>
        </w:rPr>
        <w:tab/>
        <w:t>Méth</w:t>
      </w:r>
      <w:r w:rsidRPr="00232B46">
        <w:rPr>
          <w:lang w:val="fr-FR"/>
        </w:rPr>
        <w:t>odologie</w:t>
      </w:r>
      <w:bookmarkEnd w:id="25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Les adultes de 18 ans et plus ont été regroupés en quatre tranches d’âge (18-30, 31-45, 46-60, 60+). Le niveau d’éducation étant une variable ordinale, le test de Kruskal-Wallis pondéré (</w:t>
      </w:r>
      <w:r w:rsidRPr="00232B46">
        <w:rPr>
          <w:rStyle w:val="VerbatimChar"/>
          <w:lang w:val="fr-FR"/>
        </w:rPr>
        <w:t>svyranktest</w:t>
      </w:r>
      <w:r w:rsidRPr="00232B46">
        <w:rPr>
          <w:lang w:val="fr-FR"/>
        </w:rPr>
        <w:t>) est utilisé pour tester les différences entre groupes, suivi d’un test post-hoc de Dunn avec correction de Bonferroni.</w:t>
      </w:r>
    </w:p>
    <w:p w:rsidR="0015668A" w:rsidRDefault="004D5C97" w:rsidP="00232B46">
      <w:pPr>
        <w:pStyle w:val="Titre2"/>
        <w:jc w:val="both"/>
      </w:pPr>
      <w:bookmarkStart w:id="26" w:name="résultats-2"/>
      <w:bookmarkStart w:id="27" w:name="_Toc225300789"/>
      <w:bookmarkEnd w:id="24"/>
      <w:r>
        <w:rPr>
          <w:rStyle w:val="SectionNumber"/>
        </w:rPr>
        <w:t>4.2</w:t>
      </w:r>
      <w:r>
        <w:tab/>
        <w:t>Résultats</w:t>
      </w:r>
      <w:bookmarkEnd w:id="27"/>
    </w:p>
    <w:p w:rsidR="0015668A" w:rsidRDefault="004D5C97" w:rsidP="00232B46">
      <w:pPr>
        <w:pStyle w:val="CaptionedFigure"/>
        <w:jc w:val="both"/>
      </w:pPr>
      <w:r>
        <w:rPr>
          <w:noProof/>
          <w:lang w:val="fr-FR" w:eastAsia="fr-FR"/>
        </w:rPr>
        <w:drawing>
          <wp:inline distT="0" distB="0" distL="0" distR="0">
            <wp:extent cx="5334000" cy="3048000"/>
            <wp:effectExtent l="0" t="0" r="0" b="0"/>
            <wp:docPr id="39" name="Picture" descr="Distribution pondérée du niveau d’éducation par groupe d’âge (adultes 18+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Picture" descr="TP2_final_files/figure-docx/boxplot-age-educ-1.png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68A" w:rsidRPr="00232B46" w:rsidRDefault="004D5C97" w:rsidP="00232B46">
      <w:pPr>
        <w:pStyle w:val="ImageCaption"/>
        <w:jc w:val="both"/>
        <w:rPr>
          <w:lang w:val="fr-FR"/>
        </w:rPr>
      </w:pPr>
      <w:r w:rsidRPr="00232B46">
        <w:rPr>
          <w:lang w:val="fr-FR"/>
        </w:rPr>
        <w:t>Distribution pondérée du niveau d’éducation par groupe d’âge (adultes 18+)</w:t>
      </w:r>
    </w:p>
    <w:p w:rsidR="0015668A" w:rsidRPr="00232B46" w:rsidRDefault="004D5C97" w:rsidP="00232B46">
      <w:pPr>
        <w:keepNext/>
        <w:spacing w:after="60"/>
        <w:jc w:val="both"/>
        <w:rPr>
          <w:lang w:val="fr-FR"/>
        </w:rPr>
      </w:pPr>
      <w:r w:rsidRPr="00232B46">
        <w:rPr>
          <w:rFonts w:ascii="Calibri" w:hAnsi="Calibri"/>
          <w:lang w:val="fr-FR"/>
        </w:rPr>
        <w:t xml:space="preserve">Table </w:t>
      </w:r>
      <w:r>
        <w:fldChar w:fldCharType="begin"/>
      </w:r>
      <w:r w:rsidRPr="00232B46">
        <w:rPr>
          <w:lang w:val="fr-FR"/>
        </w:rPr>
        <w:instrText xml:space="preserve"> SEQ Table \* ARABIC </w:instrText>
      </w:r>
      <w:r>
        <w:fldChar w:fldCharType="separate"/>
      </w:r>
      <w:r w:rsidR="00232B46" w:rsidRPr="00232B46">
        <w:rPr>
          <w:noProof/>
          <w:lang w:val="fr-FR"/>
        </w:rPr>
        <w:t>3</w:t>
      </w:r>
      <w:r>
        <w:fldChar w:fldCharType="end"/>
      </w:r>
      <w:r w:rsidRPr="00232B46">
        <w:rPr>
          <w:rFonts w:ascii="Calibri" w:hAnsi="Calibri"/>
          <w:lang w:val="fr-FR"/>
        </w:rPr>
        <w:t xml:space="preserve">: </w:t>
      </w:r>
      <w:r w:rsidRPr="00232B46">
        <w:rPr>
          <w:rFonts w:ascii="Calibri" w:hAnsi="Calibri"/>
          <w:color w:val="333333"/>
          <w:lang w:val="fr-FR"/>
        </w:rPr>
        <w:t xml:space="preserve">Test </w:t>
      </w:r>
      <w:r w:rsidRPr="00232B46">
        <w:rPr>
          <w:rFonts w:ascii="Calibri" w:hAnsi="Calibri"/>
          <w:color w:val="333333"/>
          <w:lang w:val="fr-FR"/>
        </w:rPr>
        <w:t>post-hoc de Dunn — comparaisons par paires (Bonferroni)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878"/>
        <w:gridCol w:w="878"/>
        <w:gridCol w:w="989"/>
        <w:gridCol w:w="793"/>
        <w:gridCol w:w="864"/>
        <w:gridCol w:w="615"/>
      </w:tblGrid>
      <w:tr w:rsidR="0015668A" w:rsidTr="0015668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Groupe 1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Groupe 2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Statistique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p-valeur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p ajustée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Signif.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18-30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31-45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-9.4601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****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18-30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46-60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-15.6253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****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18-30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60+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-27.8662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****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31-45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46-60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-6.9951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****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31-45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60+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-20.1550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****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46-60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60+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-13.1836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0.0000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****</w:t>
            </w:r>
          </w:p>
        </w:tc>
      </w:tr>
    </w:tbl>
    <w:p w:rsidR="0015668A" w:rsidRDefault="004D5C97" w:rsidP="00232B46">
      <w:pPr>
        <w:pStyle w:val="Titre2"/>
        <w:jc w:val="both"/>
      </w:pPr>
      <w:bookmarkStart w:id="28" w:name="interprétation-2"/>
      <w:bookmarkStart w:id="29" w:name="_Toc225300790"/>
      <w:bookmarkEnd w:id="26"/>
      <w:r>
        <w:rPr>
          <w:rStyle w:val="SectionNumber"/>
        </w:rPr>
        <w:t>4.3</w:t>
      </w:r>
      <w:r>
        <w:tab/>
        <w:t>Interprétation</w:t>
      </w:r>
      <w:bookmarkEnd w:id="29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Le test de Kruskal-Wallis pondéré révèle une différence hautement significative entre les groupes d’âge (Chi² = 418,7, ddl = 3, p &lt; 2,2×10⁻¹⁶). Le test post-hoc de Dunn confirme que toutes les paires de groupes sont significativement différentes après corr</w:t>
      </w:r>
      <w:r w:rsidRPr="00232B46">
        <w:rPr>
          <w:lang w:val="fr-FR"/>
        </w:rPr>
        <w:t xml:space="preserve">ection de Bonferroni (p.adj &lt; 0,0001 pour toutes les comparaisons). Les jeunes adultes de 18 à 30 ans présentent le niveau d’éducation le plus élevé, tandis que les personnes de 60 ans </w:t>
      </w:r>
      <w:r w:rsidRPr="00232B46">
        <w:rPr>
          <w:lang w:val="fr-FR"/>
        </w:rPr>
        <w:lastRenderedPageBreak/>
        <w:t>et plus ont le niveau le plus bas. Ce gradient générationnel reflète l’</w:t>
      </w:r>
      <w:r w:rsidRPr="00232B46">
        <w:rPr>
          <w:lang w:val="fr-FR"/>
        </w:rPr>
        <w:t>expansion progressive du système éducatif nigérian et les politiques d’universalisation de l’éducation post-1990.</w:t>
      </w:r>
    </w:p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30" w:name="Xa1750cbc5486fb4931acac60171fdd851aa5f9b"/>
      <w:bookmarkStart w:id="31" w:name="_Toc225300791"/>
      <w:bookmarkEnd w:id="22"/>
      <w:bookmarkEnd w:id="28"/>
      <w:r w:rsidRPr="00232B46">
        <w:rPr>
          <w:rStyle w:val="SectionNumber"/>
          <w:lang w:val="fr-FR"/>
        </w:rPr>
        <w:t>5</w:t>
      </w:r>
      <w:r w:rsidRPr="00232B46">
        <w:rPr>
          <w:lang w:val="fr-FR"/>
        </w:rPr>
        <w:tab/>
        <w:t>Taux de scolarisation des 6-17 ans selon le milieu de résidence</w:t>
      </w:r>
      <w:bookmarkEnd w:id="31"/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32" w:name="méthodologie-3"/>
      <w:bookmarkStart w:id="33" w:name="_Toc225300792"/>
      <w:r w:rsidRPr="00232B46">
        <w:rPr>
          <w:rStyle w:val="SectionNumber"/>
          <w:lang w:val="fr-FR"/>
        </w:rPr>
        <w:t>5.1</w:t>
      </w:r>
      <w:r w:rsidRPr="00232B46">
        <w:rPr>
          <w:lang w:val="fr-FR"/>
        </w:rPr>
        <w:tab/>
        <w:t>Méthodologie</w:t>
      </w:r>
      <w:bookmarkEnd w:id="33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 xml:space="preserve">Le taux de scolarisation est calculé à partir de </w:t>
      </w:r>
      <w:r w:rsidRPr="00232B46">
        <w:rPr>
          <w:rStyle w:val="VerbatimChar"/>
          <w:lang w:val="fr-FR"/>
        </w:rPr>
        <w:t>s2aq13a</w:t>
      </w:r>
      <w:r w:rsidRPr="00232B46">
        <w:rPr>
          <w:lang w:val="fr-FR"/>
        </w:rPr>
        <w:t xml:space="preserve"> (s</w:t>
      </w:r>
      <w:r w:rsidRPr="00232B46">
        <w:rPr>
          <w:lang w:val="fr-FR"/>
        </w:rPr>
        <w:t>colarisation en cours en 2018/2019). Les enfants n’ayant jamais été à l’école (</w:t>
      </w:r>
      <w:r w:rsidRPr="00232B46">
        <w:rPr>
          <w:rStyle w:val="VerbatimChar"/>
          <w:lang w:val="fr-FR"/>
        </w:rPr>
        <w:t>s2aq6 = 2</w:t>
      </w:r>
      <w:r w:rsidRPr="00232B46">
        <w:rPr>
          <w:lang w:val="fr-FR"/>
        </w:rPr>
        <w:t>) ont été recodés comme “Non scolarisés”. Un design survey spécifique est créé pour les 6-17 ans. Le test du chi-deux de Rao-Scott (</w:t>
      </w:r>
      <w:r w:rsidRPr="00232B46">
        <w:rPr>
          <w:rStyle w:val="VerbatimChar"/>
          <w:lang w:val="fr-FR"/>
        </w:rPr>
        <w:t>svychisq</w:t>
      </w:r>
      <w:r w:rsidRPr="00232B46">
        <w:rPr>
          <w:lang w:val="fr-FR"/>
        </w:rPr>
        <w:t>) mesure l’association entre</w:t>
      </w:r>
      <w:r w:rsidRPr="00232B46">
        <w:rPr>
          <w:lang w:val="fr-FR"/>
        </w:rPr>
        <w:t xml:space="preserve"> milieu de résidence et scolarisation.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34" w:name="résultats-3"/>
      <w:bookmarkStart w:id="35" w:name="_Toc225300793"/>
      <w:bookmarkEnd w:id="32"/>
      <w:r w:rsidRPr="00232B46">
        <w:rPr>
          <w:rStyle w:val="SectionNumber"/>
          <w:lang w:val="fr-FR"/>
        </w:rPr>
        <w:t>5.2</w:t>
      </w:r>
      <w:r w:rsidRPr="00232B46">
        <w:rPr>
          <w:lang w:val="fr-FR"/>
        </w:rPr>
        <w:tab/>
        <w:t>Résultats</w:t>
      </w:r>
      <w:bookmarkEnd w:id="35"/>
    </w:p>
    <w:p w:rsidR="0015668A" w:rsidRPr="00232B46" w:rsidRDefault="004D5C97" w:rsidP="00232B46">
      <w:pPr>
        <w:keepNext/>
        <w:spacing w:after="60"/>
        <w:jc w:val="both"/>
        <w:rPr>
          <w:lang w:val="fr-FR"/>
        </w:rPr>
      </w:pPr>
      <w:r w:rsidRPr="00232B46">
        <w:rPr>
          <w:rFonts w:ascii="Calibri" w:hAnsi="Calibri"/>
          <w:lang w:val="fr-FR"/>
        </w:rPr>
        <w:t xml:space="preserve">Table </w:t>
      </w:r>
      <w:r>
        <w:fldChar w:fldCharType="begin"/>
      </w:r>
      <w:r w:rsidRPr="00232B46">
        <w:rPr>
          <w:lang w:val="fr-FR"/>
        </w:rPr>
        <w:instrText xml:space="preserve"> SEQ Table \* ARABIC </w:instrText>
      </w:r>
      <w:r>
        <w:fldChar w:fldCharType="separate"/>
      </w:r>
      <w:r w:rsidR="00232B46" w:rsidRPr="00232B46">
        <w:rPr>
          <w:noProof/>
          <w:lang w:val="fr-FR"/>
        </w:rPr>
        <w:t>4</w:t>
      </w:r>
      <w:r>
        <w:fldChar w:fldCharType="end"/>
      </w:r>
      <w:r w:rsidRPr="00232B46">
        <w:rPr>
          <w:rFonts w:ascii="Calibri" w:hAnsi="Calibri"/>
          <w:lang w:val="fr-FR"/>
        </w:rPr>
        <w:t xml:space="preserve">: </w:t>
      </w:r>
      <w:r w:rsidRPr="00232B46">
        <w:rPr>
          <w:rFonts w:ascii="Calibri" w:hAnsi="Calibri"/>
          <w:color w:val="333333"/>
          <w:lang w:val="fr-FR"/>
        </w:rPr>
        <w:t>Scolarisation des 6-17 ans par milieu (effectifs pondérés)</w:t>
      </w:r>
    </w:p>
    <w:tbl>
      <w:tblPr>
        <w:tblStyle w:val="Table"/>
        <w:tblW w:w="0" w:type="auto"/>
        <w:jc w:val="center"/>
        <w:tblCellMar>
          <w:left w:w="60" w:type="dxa"/>
          <w:right w:w="60" w:type="dxa"/>
        </w:tblCellMar>
        <w:tblLook w:val="0000" w:firstRow="0" w:lastRow="0" w:firstColumn="0" w:lastColumn="0" w:noHBand="0" w:noVBand="0"/>
      </w:tblPr>
      <w:tblGrid>
        <w:gridCol w:w="2351"/>
        <w:gridCol w:w="2004"/>
        <w:gridCol w:w="2004"/>
      </w:tblGrid>
      <w:tr w:rsidR="0015668A" w:rsidTr="0015668A">
        <w:trPr>
          <w:cantSplit/>
          <w:tblHeader/>
          <w:jc w:val="center"/>
        </w:trPr>
        <w:tc>
          <w:tcPr>
            <w:tcW w:w="0" w:type="auto"/>
            <w:tcBorders>
              <w:top w:val="single" w:sz="16" w:space="0" w:color="D3D3D3"/>
              <w:left w:val="single" w:sz="0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Scolarisation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Urbain</w:t>
            </w:r>
          </w:p>
        </w:tc>
        <w:tc>
          <w:tcPr>
            <w:tcW w:w="0" w:type="auto"/>
            <w:tcBorders>
              <w:top w:val="single" w:sz="16" w:space="0" w:color="D3D3D3"/>
              <w:bottom w:val="single" w:sz="16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Rural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Scolarisé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11,922,417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28,553,472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Non scolarisé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1,593,795</w:t>
            </w:r>
          </w:p>
        </w:tc>
        <w:tc>
          <w:tcPr>
            <w:tcW w:w="0" w:type="auto"/>
            <w:tcBorders>
              <w:top w:val="single" w:sz="0" w:space="0" w:color="D3D3D3"/>
              <w:left w:val="single" w:sz="0" w:space="0" w:color="D3D3D3"/>
              <w:bottom w:val="single" w:sz="0" w:space="0" w:color="D3D3D3"/>
              <w:right w:val="single" w:sz="0" w:space="0" w:color="D3D3D3"/>
            </w:tcBorders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>10,408,970</w:t>
            </w:r>
          </w:p>
        </w:tc>
      </w:tr>
      <w:tr w:rsidR="0015668A" w:rsidTr="0015668A">
        <w:trPr>
          <w:cantSplit/>
          <w:jc w:val="center"/>
        </w:trPr>
        <w:tc>
          <w:tcPr>
            <w:tcW w:w="0" w:type="auto"/>
            <w:gridSpan w:val="3"/>
          </w:tcPr>
          <w:p w:rsidR="0015668A" w:rsidRDefault="004D5C97" w:rsidP="00232B46">
            <w:pPr>
              <w:keepNext/>
              <w:spacing w:after="60"/>
              <w:jc w:val="both"/>
            </w:pPr>
            <w:r>
              <w:rPr>
                <w:rFonts w:ascii="Calibri" w:hAnsi="Calibri"/>
                <w:sz w:val="20"/>
              </w:rPr>
              <w:t xml:space="preserve">Test de </w:t>
            </w:r>
            <w:r>
              <w:rPr>
                <w:rFonts w:ascii="Calibri" w:hAnsi="Calibri"/>
                <w:sz w:val="20"/>
              </w:rPr>
              <w:t>Rao-Scott : F = 67.43, p &lt; 2.2e-16 | Estimations pondérées wt_wave4</w:t>
            </w:r>
          </w:p>
        </w:tc>
      </w:tr>
    </w:tbl>
    <w:p w:rsidR="0015668A" w:rsidRDefault="004D5C97" w:rsidP="00232B46">
      <w:pPr>
        <w:pStyle w:val="CaptionedFigure"/>
        <w:jc w:val="both"/>
      </w:pPr>
      <w:r>
        <w:rPr>
          <w:noProof/>
          <w:lang w:val="fr-FR" w:eastAsia="fr-FR"/>
        </w:rPr>
        <w:drawing>
          <wp:inline distT="0" distB="0" distL="0" distR="0">
            <wp:extent cx="5334000" cy="3048000"/>
            <wp:effectExtent l="0" t="0" r="0" b="0"/>
            <wp:docPr id="46" name="Picture" descr="Taux de scolarisation pondéré des 6-17 ans par milieu de résidence avec IC à 95%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" name="Picture" descr="TP2_final_files/figure-docx/barplot-scolarisation-1.png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0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68A" w:rsidRPr="00232B46" w:rsidRDefault="004D5C97" w:rsidP="00232B46">
      <w:pPr>
        <w:pStyle w:val="ImageCaption"/>
        <w:jc w:val="both"/>
        <w:rPr>
          <w:lang w:val="fr-FR"/>
        </w:rPr>
      </w:pPr>
      <w:r w:rsidRPr="00232B46">
        <w:rPr>
          <w:lang w:val="fr-FR"/>
        </w:rPr>
        <w:t>Taux de scolarisation pondéré des 6-17 ans par milieu de résidence avec IC à 95%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36" w:name="interprétation-3"/>
      <w:bookmarkStart w:id="37" w:name="_Toc225300794"/>
      <w:bookmarkEnd w:id="34"/>
      <w:r w:rsidRPr="00232B46">
        <w:rPr>
          <w:rStyle w:val="SectionNumber"/>
          <w:lang w:val="fr-FR"/>
        </w:rPr>
        <w:lastRenderedPageBreak/>
        <w:t>5.3</w:t>
      </w:r>
      <w:r w:rsidRPr="00232B46">
        <w:rPr>
          <w:lang w:val="fr-FR"/>
        </w:rPr>
        <w:tab/>
        <w:t>Interprétation</w:t>
      </w:r>
      <w:bookmarkEnd w:id="37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Les estimations pondérées confirment un écart significatif de scolarisation entre milieux urbain et rural (test de Rao-Scott : F = 67,43, p &lt; 2,2×10⁻¹⁶). Le taux de scolarisation est plus élevé en milieu urbain qu’en milieu rural. Cet écart illustre les in</w:t>
      </w:r>
      <w:r w:rsidRPr="00232B46">
        <w:rPr>
          <w:lang w:val="fr-FR"/>
        </w:rPr>
        <w:t>égalités d’accès à l’éducation liées à la distance aux établissements scolaires, aux contraintes économiques et à la disponibilité des infrastructures éducatives en milieu rural.</w:t>
      </w:r>
    </w:p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38" w:name="analphabétisme-par-état-nigérian"/>
      <w:bookmarkStart w:id="39" w:name="_Toc225300795"/>
      <w:bookmarkEnd w:id="30"/>
      <w:bookmarkEnd w:id="36"/>
      <w:r w:rsidRPr="00232B46">
        <w:rPr>
          <w:rStyle w:val="SectionNumber"/>
          <w:lang w:val="fr-FR"/>
        </w:rPr>
        <w:t>6</w:t>
      </w:r>
      <w:r w:rsidRPr="00232B46">
        <w:rPr>
          <w:lang w:val="fr-FR"/>
        </w:rPr>
        <w:tab/>
        <w:t>Analphabétisme par État nigérian</w:t>
      </w:r>
      <w:bookmarkEnd w:id="39"/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40" w:name="méthodologie-4"/>
      <w:bookmarkStart w:id="41" w:name="_Toc225300796"/>
      <w:r w:rsidRPr="00232B46">
        <w:rPr>
          <w:rStyle w:val="SectionNumber"/>
          <w:lang w:val="fr-FR"/>
        </w:rPr>
        <w:t>6.1</w:t>
      </w:r>
      <w:r w:rsidRPr="00232B46">
        <w:rPr>
          <w:lang w:val="fr-FR"/>
        </w:rPr>
        <w:tab/>
        <w:t>Méthodologie</w:t>
      </w:r>
      <w:bookmarkEnd w:id="41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 xml:space="preserve">Le taux d’analphabétisme </w:t>
      </w:r>
      <w:r w:rsidRPr="00232B46">
        <w:rPr>
          <w:lang w:val="fr-FR"/>
        </w:rPr>
        <w:t>est calculé comme la proportion pondérée d’adultes de 18 ans et plus ne sachant ni lire ni écrire dans aucune langue (</w:t>
      </w:r>
      <w:r w:rsidRPr="00232B46">
        <w:rPr>
          <w:rStyle w:val="VerbatimChar"/>
          <w:lang w:val="fr-FR"/>
        </w:rPr>
        <w:t>s2aq5 = 2</w:t>
      </w:r>
      <w:r w:rsidRPr="00232B46">
        <w:rPr>
          <w:lang w:val="fr-FR"/>
        </w:rPr>
        <w:t xml:space="preserve">), estimée par </w:t>
      </w:r>
      <w:r w:rsidRPr="00232B46">
        <w:rPr>
          <w:rStyle w:val="VerbatimChar"/>
          <w:lang w:val="fr-FR"/>
        </w:rPr>
        <w:t>svyby</w:t>
      </w:r>
      <w:r w:rsidRPr="00232B46">
        <w:rPr>
          <w:lang w:val="fr-FR"/>
        </w:rPr>
        <w:t>. Les 37 États nigérians sont classés par taux croissant et colorés selon leur quintile d’analphabétisme.</w:t>
      </w:r>
    </w:p>
    <w:p w:rsidR="0015668A" w:rsidRDefault="004D5C97" w:rsidP="00232B46">
      <w:pPr>
        <w:pStyle w:val="Titre2"/>
        <w:jc w:val="both"/>
      </w:pPr>
      <w:bookmarkStart w:id="42" w:name="résultats-4"/>
      <w:bookmarkStart w:id="43" w:name="_Toc225300797"/>
      <w:bookmarkEnd w:id="40"/>
      <w:r>
        <w:rPr>
          <w:rStyle w:val="SectionNumber"/>
        </w:rPr>
        <w:lastRenderedPageBreak/>
        <w:t>6.2</w:t>
      </w:r>
      <w:r>
        <w:tab/>
        <w:t>Résultats</w:t>
      </w:r>
      <w:bookmarkEnd w:id="43"/>
    </w:p>
    <w:p w:rsidR="0015668A" w:rsidRDefault="004D5C97" w:rsidP="00232B46">
      <w:pPr>
        <w:pStyle w:val="CaptionedFigure"/>
        <w:jc w:val="both"/>
      </w:pPr>
      <w:r>
        <w:rPr>
          <w:noProof/>
          <w:lang w:val="fr-FR" w:eastAsia="fr-FR"/>
        </w:rPr>
        <w:drawing>
          <wp:inline distT="0" distB="0" distL="0" distR="0">
            <wp:extent cx="5334000" cy="5334000"/>
            <wp:effectExtent l="0" t="0" r="0" b="0"/>
            <wp:docPr id="53" name="Picture" descr="Taux d’analphabétisme pondéré par État nigérian (adultes 18+)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Picture" descr="TP2_final_files/figure-docx/heatmap-1.png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5334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5668A" w:rsidRPr="00232B46" w:rsidRDefault="004D5C97" w:rsidP="00232B46">
      <w:pPr>
        <w:pStyle w:val="ImageCaption"/>
        <w:jc w:val="both"/>
        <w:rPr>
          <w:lang w:val="fr-FR"/>
        </w:rPr>
      </w:pPr>
      <w:r w:rsidRPr="00232B46">
        <w:rPr>
          <w:lang w:val="fr-FR"/>
        </w:rPr>
        <w:t>Taux d’analphabétisme pondéré par État nigérian (adultes 18+)</w:t>
      </w:r>
    </w:p>
    <w:p w:rsidR="0015668A" w:rsidRPr="00232B46" w:rsidRDefault="004D5C97" w:rsidP="00232B46">
      <w:pPr>
        <w:pStyle w:val="Titre2"/>
        <w:jc w:val="both"/>
        <w:rPr>
          <w:lang w:val="fr-FR"/>
        </w:rPr>
      </w:pPr>
      <w:bookmarkStart w:id="44" w:name="interprétation-4"/>
      <w:bookmarkStart w:id="45" w:name="_Toc225300798"/>
      <w:bookmarkEnd w:id="42"/>
      <w:r w:rsidRPr="00232B46">
        <w:rPr>
          <w:rStyle w:val="SectionNumber"/>
          <w:lang w:val="fr-FR"/>
        </w:rPr>
        <w:t>6.3</w:t>
      </w:r>
      <w:r w:rsidRPr="00232B46">
        <w:rPr>
          <w:lang w:val="fr-FR"/>
        </w:rPr>
        <w:tab/>
        <w:t>Interprétation</w:t>
      </w:r>
      <w:bookmarkEnd w:id="45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 xml:space="preserve">Les estimations pondérées révèlent une fracture géographique Nord/Sud prononcée. L’État de Kebbi enregistre le taux d’analphabétisme le plus élevé (72,5%), suivi </w:t>
      </w:r>
      <w:r w:rsidRPr="00232B46">
        <w:rPr>
          <w:lang w:val="fr-FR"/>
        </w:rPr>
        <w:t>de Niger (60,4%), Borno (55,3%) et Bauchi (50,9%). À l’opposé, les États du Sud affichent des taux inférieurs à 10%. Cet écart de plus de 60 points entre les extrêmes constitue la fracture éducative la plus profonde au Nigeria, reflétant des disparités str</w:t>
      </w:r>
      <w:r w:rsidRPr="00232B46">
        <w:rPr>
          <w:lang w:val="fr-FR"/>
        </w:rPr>
        <w:t>ucturelles héritées dans l’implantation du système éducatif formel.</w:t>
      </w:r>
    </w:p>
    <w:p w:rsidR="0015668A" w:rsidRPr="00232B46" w:rsidRDefault="004D5C97" w:rsidP="00232B46">
      <w:pPr>
        <w:pStyle w:val="Titre1"/>
        <w:jc w:val="both"/>
        <w:rPr>
          <w:lang w:val="fr-FR"/>
        </w:rPr>
      </w:pPr>
      <w:bookmarkStart w:id="46" w:name="conclusion-générale"/>
      <w:bookmarkStart w:id="47" w:name="_Toc225300799"/>
      <w:bookmarkEnd w:id="38"/>
      <w:bookmarkEnd w:id="44"/>
      <w:r w:rsidRPr="00232B46">
        <w:rPr>
          <w:rStyle w:val="SectionNumber"/>
          <w:lang w:val="fr-FR"/>
        </w:rPr>
        <w:lastRenderedPageBreak/>
        <w:t>7</w:t>
      </w:r>
      <w:r w:rsidRPr="00232B46">
        <w:rPr>
          <w:lang w:val="fr-FR"/>
        </w:rPr>
        <w:tab/>
        <w:t>Conclusion générale</w:t>
      </w:r>
      <w:bookmarkEnd w:id="47"/>
    </w:p>
    <w:p w:rsidR="0015668A" w:rsidRPr="00232B46" w:rsidRDefault="004D5C97" w:rsidP="00232B46">
      <w:pPr>
        <w:pStyle w:val="FirstParagraph"/>
        <w:jc w:val="both"/>
        <w:rPr>
          <w:lang w:val="fr-FR"/>
        </w:rPr>
      </w:pPr>
      <w:r w:rsidRPr="00232B46">
        <w:rPr>
          <w:lang w:val="fr-FR"/>
        </w:rPr>
        <w:t>Cette analyse des données d’éducation du GHS Panel Wave 4, basée sur des estimations pondérées représentatives au niveau national, met en évidence cinq résultats maje</w:t>
      </w:r>
      <w:r w:rsidRPr="00232B46">
        <w:rPr>
          <w:lang w:val="fr-FR"/>
        </w:rPr>
        <w:t>urs.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lang w:val="fr-FR"/>
        </w:rPr>
        <w:t>Premièrement, environ 25,9% de la population nigériane de 3 ans et plus n’a aucun niveau d’instruction reconnu, illustrant les défis persistants du système éducatif.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lang w:val="fr-FR"/>
        </w:rPr>
        <w:t xml:space="preserve">Deuxièmement, les inégalités de genre sont significatives (F = 80,10, p &lt; 2,2×10⁻¹⁶) </w:t>
      </w:r>
      <w:r w:rsidRPr="00232B46">
        <w:rPr>
          <w:lang w:val="fr-FR"/>
        </w:rPr>
        <w:t>: les femmes adultes sont surreprésentées sans instruction et sous-représentées aux niveaux secondaire et tertiaire.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lang w:val="fr-FR"/>
        </w:rPr>
        <w:t>Troisièmement, un effet de cohorte générationnel prononcé est documenté (Chi² = 418,7, p &lt; 2,2×10⁻¹⁶) : les 18-30 ans sont significativemen</w:t>
      </w:r>
      <w:r w:rsidRPr="00232B46">
        <w:rPr>
          <w:lang w:val="fr-FR"/>
        </w:rPr>
        <w:t>t mieux éduqués que toutes les cohortes plus âgées.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lang w:val="fr-FR"/>
        </w:rPr>
        <w:t>Quatrièmement, le fossé rural-urbain de scolarisation des 6-17 ans est statistiquement robuste (F = 67,43, p &lt; 2,2×10⁻¹⁶), appelant à des politiques ciblées pour l’éducation en milieu rural.</w:t>
      </w:r>
    </w:p>
    <w:p w:rsidR="0015668A" w:rsidRPr="00232B46" w:rsidRDefault="004D5C97" w:rsidP="00232B46">
      <w:pPr>
        <w:pStyle w:val="Corpsdetexte"/>
        <w:jc w:val="both"/>
        <w:rPr>
          <w:lang w:val="fr-FR"/>
        </w:rPr>
      </w:pPr>
      <w:r w:rsidRPr="00232B46">
        <w:rPr>
          <w:lang w:val="fr-FR"/>
        </w:rPr>
        <w:t>Cinquièmement</w:t>
      </w:r>
      <w:r w:rsidRPr="00232B46">
        <w:rPr>
          <w:lang w:val="fr-FR"/>
        </w:rPr>
        <w:t>, la fracture géographique Nord/Sud constitue l’inégalité la plus profonde, avec des taux d’analphabétisme allant de moins de 5% dans les États du Sud à plus de 70% dans certains États du Nord.</w:t>
      </w:r>
      <w:bookmarkEnd w:id="46"/>
    </w:p>
    <w:sectPr w:rsidR="0015668A" w:rsidRPr="00232B46">
      <w:headerReference w:type="even" r:id="rId12"/>
      <w:headerReference w:type="default" r:id="rId13"/>
      <w:footerReference w:type="even" r:id="rId14"/>
      <w:footerReference w:type="default" r:id="rId15"/>
      <w:headerReference w:type="first" r:id="rId16"/>
      <w:footerReference w:type="first" r:id="rId17"/>
      <w:pgSz w:w="12240" w:h="15840"/>
      <w:pgMar w:top="1417" w:right="1417" w:bottom="1417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4D5C97" w:rsidRDefault="004D5C97" w:rsidP="00232B46">
      <w:pPr>
        <w:spacing w:after="0"/>
      </w:pPr>
      <w:r>
        <w:separator/>
      </w:r>
    </w:p>
  </w:endnote>
  <w:endnote w:type="continuationSeparator" w:id="0">
    <w:p w:rsidR="004D5C97" w:rsidRDefault="004D5C97" w:rsidP="00232B4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B46" w:rsidRDefault="00232B46">
    <w:pPr>
      <w:pStyle w:val="Pieddepag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995767621"/>
      <w:docPartObj>
        <w:docPartGallery w:val="Page Numbers (Bottom of Page)"/>
        <w:docPartUnique/>
      </w:docPartObj>
    </w:sdtPr>
    <w:sdtContent>
      <w:bookmarkStart w:id="48" w:name="_GoBack" w:displacedByCustomXml="prev"/>
      <w:bookmarkEnd w:id="48" w:displacedByCustomXml="prev"/>
      <w:p w:rsidR="00232B46" w:rsidRDefault="00232B46">
        <w:pPr>
          <w:pStyle w:val="Pieddepage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232B46">
          <w:rPr>
            <w:noProof/>
            <w:lang w:val="fr-FR"/>
          </w:rPr>
          <w:t>9</w:t>
        </w:r>
        <w:r>
          <w:fldChar w:fldCharType="end"/>
        </w:r>
      </w:p>
    </w:sdtContent>
  </w:sdt>
  <w:p w:rsidR="00232B46" w:rsidRDefault="00232B46">
    <w:pPr>
      <w:pStyle w:val="Pieddepage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B46" w:rsidRDefault="00232B46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4D5C97" w:rsidRDefault="004D5C97" w:rsidP="00232B46">
      <w:pPr>
        <w:spacing w:after="0"/>
      </w:pPr>
      <w:r>
        <w:separator/>
      </w:r>
    </w:p>
  </w:footnote>
  <w:footnote w:type="continuationSeparator" w:id="0">
    <w:p w:rsidR="004D5C97" w:rsidRDefault="004D5C97" w:rsidP="00232B46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B46" w:rsidRDefault="00232B46">
    <w:pPr>
      <w:pStyle w:val="En-tt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B46" w:rsidRDefault="00232B46">
    <w:pPr>
      <w:pStyle w:val="En-tte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2B46" w:rsidRDefault="00232B46">
    <w:pPr>
      <w:pStyle w:val="En-tt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A990"/>
    <w:multiLevelType w:val="multilevel"/>
    <w:tmpl w:val="1CC6196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15668A"/>
    <w:rsid w:val="0015668A"/>
    <w:rsid w:val="00232B46"/>
    <w:rsid w:val="004D5C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docId w15:val="{15D21A21-B108-44D8-9E31-36D4D865FC0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Corpsdetexte"/>
    <w:link w:val="Titre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Corpsdetexte"/>
    <w:link w:val="Titre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Corpsdetexte"/>
    <w:link w:val="Titre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Corpsdetexte"/>
    <w:link w:val="Titre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Corpsdetexte"/>
    <w:link w:val="Titre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Corpsdetexte"/>
    <w:link w:val="Titre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Corpsdetexte"/>
    <w:link w:val="Titre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Corpsdetexte"/>
    <w:link w:val="Titre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Corpsdetexte"/>
    <w:link w:val="Titre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Corpsdetex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sdetexte"/>
    <w:next w:val="Corpsdetexte"/>
    <w:qFormat/>
  </w:style>
  <w:style w:type="paragraph" w:customStyle="1" w:styleId="Compact">
    <w:name w:val="Compact"/>
    <w:basedOn w:val="Corpsdetexte"/>
    <w:qFormat/>
    <w:pPr>
      <w:spacing w:before="36" w:after="36"/>
    </w:pPr>
  </w:style>
  <w:style w:type="paragraph" w:styleId="Titre">
    <w:name w:val="Title"/>
    <w:basedOn w:val="Normal"/>
    <w:next w:val="Corpsdetexte"/>
    <w:link w:val="Titre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Corpsdetexte"/>
    <w:link w:val="Sous-titreCar"/>
    <w:uiPriority w:val="11"/>
    <w:qFormat/>
    <w:rsid w:val="00A10F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Corpsdetexte"/>
    <w:qFormat/>
    <w:pPr>
      <w:keepNext/>
      <w:keepLines/>
      <w:jc w:val="center"/>
    </w:pPr>
  </w:style>
  <w:style w:type="paragraph" w:styleId="Date">
    <w:name w:val="Date"/>
    <w:next w:val="Corpsdetex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Corpsdetexte"/>
    <w:qFormat/>
    <w:pPr>
      <w:keepNext/>
      <w:keepLines/>
      <w:spacing w:before="100" w:after="300"/>
    </w:pPr>
    <w:rPr>
      <w:sz w:val="20"/>
      <w:szCs w:val="20"/>
    </w:rPr>
  </w:style>
  <w:style w:type="paragraph" w:styleId="Bibliographie">
    <w:name w:val="Bibliography"/>
    <w:basedOn w:val="Normal"/>
    <w:qFormat/>
  </w:style>
  <w:style w:type="character" w:customStyle="1" w:styleId="Titre1Car">
    <w:name w:val="Titre 1 Car"/>
    <w:basedOn w:val="Policepardfaut"/>
    <w:link w:val="Titre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Normalcentr">
    <w:name w:val="Block Text"/>
    <w:basedOn w:val="Corpsdetexte"/>
    <w:next w:val="Corpsdetexte"/>
    <w:uiPriority w:val="9"/>
    <w:unhideWhenUsed/>
    <w:qFormat/>
    <w:pPr>
      <w:spacing w:before="100" w:after="100"/>
      <w:ind w:left="480" w:right="480"/>
    </w:pPr>
  </w:style>
  <w:style w:type="paragraph" w:styleId="Notedebasdepag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Notedebasdepage"/>
    <w:next w:val="Notedebasdepag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gende">
    <w:name w:val="caption"/>
    <w:basedOn w:val="Normal"/>
    <w:link w:val="LgendeCar"/>
    <w:pPr>
      <w:spacing w:after="120"/>
    </w:pPr>
    <w:rPr>
      <w:i/>
    </w:rPr>
  </w:style>
  <w:style w:type="paragraph" w:customStyle="1" w:styleId="TableCaption">
    <w:name w:val="Table Caption"/>
    <w:basedOn w:val="Lgende"/>
    <w:pPr>
      <w:keepNext/>
    </w:pPr>
  </w:style>
  <w:style w:type="paragraph" w:customStyle="1" w:styleId="ImageCaption">
    <w:name w:val="Image Caption"/>
    <w:basedOn w:val="Lgende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gendeCar">
    <w:name w:val="Légende Car"/>
    <w:basedOn w:val="Policepardfaut"/>
    <w:link w:val="Lgende"/>
  </w:style>
  <w:style w:type="character" w:customStyle="1" w:styleId="VerbatimChar">
    <w:name w:val="Verbatim Char"/>
    <w:basedOn w:val="Lgende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gendeCar"/>
  </w:style>
  <w:style w:type="character" w:styleId="Appelnotedebasdep">
    <w:name w:val="footnote reference"/>
    <w:basedOn w:val="LgendeCar"/>
    <w:rPr>
      <w:vertAlign w:val="superscript"/>
    </w:rPr>
  </w:style>
  <w:style w:type="character" w:styleId="Lienhypertexte">
    <w:name w:val="Hyperlink"/>
    <w:basedOn w:val="LgendeCar"/>
    <w:uiPriority w:val="99"/>
    <w:rPr>
      <w:color w:val="156082" w:themeColor="accent1"/>
    </w:rPr>
  </w:style>
  <w:style w:type="paragraph" w:styleId="En-ttedetabledesmatires">
    <w:name w:val="TOC Heading"/>
    <w:basedOn w:val="Titre1"/>
    <w:next w:val="Corpsdetex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shd w:val="clear" w:color="auto" w:fill="F8F8F8"/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DataTypeTok">
    <w:name w:val="DataTyp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DecValTok">
    <w:name w:val="DecVal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BaseNTok">
    <w:name w:val="BaseN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FloatTok">
    <w:name w:val="FloatTok"/>
    <w:basedOn w:val="VerbatimChar"/>
    <w:rPr>
      <w:rFonts w:ascii="Consolas" w:hAnsi="Consolas"/>
      <w:color w:val="0000CF"/>
      <w:sz w:val="22"/>
      <w:shd w:val="clear" w:color="auto" w:fill="F8F8F8"/>
    </w:rPr>
  </w:style>
  <w:style w:type="character" w:customStyle="1" w:styleId="ConstantTok">
    <w:name w:val="Constant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CharTok">
    <w:name w:val="Char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CharTok">
    <w:name w:val="SpecialCha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StringTok">
    <w:name w:val="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VerbatimStringTok">
    <w:name w:val="Verbatim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SpecialStringTok">
    <w:name w:val="SpecialStringTok"/>
    <w:basedOn w:val="VerbatimChar"/>
    <w:rPr>
      <w:rFonts w:ascii="Consolas" w:hAnsi="Consolas"/>
      <w:color w:val="4E9A06"/>
      <w:sz w:val="22"/>
      <w:shd w:val="clear" w:color="auto" w:fill="F8F8F8"/>
    </w:rPr>
  </w:style>
  <w:style w:type="character" w:customStyle="1" w:styleId="ImportTok">
    <w:name w:val="Import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CommentTok">
    <w:name w:val="Comment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DocumentationTok">
    <w:name w:val="Documen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OtherTok">
    <w:name w:val="OtherTok"/>
    <w:basedOn w:val="VerbatimChar"/>
    <w:rPr>
      <w:rFonts w:ascii="Consolas" w:hAnsi="Consolas"/>
      <w:color w:val="8F5902"/>
      <w:sz w:val="22"/>
      <w:shd w:val="clear" w:color="auto" w:fill="F8F8F8"/>
    </w:rPr>
  </w:style>
  <w:style w:type="character" w:customStyle="1" w:styleId="FunctionTok">
    <w:name w:val="Function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VariableTok">
    <w:name w:val="VariableTok"/>
    <w:basedOn w:val="VerbatimChar"/>
    <w:rPr>
      <w:rFonts w:ascii="Consolas" w:hAnsi="Consolas"/>
      <w:color w:val="000000"/>
      <w:sz w:val="22"/>
      <w:shd w:val="clear" w:color="auto" w:fill="F8F8F8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204A87"/>
      <w:sz w:val="22"/>
      <w:shd w:val="clear" w:color="auto" w:fill="F8F8F8"/>
    </w:rPr>
  </w:style>
  <w:style w:type="character" w:customStyle="1" w:styleId="OperatorTok">
    <w:name w:val="OperatorTok"/>
    <w:basedOn w:val="VerbatimChar"/>
    <w:rPr>
      <w:rFonts w:ascii="Consolas" w:hAnsi="Consolas"/>
      <w:b/>
      <w:color w:val="CE5C00"/>
      <w:sz w:val="22"/>
      <w:shd w:val="clear" w:color="auto" w:fill="F8F8F8"/>
    </w:rPr>
  </w:style>
  <w:style w:type="character" w:customStyle="1" w:styleId="BuiltInTok">
    <w:name w:val="BuiltI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ExtensionTok">
    <w:name w:val="Extension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PreprocessorTok">
    <w:name w:val="PreprocessorTok"/>
    <w:basedOn w:val="VerbatimChar"/>
    <w:rPr>
      <w:rFonts w:ascii="Consolas" w:hAnsi="Consolas"/>
      <w:i/>
      <w:color w:val="8F5902"/>
      <w:sz w:val="22"/>
      <w:shd w:val="clear" w:color="auto" w:fill="F8F8F8"/>
    </w:rPr>
  </w:style>
  <w:style w:type="character" w:customStyle="1" w:styleId="AttributeTok">
    <w:name w:val="AttributeTok"/>
    <w:basedOn w:val="VerbatimChar"/>
    <w:rPr>
      <w:rFonts w:ascii="Consolas" w:hAnsi="Consolas"/>
      <w:color w:val="204A87"/>
      <w:sz w:val="22"/>
      <w:shd w:val="clear" w:color="auto" w:fill="F8F8F8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  <w:shd w:val="clear" w:color="auto" w:fill="F8F8F8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8F5902"/>
      <w:sz w:val="22"/>
      <w:shd w:val="clear" w:color="auto" w:fill="F8F8F8"/>
    </w:rPr>
  </w:style>
  <w:style w:type="character" w:customStyle="1" w:styleId="AlertTok">
    <w:name w:val="AlertTok"/>
    <w:basedOn w:val="VerbatimChar"/>
    <w:rPr>
      <w:rFonts w:ascii="Consolas" w:hAnsi="Consolas"/>
      <w:color w:val="EF2929"/>
      <w:sz w:val="22"/>
      <w:shd w:val="clear" w:color="auto" w:fill="F8F8F8"/>
    </w:rPr>
  </w:style>
  <w:style w:type="character" w:customStyle="1" w:styleId="ErrorTok">
    <w:name w:val="ErrorTok"/>
    <w:basedOn w:val="VerbatimChar"/>
    <w:rPr>
      <w:rFonts w:ascii="Consolas" w:hAnsi="Consolas"/>
      <w:b/>
      <w:color w:val="A40000"/>
      <w:sz w:val="22"/>
      <w:shd w:val="clear" w:color="auto" w:fill="F8F8F8"/>
    </w:rPr>
  </w:style>
  <w:style w:type="character" w:customStyle="1" w:styleId="NormalTok">
    <w:name w:val="NormalTok"/>
    <w:basedOn w:val="VerbatimChar"/>
    <w:rPr>
      <w:rFonts w:ascii="Consolas" w:hAnsi="Consolas"/>
      <w:sz w:val="22"/>
      <w:shd w:val="clear" w:color="auto" w:fill="F8F8F8"/>
    </w:rPr>
  </w:style>
  <w:style w:type="paragraph" w:styleId="TM1">
    <w:name w:val="toc 1"/>
    <w:basedOn w:val="Normal"/>
    <w:next w:val="Normal"/>
    <w:autoRedefine/>
    <w:uiPriority w:val="39"/>
    <w:unhideWhenUsed/>
    <w:rsid w:val="00232B46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232B46"/>
    <w:pPr>
      <w:spacing w:after="100"/>
      <w:ind w:left="240"/>
    </w:pPr>
  </w:style>
  <w:style w:type="paragraph" w:styleId="En-tte">
    <w:name w:val="header"/>
    <w:basedOn w:val="Normal"/>
    <w:link w:val="En-tteCar"/>
    <w:unhideWhenUsed/>
    <w:rsid w:val="00232B46"/>
    <w:pPr>
      <w:tabs>
        <w:tab w:val="center" w:pos="4536"/>
        <w:tab w:val="right" w:pos="9072"/>
      </w:tabs>
      <w:spacing w:after="0"/>
    </w:pPr>
  </w:style>
  <w:style w:type="character" w:customStyle="1" w:styleId="En-tteCar">
    <w:name w:val="En-tête Car"/>
    <w:basedOn w:val="Policepardfaut"/>
    <w:link w:val="En-tte"/>
    <w:rsid w:val="00232B46"/>
  </w:style>
  <w:style w:type="paragraph" w:styleId="Pieddepage">
    <w:name w:val="footer"/>
    <w:basedOn w:val="Normal"/>
    <w:link w:val="PieddepageCar"/>
    <w:uiPriority w:val="99"/>
    <w:unhideWhenUsed/>
    <w:rsid w:val="00232B46"/>
    <w:pPr>
      <w:tabs>
        <w:tab w:val="center" w:pos="4536"/>
        <w:tab w:val="right" w:pos="9072"/>
      </w:tabs>
      <w:spacing w:after="0"/>
    </w:pPr>
  </w:style>
  <w:style w:type="character" w:customStyle="1" w:styleId="PieddepageCar">
    <w:name w:val="Pied de page Car"/>
    <w:basedOn w:val="Policepardfaut"/>
    <w:link w:val="Pieddepage"/>
    <w:uiPriority w:val="99"/>
    <w:rsid w:val="00232B4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2.xm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17" Type="http://schemas.openxmlformats.org/officeDocument/2006/relationships/footer" Target="footer3.xml"/><Relationship Id="rId2" Type="http://schemas.openxmlformats.org/officeDocument/2006/relationships/styles" Target="styles.xml"/><Relationship Id="rId16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9</Pages>
  <Words>1860</Words>
  <Characters>10232</Characters>
  <Application>Microsoft Office Word</Application>
  <DocSecurity>0</DocSecurity>
  <Lines>85</Lines>
  <Paragraphs>24</Paragraphs>
  <ScaleCrop>false</ScaleCrop>
  <Company/>
  <LinksUpToDate>false</LinksUpToDate>
  <CharactersWithSpaces>12068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Éducation et alphabétisation des membres des ménages nigérians</dc:title>
  <dc:creator>DIOP Marème, KANE Boubacar</dc:creator>
  <cp:keywords/>
  <cp:lastModifiedBy>SURFACE LAPTOP 2</cp:lastModifiedBy>
  <cp:revision>2</cp:revision>
  <dcterms:created xsi:type="dcterms:W3CDTF">2026-03-25T03:12:00Z</dcterms:created>
  <dcterms:modified xsi:type="dcterms:W3CDTF">2026-03-25T03:13:00Z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2026-03-25</vt:lpwstr>
  </property>
  <property fmtid="{D5CDD505-2E9C-101B-9397-08002B2CF9AE}" pid="3" name="output">
    <vt:lpwstr/>
  </property>
  <property fmtid="{D5CDD505-2E9C-101B-9397-08002B2CF9AE}" pid="4" name="subtitle">
    <vt:lpwstr>Nigeria General Household Survey Panel — Wave 4 (2018)</vt:lpwstr>
  </property>
</Properties>
</file>