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6415C" w14:textId="77777777" w:rsidR="00DF443C" w:rsidRDefault="005376F7">
      <w:pPr>
        <w:pStyle w:val="Titre"/>
      </w:pPr>
      <w:r>
        <w:t>Cultures pratiquées, intrants utilisés et rendements agricoles</w:t>
      </w:r>
    </w:p>
    <w:p w14:paraId="133651B9" w14:textId="77777777" w:rsidR="00DF443C" w:rsidRDefault="005376F7">
      <w:pPr>
        <w:pStyle w:val="Sous-titre"/>
      </w:pPr>
      <w:r>
        <w:t>Nigeria General Household Survey Panel — Wave 4 (2018-2019)</w:t>
      </w:r>
    </w:p>
    <w:p w14:paraId="25E9DDE1" w14:textId="77777777" w:rsidR="00DF443C" w:rsidRDefault="005376F7">
      <w:pPr>
        <w:pStyle w:val="Author"/>
      </w:pPr>
      <w:r>
        <w:t>Nkwa T. Leslye &amp; Ouattara Ousmane | ENSAE ISE1 2025-2026</w:t>
      </w:r>
    </w:p>
    <w:p w14:paraId="17F1D902" w14:textId="77777777" w:rsidR="00DF443C" w:rsidRDefault="005376F7">
      <w:pPr>
        <w:pStyle w:val="Date"/>
      </w:pPr>
      <w:r>
        <w:t>17 avril 2026</w:t>
      </w:r>
    </w:p>
    <w:sdt>
      <w:sdtPr>
        <w:rPr>
          <w:rFonts w:eastAsiaTheme="minorHAnsi" w:cstheme="minorBidi"/>
          <w:b w:val="0"/>
          <w:color w:val="auto"/>
          <w:sz w:val="24"/>
          <w:szCs w:val="24"/>
        </w:rPr>
        <w:id w:val="-1450397562"/>
        <w:docPartObj>
          <w:docPartGallery w:val="Table of Contents"/>
          <w:docPartUnique/>
        </w:docPartObj>
      </w:sdtPr>
      <w:sdtEndPr/>
      <w:sdtContent>
        <w:p w14:paraId="341ED428" w14:textId="77777777" w:rsidR="00DF443C" w:rsidRDefault="005376F7">
          <w:pPr>
            <w:pStyle w:val="En-ttedetabledesmatires"/>
          </w:pPr>
          <w:r>
            <w:t>Table of Contents</w:t>
          </w:r>
        </w:p>
        <w:p w14:paraId="1DBDBF60" w14:textId="77777777" w:rsidR="00CC1C81" w:rsidRDefault="005376F7">
          <w:pPr>
            <w:pStyle w:val="TM1"/>
            <w:tabs>
              <w:tab w:val="left" w:pos="440"/>
              <w:tab w:val="right" w:leader="dot" w:pos="9350"/>
            </w:tabs>
            <w:rPr>
              <w:rFonts w:asciiTheme="minorHAnsi" w:eastAsiaTheme="minorEastAsia" w:hAnsiTheme="minorHAnsi"/>
              <w:noProof/>
              <w:sz w:val="22"/>
              <w:szCs w:val="22"/>
              <w:lang w:val="fr-FR" w:eastAsia="fr-FR"/>
            </w:rPr>
          </w:pPr>
          <w:r>
            <w:fldChar w:fldCharType="begin"/>
          </w:r>
          <w:r>
            <w:instrText>TOC \o "1-2" \h \z \u</w:instrText>
          </w:r>
          <w:r>
            <w:fldChar w:fldCharType="separate"/>
          </w:r>
          <w:hyperlink w:anchor="_Toc227362185" w:history="1">
            <w:r w:rsidR="00CC1C81" w:rsidRPr="00FE6914">
              <w:rPr>
                <w:rStyle w:val="Lienhypertexte"/>
                <w:noProof/>
              </w:rPr>
              <w:t>1</w:t>
            </w:r>
            <w:r w:rsidR="00CC1C81">
              <w:rPr>
                <w:rFonts w:asciiTheme="minorHAnsi" w:eastAsiaTheme="minorEastAsia" w:hAnsiTheme="minorHAnsi"/>
                <w:noProof/>
                <w:sz w:val="22"/>
                <w:szCs w:val="22"/>
                <w:lang w:val="fr-FR" w:eastAsia="fr-FR"/>
              </w:rPr>
              <w:tab/>
            </w:r>
            <w:r w:rsidR="00CC1C81" w:rsidRPr="00FE6914">
              <w:rPr>
                <w:rStyle w:val="Lienhypertexte"/>
                <w:noProof/>
              </w:rPr>
              <w:t>Messages clés</w:t>
            </w:r>
            <w:r w:rsidR="00CC1C81">
              <w:rPr>
                <w:noProof/>
                <w:webHidden/>
              </w:rPr>
              <w:tab/>
            </w:r>
            <w:r w:rsidR="00CC1C81">
              <w:rPr>
                <w:noProof/>
                <w:webHidden/>
              </w:rPr>
              <w:fldChar w:fldCharType="begin"/>
            </w:r>
            <w:r w:rsidR="00CC1C81">
              <w:rPr>
                <w:noProof/>
                <w:webHidden/>
              </w:rPr>
              <w:instrText xml:space="preserve"> PAGEREF _Toc227362185 \h </w:instrText>
            </w:r>
            <w:r w:rsidR="00CC1C81">
              <w:rPr>
                <w:noProof/>
                <w:webHidden/>
              </w:rPr>
            </w:r>
            <w:r w:rsidR="00CC1C81">
              <w:rPr>
                <w:noProof/>
                <w:webHidden/>
              </w:rPr>
              <w:fldChar w:fldCharType="separate"/>
            </w:r>
            <w:r w:rsidR="00CC1C81">
              <w:rPr>
                <w:noProof/>
                <w:webHidden/>
              </w:rPr>
              <w:t>2</w:t>
            </w:r>
            <w:r w:rsidR="00CC1C81">
              <w:rPr>
                <w:noProof/>
                <w:webHidden/>
              </w:rPr>
              <w:fldChar w:fldCharType="end"/>
            </w:r>
          </w:hyperlink>
        </w:p>
        <w:p w14:paraId="13638C3C" w14:textId="77777777" w:rsidR="00CC1C81" w:rsidRDefault="00CC1C81">
          <w:pPr>
            <w:pStyle w:val="TM1"/>
            <w:tabs>
              <w:tab w:val="left" w:pos="440"/>
              <w:tab w:val="right" w:leader="dot" w:pos="9350"/>
            </w:tabs>
            <w:rPr>
              <w:rFonts w:asciiTheme="minorHAnsi" w:eastAsiaTheme="minorEastAsia" w:hAnsiTheme="minorHAnsi"/>
              <w:noProof/>
              <w:sz w:val="22"/>
              <w:szCs w:val="22"/>
              <w:lang w:val="fr-FR" w:eastAsia="fr-FR"/>
            </w:rPr>
          </w:pPr>
          <w:hyperlink w:anchor="_Toc227362186" w:history="1">
            <w:r w:rsidRPr="00FE6914">
              <w:rPr>
                <w:rStyle w:val="Lienhypertexte"/>
                <w:noProof/>
              </w:rPr>
              <w:t>2</w:t>
            </w:r>
            <w:r>
              <w:rPr>
                <w:rFonts w:asciiTheme="minorHAnsi" w:eastAsiaTheme="minorEastAsia" w:hAnsiTheme="minorHAnsi"/>
                <w:noProof/>
                <w:sz w:val="22"/>
                <w:szCs w:val="22"/>
                <w:lang w:val="fr-FR" w:eastAsia="fr-FR"/>
              </w:rPr>
              <w:tab/>
            </w:r>
            <w:r w:rsidRPr="00FE6914">
              <w:rPr>
                <w:rStyle w:val="Lienhypertexte"/>
                <w:noProof/>
              </w:rPr>
              <w:t>Introduction</w:t>
            </w:r>
            <w:r>
              <w:rPr>
                <w:noProof/>
                <w:webHidden/>
              </w:rPr>
              <w:tab/>
            </w:r>
            <w:r>
              <w:rPr>
                <w:noProof/>
                <w:webHidden/>
              </w:rPr>
              <w:fldChar w:fldCharType="begin"/>
            </w:r>
            <w:r>
              <w:rPr>
                <w:noProof/>
                <w:webHidden/>
              </w:rPr>
              <w:instrText xml:space="preserve"> PAGEREF _Toc227362186 \h </w:instrText>
            </w:r>
            <w:r>
              <w:rPr>
                <w:noProof/>
                <w:webHidden/>
              </w:rPr>
            </w:r>
            <w:r>
              <w:rPr>
                <w:noProof/>
                <w:webHidden/>
              </w:rPr>
              <w:fldChar w:fldCharType="separate"/>
            </w:r>
            <w:r>
              <w:rPr>
                <w:noProof/>
                <w:webHidden/>
              </w:rPr>
              <w:t>2</w:t>
            </w:r>
            <w:r>
              <w:rPr>
                <w:noProof/>
                <w:webHidden/>
              </w:rPr>
              <w:fldChar w:fldCharType="end"/>
            </w:r>
          </w:hyperlink>
        </w:p>
        <w:p w14:paraId="6D07A2C6" w14:textId="77777777" w:rsidR="00CC1C81" w:rsidRDefault="00CC1C81">
          <w:pPr>
            <w:pStyle w:val="TM1"/>
            <w:tabs>
              <w:tab w:val="left" w:pos="440"/>
              <w:tab w:val="right" w:leader="dot" w:pos="9350"/>
            </w:tabs>
            <w:rPr>
              <w:rFonts w:asciiTheme="minorHAnsi" w:eastAsiaTheme="minorEastAsia" w:hAnsiTheme="minorHAnsi"/>
              <w:noProof/>
              <w:sz w:val="22"/>
              <w:szCs w:val="22"/>
              <w:lang w:val="fr-FR" w:eastAsia="fr-FR"/>
            </w:rPr>
          </w:pPr>
          <w:hyperlink w:anchor="_Toc227362187" w:history="1">
            <w:r w:rsidRPr="00FE6914">
              <w:rPr>
                <w:rStyle w:val="Lienhypertexte"/>
                <w:noProof/>
              </w:rPr>
              <w:t>3</w:t>
            </w:r>
            <w:r>
              <w:rPr>
                <w:rFonts w:asciiTheme="minorHAnsi" w:eastAsiaTheme="minorEastAsia" w:hAnsiTheme="minorHAnsi"/>
                <w:noProof/>
                <w:sz w:val="22"/>
                <w:szCs w:val="22"/>
                <w:lang w:val="fr-FR" w:eastAsia="fr-FR"/>
              </w:rPr>
              <w:tab/>
            </w:r>
            <w:r w:rsidRPr="00FE6914">
              <w:rPr>
                <w:rStyle w:val="Lienhypertexte"/>
                <w:noProof/>
              </w:rPr>
              <w:t>Données et méthodologie</w:t>
            </w:r>
            <w:r>
              <w:rPr>
                <w:noProof/>
                <w:webHidden/>
              </w:rPr>
              <w:tab/>
            </w:r>
            <w:r>
              <w:rPr>
                <w:noProof/>
                <w:webHidden/>
              </w:rPr>
              <w:fldChar w:fldCharType="begin"/>
            </w:r>
            <w:r>
              <w:rPr>
                <w:noProof/>
                <w:webHidden/>
              </w:rPr>
              <w:instrText xml:space="preserve"> PAGEREF _Toc227362187 \h </w:instrText>
            </w:r>
            <w:r>
              <w:rPr>
                <w:noProof/>
                <w:webHidden/>
              </w:rPr>
            </w:r>
            <w:r>
              <w:rPr>
                <w:noProof/>
                <w:webHidden/>
              </w:rPr>
              <w:fldChar w:fldCharType="separate"/>
            </w:r>
            <w:r>
              <w:rPr>
                <w:noProof/>
                <w:webHidden/>
              </w:rPr>
              <w:t>3</w:t>
            </w:r>
            <w:r>
              <w:rPr>
                <w:noProof/>
                <w:webHidden/>
              </w:rPr>
              <w:fldChar w:fldCharType="end"/>
            </w:r>
          </w:hyperlink>
        </w:p>
        <w:p w14:paraId="58FC82FC" w14:textId="77777777" w:rsidR="00CC1C81" w:rsidRDefault="00CC1C81">
          <w:pPr>
            <w:pStyle w:val="TM2"/>
            <w:tabs>
              <w:tab w:val="left" w:pos="880"/>
              <w:tab w:val="right" w:leader="dot" w:pos="9350"/>
            </w:tabs>
            <w:rPr>
              <w:rFonts w:asciiTheme="minorHAnsi" w:eastAsiaTheme="minorEastAsia" w:hAnsiTheme="minorHAnsi"/>
              <w:noProof/>
              <w:sz w:val="22"/>
              <w:szCs w:val="22"/>
              <w:lang w:val="fr-FR" w:eastAsia="fr-FR"/>
            </w:rPr>
          </w:pPr>
          <w:hyperlink w:anchor="_Toc227362188" w:history="1">
            <w:r w:rsidRPr="00FE6914">
              <w:rPr>
                <w:rStyle w:val="Lienhypertexte"/>
                <w:noProof/>
              </w:rPr>
              <w:t>3.1</w:t>
            </w:r>
            <w:r>
              <w:rPr>
                <w:rFonts w:asciiTheme="minorHAnsi" w:eastAsiaTheme="minorEastAsia" w:hAnsiTheme="minorHAnsi"/>
                <w:noProof/>
                <w:sz w:val="22"/>
                <w:szCs w:val="22"/>
                <w:lang w:val="fr-FR" w:eastAsia="fr-FR"/>
              </w:rPr>
              <w:tab/>
            </w:r>
            <w:r w:rsidRPr="00FE6914">
              <w:rPr>
                <w:rStyle w:val="Lienhypertexte"/>
                <w:noProof/>
              </w:rPr>
              <w:t>Fichiers mobilisés</w:t>
            </w:r>
            <w:r>
              <w:rPr>
                <w:noProof/>
                <w:webHidden/>
              </w:rPr>
              <w:tab/>
            </w:r>
            <w:r>
              <w:rPr>
                <w:noProof/>
                <w:webHidden/>
              </w:rPr>
              <w:fldChar w:fldCharType="begin"/>
            </w:r>
            <w:r>
              <w:rPr>
                <w:noProof/>
                <w:webHidden/>
              </w:rPr>
              <w:instrText xml:space="preserve"> PAGEREF _Toc227362188 \h </w:instrText>
            </w:r>
            <w:r>
              <w:rPr>
                <w:noProof/>
                <w:webHidden/>
              </w:rPr>
            </w:r>
            <w:r>
              <w:rPr>
                <w:noProof/>
                <w:webHidden/>
              </w:rPr>
              <w:fldChar w:fldCharType="separate"/>
            </w:r>
            <w:r>
              <w:rPr>
                <w:noProof/>
                <w:webHidden/>
              </w:rPr>
              <w:t>3</w:t>
            </w:r>
            <w:r>
              <w:rPr>
                <w:noProof/>
                <w:webHidden/>
              </w:rPr>
              <w:fldChar w:fldCharType="end"/>
            </w:r>
          </w:hyperlink>
        </w:p>
        <w:p w14:paraId="6A39DD87" w14:textId="77777777" w:rsidR="00CC1C81" w:rsidRDefault="00CC1C81">
          <w:pPr>
            <w:pStyle w:val="TM2"/>
            <w:tabs>
              <w:tab w:val="left" w:pos="880"/>
              <w:tab w:val="right" w:leader="dot" w:pos="9350"/>
            </w:tabs>
            <w:rPr>
              <w:rFonts w:asciiTheme="minorHAnsi" w:eastAsiaTheme="minorEastAsia" w:hAnsiTheme="minorHAnsi"/>
              <w:noProof/>
              <w:sz w:val="22"/>
              <w:szCs w:val="22"/>
              <w:lang w:val="fr-FR" w:eastAsia="fr-FR"/>
            </w:rPr>
          </w:pPr>
          <w:hyperlink w:anchor="_Toc227362189" w:history="1">
            <w:r w:rsidRPr="00FE6914">
              <w:rPr>
                <w:rStyle w:val="Lienhypertexte"/>
                <w:noProof/>
              </w:rPr>
              <w:t>3.2</w:t>
            </w:r>
            <w:r>
              <w:rPr>
                <w:rFonts w:asciiTheme="minorHAnsi" w:eastAsiaTheme="minorEastAsia" w:hAnsiTheme="minorHAnsi"/>
                <w:noProof/>
                <w:sz w:val="22"/>
                <w:szCs w:val="22"/>
                <w:lang w:val="fr-FR" w:eastAsia="fr-FR"/>
              </w:rPr>
              <w:tab/>
            </w:r>
            <w:r w:rsidRPr="00FE6914">
              <w:rPr>
                <w:rStyle w:val="Lienhypertexte"/>
                <w:noProof/>
              </w:rPr>
              <w:t>Construction des variables analytiques</w:t>
            </w:r>
            <w:r>
              <w:rPr>
                <w:noProof/>
                <w:webHidden/>
              </w:rPr>
              <w:tab/>
            </w:r>
            <w:r>
              <w:rPr>
                <w:noProof/>
                <w:webHidden/>
              </w:rPr>
              <w:fldChar w:fldCharType="begin"/>
            </w:r>
            <w:r>
              <w:rPr>
                <w:noProof/>
                <w:webHidden/>
              </w:rPr>
              <w:instrText xml:space="preserve"> PAGEREF _Toc227362189 \h </w:instrText>
            </w:r>
            <w:r>
              <w:rPr>
                <w:noProof/>
                <w:webHidden/>
              </w:rPr>
            </w:r>
            <w:r>
              <w:rPr>
                <w:noProof/>
                <w:webHidden/>
              </w:rPr>
              <w:fldChar w:fldCharType="separate"/>
            </w:r>
            <w:r>
              <w:rPr>
                <w:noProof/>
                <w:webHidden/>
              </w:rPr>
              <w:t>4</w:t>
            </w:r>
            <w:r>
              <w:rPr>
                <w:noProof/>
                <w:webHidden/>
              </w:rPr>
              <w:fldChar w:fldCharType="end"/>
            </w:r>
          </w:hyperlink>
        </w:p>
        <w:p w14:paraId="48F47808" w14:textId="77777777" w:rsidR="00CC1C81" w:rsidRDefault="00CC1C81">
          <w:pPr>
            <w:pStyle w:val="TM2"/>
            <w:tabs>
              <w:tab w:val="left" w:pos="880"/>
              <w:tab w:val="right" w:leader="dot" w:pos="9350"/>
            </w:tabs>
            <w:rPr>
              <w:rFonts w:asciiTheme="minorHAnsi" w:eastAsiaTheme="minorEastAsia" w:hAnsiTheme="minorHAnsi"/>
              <w:noProof/>
              <w:sz w:val="22"/>
              <w:szCs w:val="22"/>
              <w:lang w:val="fr-FR" w:eastAsia="fr-FR"/>
            </w:rPr>
          </w:pPr>
          <w:hyperlink w:anchor="_Toc227362190" w:history="1">
            <w:r w:rsidRPr="00FE6914">
              <w:rPr>
                <w:rStyle w:val="Lienhypertexte"/>
                <w:noProof/>
              </w:rPr>
              <w:t>3.3</w:t>
            </w:r>
            <w:r>
              <w:rPr>
                <w:rFonts w:asciiTheme="minorHAnsi" w:eastAsiaTheme="minorEastAsia" w:hAnsiTheme="minorHAnsi"/>
                <w:noProof/>
                <w:sz w:val="22"/>
                <w:szCs w:val="22"/>
                <w:lang w:val="fr-FR" w:eastAsia="fr-FR"/>
              </w:rPr>
              <w:tab/>
            </w:r>
            <w:r w:rsidRPr="00FE6914">
              <w:rPr>
                <w:rStyle w:val="Lienhypertexte"/>
                <w:noProof/>
              </w:rPr>
              <w:t>Tests statistiques utilisés</w:t>
            </w:r>
            <w:r>
              <w:rPr>
                <w:noProof/>
                <w:webHidden/>
              </w:rPr>
              <w:tab/>
            </w:r>
            <w:r>
              <w:rPr>
                <w:noProof/>
                <w:webHidden/>
              </w:rPr>
              <w:fldChar w:fldCharType="begin"/>
            </w:r>
            <w:r>
              <w:rPr>
                <w:noProof/>
                <w:webHidden/>
              </w:rPr>
              <w:instrText xml:space="preserve"> PAGEREF _Toc227362190 \h </w:instrText>
            </w:r>
            <w:r>
              <w:rPr>
                <w:noProof/>
                <w:webHidden/>
              </w:rPr>
            </w:r>
            <w:r>
              <w:rPr>
                <w:noProof/>
                <w:webHidden/>
              </w:rPr>
              <w:fldChar w:fldCharType="separate"/>
            </w:r>
            <w:r>
              <w:rPr>
                <w:noProof/>
                <w:webHidden/>
              </w:rPr>
              <w:t>4</w:t>
            </w:r>
            <w:r>
              <w:rPr>
                <w:noProof/>
                <w:webHidden/>
              </w:rPr>
              <w:fldChar w:fldCharType="end"/>
            </w:r>
          </w:hyperlink>
        </w:p>
        <w:p w14:paraId="65ADABA3" w14:textId="77777777" w:rsidR="00CC1C81" w:rsidRDefault="00CC1C81">
          <w:pPr>
            <w:pStyle w:val="TM1"/>
            <w:tabs>
              <w:tab w:val="left" w:pos="440"/>
              <w:tab w:val="right" w:leader="dot" w:pos="9350"/>
            </w:tabs>
            <w:rPr>
              <w:rFonts w:asciiTheme="minorHAnsi" w:eastAsiaTheme="minorEastAsia" w:hAnsiTheme="minorHAnsi"/>
              <w:noProof/>
              <w:sz w:val="22"/>
              <w:szCs w:val="22"/>
              <w:lang w:val="fr-FR" w:eastAsia="fr-FR"/>
            </w:rPr>
          </w:pPr>
          <w:hyperlink w:anchor="_Toc227362191" w:history="1">
            <w:r w:rsidRPr="00FE6914">
              <w:rPr>
                <w:rStyle w:val="Lienhypertexte"/>
                <w:noProof/>
              </w:rPr>
              <w:t>4</w:t>
            </w:r>
            <w:r>
              <w:rPr>
                <w:rFonts w:asciiTheme="minorHAnsi" w:eastAsiaTheme="minorEastAsia" w:hAnsiTheme="minorHAnsi"/>
                <w:noProof/>
                <w:sz w:val="22"/>
                <w:szCs w:val="22"/>
                <w:lang w:val="fr-FR" w:eastAsia="fr-FR"/>
              </w:rPr>
              <w:tab/>
            </w:r>
            <w:r w:rsidRPr="00FE6914">
              <w:rPr>
                <w:rStyle w:val="Lienhypertexte"/>
                <w:noProof/>
              </w:rPr>
              <w:t>Résultats</w:t>
            </w:r>
            <w:r>
              <w:rPr>
                <w:noProof/>
                <w:webHidden/>
              </w:rPr>
              <w:tab/>
            </w:r>
            <w:r>
              <w:rPr>
                <w:noProof/>
                <w:webHidden/>
              </w:rPr>
              <w:fldChar w:fldCharType="begin"/>
            </w:r>
            <w:r>
              <w:rPr>
                <w:noProof/>
                <w:webHidden/>
              </w:rPr>
              <w:instrText xml:space="preserve"> PAGEREF _Toc227362191 \h </w:instrText>
            </w:r>
            <w:r>
              <w:rPr>
                <w:noProof/>
                <w:webHidden/>
              </w:rPr>
            </w:r>
            <w:r>
              <w:rPr>
                <w:noProof/>
                <w:webHidden/>
              </w:rPr>
              <w:fldChar w:fldCharType="separate"/>
            </w:r>
            <w:r>
              <w:rPr>
                <w:noProof/>
                <w:webHidden/>
              </w:rPr>
              <w:t>5</w:t>
            </w:r>
            <w:r>
              <w:rPr>
                <w:noProof/>
                <w:webHidden/>
              </w:rPr>
              <w:fldChar w:fldCharType="end"/>
            </w:r>
          </w:hyperlink>
        </w:p>
        <w:p w14:paraId="529E7929" w14:textId="77777777" w:rsidR="00CC1C81" w:rsidRDefault="00CC1C81">
          <w:pPr>
            <w:pStyle w:val="TM2"/>
            <w:tabs>
              <w:tab w:val="left" w:pos="880"/>
              <w:tab w:val="right" w:leader="dot" w:pos="9350"/>
            </w:tabs>
            <w:rPr>
              <w:rFonts w:asciiTheme="minorHAnsi" w:eastAsiaTheme="minorEastAsia" w:hAnsiTheme="minorHAnsi"/>
              <w:noProof/>
              <w:sz w:val="22"/>
              <w:szCs w:val="22"/>
              <w:lang w:val="fr-FR" w:eastAsia="fr-FR"/>
            </w:rPr>
          </w:pPr>
          <w:hyperlink w:anchor="_Toc227362192" w:history="1">
            <w:r w:rsidRPr="00FE6914">
              <w:rPr>
                <w:rStyle w:val="Lienhypertexte"/>
                <w:noProof/>
              </w:rPr>
              <w:t>4.1</w:t>
            </w:r>
            <w:r>
              <w:rPr>
                <w:rFonts w:asciiTheme="minorHAnsi" w:eastAsiaTheme="minorEastAsia" w:hAnsiTheme="minorHAnsi"/>
                <w:noProof/>
                <w:sz w:val="22"/>
                <w:szCs w:val="22"/>
                <w:lang w:val="fr-FR" w:eastAsia="fr-FR"/>
              </w:rPr>
              <w:tab/>
            </w:r>
            <w:r w:rsidRPr="00FE6914">
              <w:rPr>
                <w:rStyle w:val="Lienhypertexte"/>
                <w:noProof/>
              </w:rPr>
              <w:t>Tâche 1 — Les 15 cultures les plus pratiquées (W4)</w:t>
            </w:r>
            <w:r>
              <w:rPr>
                <w:noProof/>
                <w:webHidden/>
              </w:rPr>
              <w:tab/>
            </w:r>
            <w:r>
              <w:rPr>
                <w:noProof/>
                <w:webHidden/>
              </w:rPr>
              <w:fldChar w:fldCharType="begin"/>
            </w:r>
            <w:r>
              <w:rPr>
                <w:noProof/>
                <w:webHidden/>
              </w:rPr>
              <w:instrText xml:space="preserve"> PAGEREF _Toc227362192 \h </w:instrText>
            </w:r>
            <w:r>
              <w:rPr>
                <w:noProof/>
                <w:webHidden/>
              </w:rPr>
            </w:r>
            <w:r>
              <w:rPr>
                <w:noProof/>
                <w:webHidden/>
              </w:rPr>
              <w:fldChar w:fldCharType="separate"/>
            </w:r>
            <w:r>
              <w:rPr>
                <w:noProof/>
                <w:webHidden/>
              </w:rPr>
              <w:t>5</w:t>
            </w:r>
            <w:r>
              <w:rPr>
                <w:noProof/>
                <w:webHidden/>
              </w:rPr>
              <w:fldChar w:fldCharType="end"/>
            </w:r>
          </w:hyperlink>
        </w:p>
        <w:p w14:paraId="249AF7C8" w14:textId="77777777" w:rsidR="00CC1C81" w:rsidRDefault="00CC1C81">
          <w:pPr>
            <w:pStyle w:val="TM2"/>
            <w:tabs>
              <w:tab w:val="left" w:pos="880"/>
              <w:tab w:val="right" w:leader="dot" w:pos="9350"/>
            </w:tabs>
            <w:rPr>
              <w:rFonts w:asciiTheme="minorHAnsi" w:eastAsiaTheme="minorEastAsia" w:hAnsiTheme="minorHAnsi"/>
              <w:noProof/>
              <w:sz w:val="22"/>
              <w:szCs w:val="22"/>
              <w:lang w:val="fr-FR" w:eastAsia="fr-FR"/>
            </w:rPr>
          </w:pPr>
          <w:hyperlink w:anchor="_Toc227362193" w:history="1">
            <w:r w:rsidRPr="00FE6914">
              <w:rPr>
                <w:rStyle w:val="Lienhypertexte"/>
                <w:noProof/>
              </w:rPr>
              <w:t>4.2</w:t>
            </w:r>
            <w:r>
              <w:rPr>
                <w:rFonts w:asciiTheme="minorHAnsi" w:eastAsiaTheme="minorEastAsia" w:hAnsiTheme="minorHAnsi"/>
                <w:noProof/>
                <w:sz w:val="22"/>
                <w:szCs w:val="22"/>
                <w:lang w:val="fr-FR" w:eastAsia="fr-FR"/>
              </w:rPr>
              <w:tab/>
            </w:r>
            <w:r w:rsidRPr="00FE6914">
              <w:rPr>
                <w:rStyle w:val="Lienhypertexte"/>
                <w:noProof/>
              </w:rPr>
              <w:t>Tâche 2 — Diversification culturale par ménage</w:t>
            </w:r>
            <w:r>
              <w:rPr>
                <w:noProof/>
                <w:webHidden/>
              </w:rPr>
              <w:tab/>
            </w:r>
            <w:r>
              <w:rPr>
                <w:noProof/>
                <w:webHidden/>
              </w:rPr>
              <w:fldChar w:fldCharType="begin"/>
            </w:r>
            <w:r>
              <w:rPr>
                <w:noProof/>
                <w:webHidden/>
              </w:rPr>
              <w:instrText xml:space="preserve"> PAGEREF _Toc227362193 \h </w:instrText>
            </w:r>
            <w:r>
              <w:rPr>
                <w:noProof/>
                <w:webHidden/>
              </w:rPr>
            </w:r>
            <w:r>
              <w:rPr>
                <w:noProof/>
                <w:webHidden/>
              </w:rPr>
              <w:fldChar w:fldCharType="separate"/>
            </w:r>
            <w:r>
              <w:rPr>
                <w:noProof/>
                <w:webHidden/>
              </w:rPr>
              <w:t>6</w:t>
            </w:r>
            <w:r>
              <w:rPr>
                <w:noProof/>
                <w:webHidden/>
              </w:rPr>
              <w:fldChar w:fldCharType="end"/>
            </w:r>
          </w:hyperlink>
        </w:p>
        <w:p w14:paraId="68207DFC" w14:textId="77777777" w:rsidR="00CC1C81" w:rsidRDefault="00CC1C81">
          <w:pPr>
            <w:pStyle w:val="TM2"/>
            <w:tabs>
              <w:tab w:val="left" w:pos="880"/>
              <w:tab w:val="right" w:leader="dot" w:pos="9350"/>
            </w:tabs>
            <w:rPr>
              <w:rFonts w:asciiTheme="minorHAnsi" w:eastAsiaTheme="minorEastAsia" w:hAnsiTheme="minorHAnsi"/>
              <w:noProof/>
              <w:sz w:val="22"/>
              <w:szCs w:val="22"/>
              <w:lang w:val="fr-FR" w:eastAsia="fr-FR"/>
            </w:rPr>
          </w:pPr>
          <w:hyperlink w:anchor="_Toc227362194" w:history="1">
            <w:r w:rsidRPr="00FE6914">
              <w:rPr>
                <w:rStyle w:val="Lienhypertexte"/>
                <w:noProof/>
              </w:rPr>
              <w:t>4.3</w:t>
            </w:r>
            <w:r>
              <w:rPr>
                <w:rFonts w:asciiTheme="minorHAnsi" w:eastAsiaTheme="minorEastAsia" w:hAnsiTheme="minorHAnsi"/>
                <w:noProof/>
                <w:sz w:val="22"/>
                <w:szCs w:val="22"/>
                <w:lang w:val="fr-FR" w:eastAsia="fr-FR"/>
              </w:rPr>
              <w:tab/>
            </w:r>
            <w:r w:rsidRPr="00FE6914">
              <w:rPr>
                <w:rStyle w:val="Lienhypertexte"/>
                <w:noProof/>
              </w:rPr>
              <w:t>Tâche 3 — Utilisation des intrants agricoles</w:t>
            </w:r>
            <w:r>
              <w:rPr>
                <w:noProof/>
                <w:webHidden/>
              </w:rPr>
              <w:tab/>
            </w:r>
            <w:r>
              <w:rPr>
                <w:noProof/>
                <w:webHidden/>
              </w:rPr>
              <w:fldChar w:fldCharType="begin"/>
            </w:r>
            <w:r>
              <w:rPr>
                <w:noProof/>
                <w:webHidden/>
              </w:rPr>
              <w:instrText xml:space="preserve"> PAGEREF _Toc227362194 \h </w:instrText>
            </w:r>
            <w:r>
              <w:rPr>
                <w:noProof/>
                <w:webHidden/>
              </w:rPr>
            </w:r>
            <w:r>
              <w:rPr>
                <w:noProof/>
                <w:webHidden/>
              </w:rPr>
              <w:fldChar w:fldCharType="separate"/>
            </w:r>
            <w:r>
              <w:rPr>
                <w:noProof/>
                <w:webHidden/>
              </w:rPr>
              <w:t>7</w:t>
            </w:r>
            <w:r>
              <w:rPr>
                <w:noProof/>
                <w:webHidden/>
              </w:rPr>
              <w:fldChar w:fldCharType="end"/>
            </w:r>
          </w:hyperlink>
        </w:p>
        <w:p w14:paraId="418E0D94" w14:textId="77777777" w:rsidR="00CC1C81" w:rsidRDefault="00CC1C81">
          <w:pPr>
            <w:pStyle w:val="TM2"/>
            <w:tabs>
              <w:tab w:val="left" w:pos="880"/>
              <w:tab w:val="right" w:leader="dot" w:pos="9350"/>
            </w:tabs>
            <w:rPr>
              <w:rFonts w:asciiTheme="minorHAnsi" w:eastAsiaTheme="minorEastAsia" w:hAnsiTheme="minorHAnsi"/>
              <w:noProof/>
              <w:sz w:val="22"/>
              <w:szCs w:val="22"/>
              <w:lang w:val="fr-FR" w:eastAsia="fr-FR"/>
            </w:rPr>
          </w:pPr>
          <w:hyperlink w:anchor="_Toc227362195" w:history="1">
            <w:r w:rsidRPr="00FE6914">
              <w:rPr>
                <w:rStyle w:val="Lienhypertexte"/>
                <w:noProof/>
              </w:rPr>
              <w:t>4.4</w:t>
            </w:r>
            <w:r>
              <w:rPr>
                <w:rFonts w:asciiTheme="minorHAnsi" w:eastAsiaTheme="minorEastAsia" w:hAnsiTheme="minorHAnsi"/>
                <w:noProof/>
                <w:sz w:val="22"/>
                <w:szCs w:val="22"/>
                <w:lang w:val="fr-FR" w:eastAsia="fr-FR"/>
              </w:rPr>
              <w:tab/>
            </w:r>
            <w:r w:rsidRPr="00FE6914">
              <w:rPr>
                <w:rStyle w:val="Lienhypertexte"/>
                <w:noProof/>
              </w:rPr>
              <w:t>Tâche 4 — Rendements maïs et mil par État</w:t>
            </w:r>
            <w:r>
              <w:rPr>
                <w:noProof/>
                <w:webHidden/>
              </w:rPr>
              <w:tab/>
            </w:r>
            <w:r>
              <w:rPr>
                <w:noProof/>
                <w:webHidden/>
              </w:rPr>
              <w:fldChar w:fldCharType="begin"/>
            </w:r>
            <w:r>
              <w:rPr>
                <w:noProof/>
                <w:webHidden/>
              </w:rPr>
              <w:instrText xml:space="preserve"> PAGEREF _Toc227362195 \h </w:instrText>
            </w:r>
            <w:r>
              <w:rPr>
                <w:noProof/>
                <w:webHidden/>
              </w:rPr>
            </w:r>
            <w:r>
              <w:rPr>
                <w:noProof/>
                <w:webHidden/>
              </w:rPr>
              <w:fldChar w:fldCharType="separate"/>
            </w:r>
            <w:r>
              <w:rPr>
                <w:noProof/>
                <w:webHidden/>
              </w:rPr>
              <w:t>9</w:t>
            </w:r>
            <w:r>
              <w:rPr>
                <w:noProof/>
                <w:webHidden/>
              </w:rPr>
              <w:fldChar w:fldCharType="end"/>
            </w:r>
          </w:hyperlink>
        </w:p>
        <w:p w14:paraId="01ABC93A" w14:textId="77777777" w:rsidR="00CC1C81" w:rsidRDefault="00CC1C81">
          <w:pPr>
            <w:pStyle w:val="TM2"/>
            <w:tabs>
              <w:tab w:val="left" w:pos="880"/>
              <w:tab w:val="right" w:leader="dot" w:pos="9350"/>
            </w:tabs>
            <w:rPr>
              <w:rFonts w:asciiTheme="minorHAnsi" w:eastAsiaTheme="minorEastAsia" w:hAnsiTheme="minorHAnsi"/>
              <w:noProof/>
              <w:sz w:val="22"/>
              <w:szCs w:val="22"/>
              <w:lang w:val="fr-FR" w:eastAsia="fr-FR"/>
            </w:rPr>
          </w:pPr>
          <w:hyperlink w:anchor="_Toc227362196" w:history="1">
            <w:r w:rsidRPr="00FE6914">
              <w:rPr>
                <w:rStyle w:val="Lienhypertexte"/>
                <w:noProof/>
              </w:rPr>
              <w:t>4.5</w:t>
            </w:r>
            <w:r>
              <w:rPr>
                <w:rFonts w:asciiTheme="minorHAnsi" w:eastAsiaTheme="minorEastAsia" w:hAnsiTheme="minorHAnsi"/>
                <w:noProof/>
                <w:sz w:val="22"/>
                <w:szCs w:val="22"/>
                <w:lang w:val="fr-FR" w:eastAsia="fr-FR"/>
              </w:rPr>
              <w:tab/>
            </w:r>
            <w:r w:rsidRPr="00FE6914">
              <w:rPr>
                <w:rStyle w:val="Lienhypertexte"/>
                <w:noProof/>
              </w:rPr>
              <w:t>Tâche 5 — Effet de l’engrais chimique sur les rendements</w:t>
            </w:r>
            <w:r>
              <w:rPr>
                <w:noProof/>
                <w:webHidden/>
              </w:rPr>
              <w:tab/>
            </w:r>
            <w:r>
              <w:rPr>
                <w:noProof/>
                <w:webHidden/>
              </w:rPr>
              <w:fldChar w:fldCharType="begin"/>
            </w:r>
            <w:r>
              <w:rPr>
                <w:noProof/>
                <w:webHidden/>
              </w:rPr>
              <w:instrText xml:space="preserve"> PAGEREF _Toc227362196 \h </w:instrText>
            </w:r>
            <w:r>
              <w:rPr>
                <w:noProof/>
                <w:webHidden/>
              </w:rPr>
            </w:r>
            <w:r>
              <w:rPr>
                <w:noProof/>
                <w:webHidden/>
              </w:rPr>
              <w:fldChar w:fldCharType="separate"/>
            </w:r>
            <w:r>
              <w:rPr>
                <w:noProof/>
                <w:webHidden/>
              </w:rPr>
              <w:t>10</w:t>
            </w:r>
            <w:r>
              <w:rPr>
                <w:noProof/>
                <w:webHidden/>
              </w:rPr>
              <w:fldChar w:fldCharType="end"/>
            </w:r>
          </w:hyperlink>
        </w:p>
        <w:p w14:paraId="36535D1C" w14:textId="77777777" w:rsidR="00CC1C81" w:rsidRDefault="00CC1C81">
          <w:pPr>
            <w:pStyle w:val="TM1"/>
            <w:tabs>
              <w:tab w:val="left" w:pos="440"/>
              <w:tab w:val="right" w:leader="dot" w:pos="9350"/>
            </w:tabs>
            <w:rPr>
              <w:rFonts w:asciiTheme="minorHAnsi" w:eastAsiaTheme="minorEastAsia" w:hAnsiTheme="minorHAnsi"/>
              <w:noProof/>
              <w:sz w:val="22"/>
              <w:szCs w:val="22"/>
              <w:lang w:val="fr-FR" w:eastAsia="fr-FR"/>
            </w:rPr>
          </w:pPr>
          <w:hyperlink w:anchor="_Toc227362197" w:history="1">
            <w:r w:rsidRPr="00FE6914">
              <w:rPr>
                <w:rStyle w:val="Lienhypertexte"/>
                <w:noProof/>
              </w:rPr>
              <w:t>5</w:t>
            </w:r>
            <w:r>
              <w:rPr>
                <w:rFonts w:asciiTheme="minorHAnsi" w:eastAsiaTheme="minorEastAsia" w:hAnsiTheme="minorHAnsi"/>
                <w:noProof/>
                <w:sz w:val="22"/>
                <w:szCs w:val="22"/>
                <w:lang w:val="fr-FR" w:eastAsia="fr-FR"/>
              </w:rPr>
              <w:tab/>
            </w:r>
            <w:r w:rsidRPr="00FE6914">
              <w:rPr>
                <w:rStyle w:val="Lienhypertexte"/>
                <w:noProof/>
              </w:rPr>
              <w:t>Discussion</w:t>
            </w:r>
            <w:r>
              <w:rPr>
                <w:noProof/>
                <w:webHidden/>
              </w:rPr>
              <w:tab/>
            </w:r>
            <w:r>
              <w:rPr>
                <w:noProof/>
                <w:webHidden/>
              </w:rPr>
              <w:fldChar w:fldCharType="begin"/>
            </w:r>
            <w:r>
              <w:rPr>
                <w:noProof/>
                <w:webHidden/>
              </w:rPr>
              <w:instrText xml:space="preserve"> PAGEREF _Toc227362197 \h </w:instrText>
            </w:r>
            <w:r>
              <w:rPr>
                <w:noProof/>
                <w:webHidden/>
              </w:rPr>
            </w:r>
            <w:r>
              <w:rPr>
                <w:noProof/>
                <w:webHidden/>
              </w:rPr>
              <w:fldChar w:fldCharType="separate"/>
            </w:r>
            <w:r>
              <w:rPr>
                <w:noProof/>
                <w:webHidden/>
              </w:rPr>
              <w:t>11</w:t>
            </w:r>
            <w:r>
              <w:rPr>
                <w:noProof/>
                <w:webHidden/>
              </w:rPr>
              <w:fldChar w:fldCharType="end"/>
            </w:r>
          </w:hyperlink>
        </w:p>
        <w:p w14:paraId="3727C701" w14:textId="77777777" w:rsidR="00CC1C81" w:rsidRDefault="00CC1C81">
          <w:pPr>
            <w:pStyle w:val="TM2"/>
            <w:tabs>
              <w:tab w:val="left" w:pos="880"/>
              <w:tab w:val="right" w:leader="dot" w:pos="9350"/>
            </w:tabs>
            <w:rPr>
              <w:rFonts w:asciiTheme="minorHAnsi" w:eastAsiaTheme="minorEastAsia" w:hAnsiTheme="minorHAnsi"/>
              <w:noProof/>
              <w:sz w:val="22"/>
              <w:szCs w:val="22"/>
              <w:lang w:val="fr-FR" w:eastAsia="fr-FR"/>
            </w:rPr>
          </w:pPr>
          <w:hyperlink w:anchor="_Toc227362198" w:history="1">
            <w:r w:rsidRPr="00FE6914">
              <w:rPr>
                <w:rStyle w:val="Lienhypertexte"/>
                <w:noProof/>
              </w:rPr>
              <w:t>5.1</w:t>
            </w:r>
            <w:r>
              <w:rPr>
                <w:rFonts w:asciiTheme="minorHAnsi" w:eastAsiaTheme="minorEastAsia" w:hAnsiTheme="minorHAnsi"/>
                <w:noProof/>
                <w:sz w:val="22"/>
                <w:szCs w:val="22"/>
                <w:lang w:val="fr-FR" w:eastAsia="fr-FR"/>
              </w:rPr>
              <w:tab/>
            </w:r>
            <w:r w:rsidRPr="00FE6914">
              <w:rPr>
                <w:rStyle w:val="Lienhypertexte"/>
                <w:noProof/>
              </w:rPr>
              <w:t>Cohérence avec la littérature</w:t>
            </w:r>
            <w:r>
              <w:rPr>
                <w:noProof/>
                <w:webHidden/>
              </w:rPr>
              <w:tab/>
            </w:r>
            <w:r>
              <w:rPr>
                <w:noProof/>
                <w:webHidden/>
              </w:rPr>
              <w:fldChar w:fldCharType="begin"/>
            </w:r>
            <w:r>
              <w:rPr>
                <w:noProof/>
                <w:webHidden/>
              </w:rPr>
              <w:instrText xml:space="preserve"> PAGEREF _Toc227362198 \h </w:instrText>
            </w:r>
            <w:r>
              <w:rPr>
                <w:noProof/>
                <w:webHidden/>
              </w:rPr>
            </w:r>
            <w:r>
              <w:rPr>
                <w:noProof/>
                <w:webHidden/>
              </w:rPr>
              <w:fldChar w:fldCharType="separate"/>
            </w:r>
            <w:r>
              <w:rPr>
                <w:noProof/>
                <w:webHidden/>
              </w:rPr>
              <w:t>11</w:t>
            </w:r>
            <w:r>
              <w:rPr>
                <w:noProof/>
                <w:webHidden/>
              </w:rPr>
              <w:fldChar w:fldCharType="end"/>
            </w:r>
          </w:hyperlink>
        </w:p>
        <w:p w14:paraId="0C0A34F4" w14:textId="77777777" w:rsidR="00CC1C81" w:rsidRDefault="00CC1C81">
          <w:pPr>
            <w:pStyle w:val="TM2"/>
            <w:tabs>
              <w:tab w:val="left" w:pos="880"/>
              <w:tab w:val="right" w:leader="dot" w:pos="9350"/>
            </w:tabs>
            <w:rPr>
              <w:rFonts w:asciiTheme="minorHAnsi" w:eastAsiaTheme="minorEastAsia" w:hAnsiTheme="minorHAnsi"/>
              <w:noProof/>
              <w:sz w:val="22"/>
              <w:szCs w:val="22"/>
              <w:lang w:val="fr-FR" w:eastAsia="fr-FR"/>
            </w:rPr>
          </w:pPr>
          <w:hyperlink w:anchor="_Toc227362199" w:history="1">
            <w:r w:rsidRPr="00FE6914">
              <w:rPr>
                <w:rStyle w:val="Lienhypertexte"/>
                <w:noProof/>
              </w:rPr>
              <w:t>5.2</w:t>
            </w:r>
            <w:r>
              <w:rPr>
                <w:rFonts w:asciiTheme="minorHAnsi" w:eastAsiaTheme="minorEastAsia" w:hAnsiTheme="minorHAnsi"/>
                <w:noProof/>
                <w:sz w:val="22"/>
                <w:szCs w:val="22"/>
                <w:lang w:val="fr-FR" w:eastAsia="fr-FR"/>
              </w:rPr>
              <w:tab/>
            </w:r>
            <w:r w:rsidRPr="00FE6914">
              <w:rPr>
                <w:rStyle w:val="Lienhypertexte"/>
                <w:noProof/>
              </w:rPr>
              <w:t>Limites et biais potentiels</w:t>
            </w:r>
            <w:r>
              <w:rPr>
                <w:noProof/>
                <w:webHidden/>
              </w:rPr>
              <w:tab/>
            </w:r>
            <w:r>
              <w:rPr>
                <w:noProof/>
                <w:webHidden/>
              </w:rPr>
              <w:fldChar w:fldCharType="begin"/>
            </w:r>
            <w:r>
              <w:rPr>
                <w:noProof/>
                <w:webHidden/>
              </w:rPr>
              <w:instrText xml:space="preserve"> PAGEREF _Toc227362199 \h </w:instrText>
            </w:r>
            <w:r>
              <w:rPr>
                <w:noProof/>
                <w:webHidden/>
              </w:rPr>
            </w:r>
            <w:r>
              <w:rPr>
                <w:noProof/>
                <w:webHidden/>
              </w:rPr>
              <w:fldChar w:fldCharType="separate"/>
            </w:r>
            <w:r>
              <w:rPr>
                <w:noProof/>
                <w:webHidden/>
              </w:rPr>
              <w:t>11</w:t>
            </w:r>
            <w:r>
              <w:rPr>
                <w:noProof/>
                <w:webHidden/>
              </w:rPr>
              <w:fldChar w:fldCharType="end"/>
            </w:r>
          </w:hyperlink>
        </w:p>
        <w:p w14:paraId="7E9E21F8" w14:textId="77777777" w:rsidR="00CC1C81" w:rsidRDefault="00CC1C81">
          <w:pPr>
            <w:pStyle w:val="TM1"/>
            <w:tabs>
              <w:tab w:val="left" w:pos="440"/>
              <w:tab w:val="right" w:leader="dot" w:pos="9350"/>
            </w:tabs>
            <w:rPr>
              <w:rFonts w:asciiTheme="minorHAnsi" w:eastAsiaTheme="minorEastAsia" w:hAnsiTheme="minorHAnsi"/>
              <w:noProof/>
              <w:sz w:val="22"/>
              <w:szCs w:val="22"/>
              <w:lang w:val="fr-FR" w:eastAsia="fr-FR"/>
            </w:rPr>
          </w:pPr>
          <w:hyperlink w:anchor="_Toc227362200" w:history="1">
            <w:r w:rsidRPr="00FE6914">
              <w:rPr>
                <w:rStyle w:val="Lienhypertexte"/>
                <w:noProof/>
              </w:rPr>
              <w:t>6</w:t>
            </w:r>
            <w:r>
              <w:rPr>
                <w:rFonts w:asciiTheme="minorHAnsi" w:eastAsiaTheme="minorEastAsia" w:hAnsiTheme="minorHAnsi"/>
                <w:noProof/>
                <w:sz w:val="22"/>
                <w:szCs w:val="22"/>
                <w:lang w:val="fr-FR" w:eastAsia="fr-FR"/>
              </w:rPr>
              <w:tab/>
            </w:r>
            <w:r w:rsidRPr="00FE6914">
              <w:rPr>
                <w:rStyle w:val="Lienhypertexte"/>
                <w:noProof/>
              </w:rPr>
              <w:t>Conclusion</w:t>
            </w:r>
            <w:r>
              <w:rPr>
                <w:noProof/>
                <w:webHidden/>
              </w:rPr>
              <w:tab/>
            </w:r>
            <w:r>
              <w:rPr>
                <w:noProof/>
                <w:webHidden/>
              </w:rPr>
              <w:fldChar w:fldCharType="begin"/>
            </w:r>
            <w:r>
              <w:rPr>
                <w:noProof/>
                <w:webHidden/>
              </w:rPr>
              <w:instrText xml:space="preserve"> PAGEREF _Toc227362200 \h </w:instrText>
            </w:r>
            <w:r>
              <w:rPr>
                <w:noProof/>
                <w:webHidden/>
              </w:rPr>
            </w:r>
            <w:r>
              <w:rPr>
                <w:noProof/>
                <w:webHidden/>
              </w:rPr>
              <w:fldChar w:fldCharType="separate"/>
            </w:r>
            <w:r>
              <w:rPr>
                <w:noProof/>
                <w:webHidden/>
              </w:rPr>
              <w:t>12</w:t>
            </w:r>
            <w:r>
              <w:rPr>
                <w:noProof/>
                <w:webHidden/>
              </w:rPr>
              <w:fldChar w:fldCharType="end"/>
            </w:r>
          </w:hyperlink>
        </w:p>
        <w:p w14:paraId="138A232E" w14:textId="77777777" w:rsidR="00CC1C81" w:rsidRDefault="00CC1C81">
          <w:pPr>
            <w:pStyle w:val="TM1"/>
            <w:tabs>
              <w:tab w:val="left" w:pos="440"/>
              <w:tab w:val="right" w:leader="dot" w:pos="9350"/>
            </w:tabs>
            <w:rPr>
              <w:rFonts w:asciiTheme="minorHAnsi" w:eastAsiaTheme="minorEastAsia" w:hAnsiTheme="minorHAnsi"/>
              <w:noProof/>
              <w:sz w:val="22"/>
              <w:szCs w:val="22"/>
              <w:lang w:val="fr-FR" w:eastAsia="fr-FR"/>
            </w:rPr>
          </w:pPr>
          <w:hyperlink w:anchor="_Toc227362201" w:history="1">
            <w:r w:rsidRPr="00FE6914">
              <w:rPr>
                <w:rStyle w:val="Lienhypertexte"/>
                <w:noProof/>
              </w:rPr>
              <w:t>7</w:t>
            </w:r>
            <w:r>
              <w:rPr>
                <w:rFonts w:asciiTheme="minorHAnsi" w:eastAsiaTheme="minorEastAsia" w:hAnsiTheme="minorHAnsi"/>
                <w:noProof/>
                <w:sz w:val="22"/>
                <w:szCs w:val="22"/>
                <w:lang w:val="fr-FR" w:eastAsia="fr-FR"/>
              </w:rPr>
              <w:tab/>
            </w:r>
            <w:r w:rsidRPr="00FE6914">
              <w:rPr>
                <w:rStyle w:val="Lienhypertexte"/>
                <w:noProof/>
              </w:rPr>
              <w:t>Références bibliographiques</w:t>
            </w:r>
            <w:r>
              <w:rPr>
                <w:noProof/>
                <w:webHidden/>
              </w:rPr>
              <w:tab/>
            </w:r>
            <w:r>
              <w:rPr>
                <w:noProof/>
                <w:webHidden/>
              </w:rPr>
              <w:fldChar w:fldCharType="begin"/>
            </w:r>
            <w:r>
              <w:rPr>
                <w:noProof/>
                <w:webHidden/>
              </w:rPr>
              <w:instrText xml:space="preserve"> PAGEREF _Toc227362201 \h </w:instrText>
            </w:r>
            <w:r>
              <w:rPr>
                <w:noProof/>
                <w:webHidden/>
              </w:rPr>
            </w:r>
            <w:r>
              <w:rPr>
                <w:noProof/>
                <w:webHidden/>
              </w:rPr>
              <w:fldChar w:fldCharType="separate"/>
            </w:r>
            <w:r>
              <w:rPr>
                <w:noProof/>
                <w:webHidden/>
              </w:rPr>
              <w:t>12</w:t>
            </w:r>
            <w:r>
              <w:rPr>
                <w:noProof/>
                <w:webHidden/>
              </w:rPr>
              <w:fldChar w:fldCharType="end"/>
            </w:r>
          </w:hyperlink>
        </w:p>
        <w:p w14:paraId="35744765" w14:textId="77777777" w:rsidR="00DF443C" w:rsidRDefault="005376F7">
          <w:r>
            <w:fldChar w:fldCharType="end"/>
          </w:r>
        </w:p>
      </w:sdtContent>
    </w:sdt>
    <w:p w14:paraId="48E3C38F" w14:textId="77777777" w:rsidR="00DF443C" w:rsidRDefault="005376F7">
      <w:r>
        <w:pict w14:anchorId="0ABD7699">
          <v:rect id="_x0000_i1025" style="width:0;height:1.5pt" o:hralign="center" o:hrstd="t" o:hr="t"/>
        </w:pict>
      </w:r>
    </w:p>
    <w:p w14:paraId="64D224EE" w14:textId="77777777" w:rsidR="00DF443C" w:rsidRDefault="005376F7">
      <w:pPr>
        <w:pStyle w:val="Titre1"/>
      </w:pPr>
      <w:bookmarkStart w:id="0" w:name="messages-clés"/>
      <w:bookmarkStart w:id="1" w:name="_Toc227362185"/>
      <w:r>
        <w:rPr>
          <w:rStyle w:val="SectionNumber"/>
        </w:rPr>
        <w:t>1</w:t>
      </w:r>
      <w:r>
        <w:tab/>
        <w:t>Messages clés</w:t>
      </w:r>
      <w:bookmarkEnd w:id="1"/>
    </w:p>
    <w:p w14:paraId="6CDFB273" w14:textId="77777777" w:rsidR="00DF443C" w:rsidRDefault="005376F7">
      <w:pPr>
        <w:pStyle w:val="FirstParagraph"/>
      </w:pPr>
      <w:r>
        <w:rPr>
          <w:b/>
          <w:bCs/>
        </w:rPr>
        <w:t>Diversité culturale.</w:t>
      </w:r>
      <w:r>
        <w:t xml:space="preserve"> Les ménages nigérians pratiquent en moyenne 2,59 cultures différentes (médiane : 2). Le maïs, le sorgho et le mil dominent en nombre de ménages producteurs, tandis que le manioc et les ignam</w:t>
      </w:r>
      <w:r>
        <w:t>es sont les principales cultures des zones forestières du Sud. La diversification est significativement plus élevée en milieu rural (test de Wilcoxon, p &lt; 0,001, r = 0,131).</w:t>
      </w:r>
    </w:p>
    <w:p w14:paraId="5CCDC682" w14:textId="77777777" w:rsidR="00DF443C" w:rsidRDefault="005376F7">
      <w:pPr>
        <w:pStyle w:val="Corpsdetexte"/>
      </w:pPr>
      <w:r>
        <w:rPr>
          <w:b/>
          <w:bCs/>
        </w:rPr>
        <w:t>Adoption des intrants.</w:t>
      </w:r>
      <w:r>
        <w:t xml:space="preserve"> L’utilisation des engrais reste modérée à l’échelle nationa</w:t>
      </w:r>
      <w:r>
        <w:t>le : 77,7% des parcelles utilisent du NPK, 51,7% de l’urée et 23,1% un engrais organique. Des disparités régionales très marquées existent (chi-deux, X² = 1649,7, df = 5, p &lt; 0,001, V de Cramer = 0,446), le North West enregistrant les taux les plus élevés.</w:t>
      </w:r>
    </w:p>
    <w:p w14:paraId="5D45563F" w14:textId="77777777" w:rsidR="00DF443C" w:rsidRDefault="005376F7">
      <w:pPr>
        <w:pStyle w:val="Corpsdetexte"/>
      </w:pPr>
      <w:r>
        <w:rPr>
          <w:b/>
          <w:bCs/>
        </w:rPr>
        <w:t>Rendements.</w:t>
      </w:r>
      <w:r>
        <w:t xml:space="preserve"> La médiane des rendements du maïs est de 776 kg/ha et celle du mil de 471 kg/ha. L’utilisation d’engrais chimique est associée à des rendements significativement supérieurs pour le maïs (Wilcoxon, p = 0,008, r = 0,081), mais la différence n’es</w:t>
      </w:r>
      <w:r>
        <w:t>t pas significative pour le mil (p = 0,256), probablement du fait du faible nombre de parcelles sans engrais dans ce sous-échantillon.</w:t>
      </w:r>
    </w:p>
    <w:p w14:paraId="480A93BD" w14:textId="77777777" w:rsidR="00DF443C" w:rsidRDefault="005376F7">
      <w:r>
        <w:pict w14:anchorId="217B8BA6">
          <v:rect id="_x0000_i1026" style="width:0;height:1.5pt" o:hralign="center" o:hrstd="t" o:hr="t"/>
        </w:pict>
      </w:r>
    </w:p>
    <w:p w14:paraId="58D2A63B" w14:textId="77777777" w:rsidR="00DF443C" w:rsidRDefault="005376F7">
      <w:pPr>
        <w:pStyle w:val="Titre1"/>
      </w:pPr>
      <w:bookmarkStart w:id="2" w:name="introduction"/>
      <w:bookmarkStart w:id="3" w:name="_Toc227362186"/>
      <w:bookmarkEnd w:id="0"/>
      <w:r>
        <w:rPr>
          <w:rStyle w:val="SectionNumber"/>
        </w:rPr>
        <w:t>2</w:t>
      </w:r>
      <w:r>
        <w:tab/>
        <w:t>Introduction</w:t>
      </w:r>
      <w:bookmarkEnd w:id="3"/>
    </w:p>
    <w:p w14:paraId="244006D8" w14:textId="77777777" w:rsidR="00DF443C" w:rsidRDefault="005376F7">
      <w:pPr>
        <w:pStyle w:val="FirstParagraph"/>
      </w:pPr>
      <w:r>
        <w:t>L’agriculture représente le principal moyen de subsistance de la majorité des ménages nigérians, en part</w:t>
      </w:r>
      <w:r>
        <w:t xml:space="preserve">iculier en milieu rural. Les choix de cultures, l’adoption des intrants modernes (engrais, pesticides) et la productivité des exploitations constituent les trois dimensions fondamentales de la performance </w:t>
      </w:r>
      <w:r>
        <w:lastRenderedPageBreak/>
        <w:t>du secteur agricole. Leur analyse à partir de donné</w:t>
      </w:r>
      <w:r>
        <w:t>es d’enquête représentatives est un prérequis pour la conception de politiques publiques agricoles ciblées.</w:t>
      </w:r>
    </w:p>
    <w:p w14:paraId="4753450A" w14:textId="77777777" w:rsidR="00DF443C" w:rsidRDefault="005376F7">
      <w:pPr>
        <w:pStyle w:val="Corpsdetexte"/>
      </w:pPr>
      <w:r>
        <w:t xml:space="preserve">Ce rapport présente les résultats de l’Analyse 5 du TP5, réalisée à partir des modules Post-Harvest de la Wave 4 du Nigeria General Household Survey (GHS) Panel (2018-2019). L’analyse couvre : (i) l’identification des 15 cultures les plus pratiquées, (ii) </w:t>
      </w:r>
      <w:r>
        <w:t>l’indice de diversification culturale par ménage et sa comparaison Rural/Urbain, (iii) les taux d’utilisation des intrants par zone géopolitique et leur association avec le milieu, et (iv) les rendements du maïs et du mil en lien avec l’utilisation d’engra</w:t>
      </w:r>
      <w:r>
        <w:t>is chimique.</w:t>
      </w:r>
    </w:p>
    <w:p w14:paraId="608C6FCA" w14:textId="77777777" w:rsidR="00DF443C" w:rsidRDefault="005376F7">
      <w:pPr>
        <w:pStyle w:val="Corpsdetexte"/>
      </w:pPr>
      <w:r>
        <w:t xml:space="preserve">Toutes les statistiques sont pondérées par les poids de sondage </w:t>
      </w:r>
      <w:r>
        <w:rPr>
          <w:rStyle w:val="VerbatimChar"/>
        </w:rPr>
        <w:t>wt_wave4</w:t>
      </w:r>
      <w:r>
        <w:t xml:space="preserve"> sauf indication contraire.</w:t>
      </w:r>
    </w:p>
    <w:p w14:paraId="06A98C73" w14:textId="77777777" w:rsidR="00DF443C" w:rsidRDefault="005376F7">
      <w:r>
        <w:pict w14:anchorId="1BA91E66">
          <v:rect id="_x0000_i1027" style="width:0;height:1.5pt" o:hralign="center" o:hrstd="t" o:hr="t"/>
        </w:pict>
      </w:r>
    </w:p>
    <w:p w14:paraId="317DD91E" w14:textId="77777777" w:rsidR="00DF443C" w:rsidRDefault="005376F7">
      <w:pPr>
        <w:pStyle w:val="Titre1"/>
      </w:pPr>
      <w:bookmarkStart w:id="4" w:name="données-et-méthodologie"/>
      <w:bookmarkStart w:id="5" w:name="_Toc227362187"/>
      <w:bookmarkEnd w:id="2"/>
      <w:r>
        <w:rPr>
          <w:rStyle w:val="SectionNumber"/>
        </w:rPr>
        <w:t>3</w:t>
      </w:r>
      <w:r>
        <w:tab/>
        <w:t>Données et méthodologie</w:t>
      </w:r>
      <w:bookmarkEnd w:id="5"/>
    </w:p>
    <w:p w14:paraId="43FF165C" w14:textId="77777777" w:rsidR="00DF443C" w:rsidRDefault="005376F7">
      <w:pPr>
        <w:pStyle w:val="Titre2"/>
      </w:pPr>
      <w:bookmarkStart w:id="6" w:name="fichiers-mobilisés"/>
      <w:bookmarkStart w:id="7" w:name="_Toc227362188"/>
      <w:r>
        <w:rPr>
          <w:rStyle w:val="SectionNumber"/>
        </w:rPr>
        <w:t>3.1</w:t>
      </w:r>
      <w:r>
        <w:tab/>
        <w:t>Fichiers mobilisés</w:t>
      </w:r>
      <w:bookmarkEnd w:id="7"/>
    </w:p>
    <w:p w14:paraId="2C09A5AF" w14:textId="77777777" w:rsidR="00DF443C" w:rsidRDefault="005376F7">
      <w:pPr>
        <w:pStyle w:val="FirstParagraph"/>
      </w:pPr>
      <w:r>
        <w:t xml:space="preserve">Cinq fichiers </w:t>
      </w:r>
      <w:r>
        <w:rPr>
          <w:rStyle w:val="VerbatimChar"/>
        </w:rPr>
        <w:t>.dta</w:t>
      </w:r>
      <w:r>
        <w:t xml:space="preserve"> du GHS Panel W4 sont utilisés dans ce travail :</w:t>
      </w:r>
    </w:p>
    <w:p w14:paraId="0925F163" w14:textId="77777777" w:rsidR="00DF443C" w:rsidRDefault="005376F7">
      <w:pPr>
        <w:pStyle w:val="Compact"/>
        <w:numPr>
          <w:ilvl w:val="0"/>
          <w:numId w:val="15"/>
        </w:numPr>
      </w:pPr>
      <w:r>
        <w:rPr>
          <w:rStyle w:val="VerbatimChar"/>
          <w:b/>
          <w:bCs/>
        </w:rPr>
        <w:t>secta3i_harvestw4.dta</w:t>
      </w:r>
      <w:r>
        <w:t xml:space="preserve"> (14</w:t>
      </w:r>
      <w:r>
        <w:t xml:space="preserve"> 197 obs.) : cultures par parcelle avec quantités récoltées et facteurs de conversion en kg.</w:t>
      </w:r>
    </w:p>
    <w:p w14:paraId="0FAA0908" w14:textId="77777777" w:rsidR="00DF443C" w:rsidRDefault="005376F7">
      <w:pPr>
        <w:pStyle w:val="Compact"/>
        <w:numPr>
          <w:ilvl w:val="0"/>
          <w:numId w:val="15"/>
        </w:numPr>
      </w:pPr>
      <w:r>
        <w:rPr>
          <w:rStyle w:val="VerbatimChar"/>
          <w:b/>
          <w:bCs/>
        </w:rPr>
        <w:t>secta3ii_harvestw4.dta</w:t>
      </w:r>
      <w:r>
        <w:t xml:space="preserve"> (8 839 obs.) : production totale par culture et ménage.</w:t>
      </w:r>
    </w:p>
    <w:p w14:paraId="092935E0" w14:textId="77777777" w:rsidR="00DF443C" w:rsidRDefault="005376F7">
      <w:pPr>
        <w:pStyle w:val="Compact"/>
        <w:numPr>
          <w:ilvl w:val="0"/>
          <w:numId w:val="15"/>
        </w:numPr>
      </w:pPr>
      <w:r>
        <w:rPr>
          <w:rStyle w:val="VerbatimChar"/>
          <w:b/>
          <w:bCs/>
        </w:rPr>
        <w:t>secta11c2_harvestw4.dta</w:t>
      </w:r>
      <w:r>
        <w:t xml:space="preserve"> (8 293 obs.) : module intrants — engrais NPK, urée, organiqu</w:t>
      </w:r>
      <w:r>
        <w:t>e, pesticides — par parcelle.</w:t>
      </w:r>
    </w:p>
    <w:p w14:paraId="0D048E2C" w14:textId="77777777" w:rsidR="00DF443C" w:rsidRDefault="005376F7">
      <w:pPr>
        <w:pStyle w:val="Compact"/>
        <w:numPr>
          <w:ilvl w:val="0"/>
          <w:numId w:val="15"/>
        </w:numPr>
      </w:pPr>
      <w:r>
        <w:rPr>
          <w:rStyle w:val="VerbatimChar"/>
          <w:b/>
          <w:bCs/>
        </w:rPr>
        <w:t>sect11a1_plantingw4.dta</w:t>
      </w:r>
      <w:r>
        <w:t xml:space="preserve"> (11 076 obs.) : parcelles avec mesures GPS et superficies déclarées.</w:t>
      </w:r>
    </w:p>
    <w:p w14:paraId="02CEDF84" w14:textId="77777777" w:rsidR="00DF443C" w:rsidRDefault="005376F7">
      <w:pPr>
        <w:pStyle w:val="Compact"/>
        <w:numPr>
          <w:ilvl w:val="0"/>
          <w:numId w:val="15"/>
        </w:numPr>
      </w:pPr>
      <w:r>
        <w:rPr>
          <w:rStyle w:val="VerbatimChar"/>
          <w:b/>
          <w:bCs/>
        </w:rPr>
        <w:t>secta_harvestw4.dta</w:t>
      </w:r>
      <w:r>
        <w:t xml:space="preserve"> (5 025 ménages) : poids de sondage Post-Harvest (</w:t>
      </w:r>
      <w:r>
        <w:rPr>
          <w:rStyle w:val="VerbatimChar"/>
        </w:rPr>
        <w:t>wt_wave4</w:t>
      </w:r>
      <w:r>
        <w:t>), strates et clusters.</w:t>
      </w:r>
    </w:p>
    <w:p w14:paraId="556180E7" w14:textId="77777777" w:rsidR="00DF443C" w:rsidRDefault="005376F7">
      <w:pPr>
        <w:pStyle w:val="Titre2"/>
      </w:pPr>
      <w:bookmarkStart w:id="8" w:name="construction-des-variables-analytiques"/>
      <w:bookmarkStart w:id="9" w:name="_Toc227362189"/>
      <w:bookmarkEnd w:id="6"/>
      <w:r>
        <w:rPr>
          <w:rStyle w:val="SectionNumber"/>
        </w:rPr>
        <w:lastRenderedPageBreak/>
        <w:t>3.2</w:t>
      </w:r>
      <w:r>
        <w:tab/>
      </w:r>
      <w:r>
        <w:t>Construction des variables analytiques</w:t>
      </w:r>
      <w:bookmarkEnd w:id="9"/>
    </w:p>
    <w:p w14:paraId="189AEF5F" w14:textId="77777777" w:rsidR="00DF443C" w:rsidRDefault="005376F7">
      <w:pPr>
        <w:pStyle w:val="FirstParagraph"/>
      </w:pPr>
      <w:r>
        <w:rPr>
          <w:b/>
          <w:bCs/>
        </w:rPr>
        <w:t>Superficies.</w:t>
      </w:r>
      <w:r>
        <w:t xml:space="preserve"> La mesure GPS (</w:t>
      </w:r>
      <w:r>
        <w:rPr>
          <w:rStyle w:val="VerbatimChar"/>
        </w:rPr>
        <w:t>s11aq4c</w:t>
      </w:r>
      <w:r>
        <w:t>, en m²) est prioritaire (stratégie GPS-first, Carletto et al. 2015). En son absence, la superficie déclarée est convertie en hectares via les facteurs de conversion BID Appendix 2 (</w:t>
      </w:r>
      <w:r>
        <w:t>Heaps, Ridges, Stands) spécifiques à chaque zone géopolitique. Les parcelles dépassant 50 ha sont marquées comme aberrantes et exclues (seuil standard LSMS-ISA).</w:t>
      </w:r>
    </w:p>
    <w:p w14:paraId="0ADDC4A4" w14:textId="77777777" w:rsidR="00DF443C" w:rsidRDefault="005376F7">
      <w:pPr>
        <w:pStyle w:val="Corpsdetexte"/>
      </w:pPr>
      <w:r>
        <w:rPr>
          <w:b/>
          <w:bCs/>
        </w:rPr>
        <w:t>Production en kg.</w:t>
      </w:r>
      <w:r>
        <w:t xml:space="preserve"> Les quantités récoltées sont converties en kilogrammes via les facteurs de c</w:t>
      </w:r>
      <w:r>
        <w:t>onversion fournis dans les fichiers (</w:t>
      </w:r>
      <w:r>
        <w:rPr>
          <w:rStyle w:val="VerbatimChar"/>
        </w:rPr>
        <w:t>sa3iq6_conv</w:t>
      </w:r>
      <w:r>
        <w:t>), qui intègrent l’unité de mesure et la taille de contenant.</w:t>
      </w:r>
    </w:p>
    <w:p w14:paraId="78CD72BC" w14:textId="77777777" w:rsidR="00DF443C" w:rsidRDefault="005376F7">
      <w:pPr>
        <w:pStyle w:val="Corpsdetexte"/>
      </w:pPr>
      <w:r>
        <w:rPr>
          <w:b/>
          <w:bCs/>
        </w:rPr>
        <w:t>Rendements à l’hectare.</w:t>
      </w:r>
      <w:r>
        <w:t xml:space="preserve"> Le rendement est calculé comme le rapport production (kg) / superficie (ha). Les valeurs aberrantes sont éliminées par la </w:t>
      </w:r>
      <w:r>
        <w:t xml:space="preserve">méthode </w:t>
      </w:r>
      <w:r>
        <w:rPr>
          <w:b/>
          <w:bCs/>
        </w:rPr>
        <w:t>IQR × 3</w:t>
      </w:r>
      <w:r>
        <w:t xml:space="preserve"> : toute observation au-delà de Q1 − 3·IQR ou Q3 + 3·IQR est exclue. Au total, 460 observations ont été écartées (4,2% des obs. avec rendement calculé).</w:t>
      </w:r>
    </w:p>
    <w:p w14:paraId="7CB7881C" w14:textId="77777777" w:rsidR="00DF443C" w:rsidRDefault="005376F7">
      <w:pPr>
        <w:pStyle w:val="Titre2"/>
      </w:pPr>
      <w:bookmarkStart w:id="10" w:name="tests-statistiques-utilisés"/>
      <w:bookmarkStart w:id="11" w:name="_Toc227362190"/>
      <w:bookmarkEnd w:id="8"/>
      <w:r>
        <w:rPr>
          <w:rStyle w:val="SectionNumber"/>
        </w:rPr>
        <w:t>3.3</w:t>
      </w:r>
      <w:r>
        <w:tab/>
        <w:t>Tests statistiques utilisés</w:t>
      </w:r>
      <w:bookmarkEnd w:id="11"/>
    </w:p>
    <w:tbl>
      <w:tblPr>
        <w:tblStyle w:val="Table"/>
        <w:tblW w:w="5000" w:type="pct"/>
        <w:tblLayout w:type="fixed"/>
        <w:tblLook w:val="0020" w:firstRow="1" w:lastRow="0" w:firstColumn="0" w:lastColumn="0" w:noHBand="0" w:noVBand="0"/>
      </w:tblPr>
      <w:tblGrid>
        <w:gridCol w:w="3304"/>
        <w:gridCol w:w="3854"/>
        <w:gridCol w:w="2202"/>
      </w:tblGrid>
      <w:tr w:rsidR="00DF443C" w14:paraId="58B4E071" w14:textId="77777777" w:rsidTr="00DF443C">
        <w:trPr>
          <w:cnfStyle w:val="100000000000" w:firstRow="1" w:lastRow="0" w:firstColumn="0" w:lastColumn="0" w:oddVBand="0" w:evenVBand="0" w:oddHBand="0" w:evenHBand="0" w:firstRowFirstColumn="0" w:firstRowLastColumn="0" w:lastRowFirstColumn="0" w:lastRowLastColumn="0"/>
          <w:tblHeader/>
        </w:trPr>
        <w:tc>
          <w:tcPr>
            <w:tcW w:w="2795" w:type="dxa"/>
          </w:tcPr>
          <w:p w14:paraId="27ED9714" w14:textId="77777777" w:rsidR="00DF443C" w:rsidRDefault="005376F7">
            <w:pPr>
              <w:pStyle w:val="Compact"/>
              <w:jc w:val="left"/>
            </w:pPr>
            <w:r>
              <w:t>Test</w:t>
            </w:r>
          </w:p>
        </w:tc>
        <w:tc>
          <w:tcPr>
            <w:tcW w:w="3261" w:type="dxa"/>
          </w:tcPr>
          <w:p w14:paraId="60C9AC4F" w14:textId="77777777" w:rsidR="00DF443C" w:rsidRDefault="005376F7">
            <w:pPr>
              <w:pStyle w:val="Compact"/>
              <w:jc w:val="left"/>
            </w:pPr>
            <w:r>
              <w:t>Usage</w:t>
            </w:r>
          </w:p>
        </w:tc>
        <w:tc>
          <w:tcPr>
            <w:tcW w:w="1863" w:type="dxa"/>
          </w:tcPr>
          <w:p w14:paraId="33E44EEE" w14:textId="77777777" w:rsidR="00DF443C" w:rsidRDefault="005376F7">
            <w:pPr>
              <w:pStyle w:val="Compact"/>
              <w:jc w:val="left"/>
            </w:pPr>
            <w:r>
              <w:t>H₀</w:t>
            </w:r>
          </w:p>
        </w:tc>
      </w:tr>
      <w:tr w:rsidR="00DF443C" w14:paraId="17747ED2" w14:textId="77777777">
        <w:tc>
          <w:tcPr>
            <w:tcW w:w="2795" w:type="dxa"/>
          </w:tcPr>
          <w:p w14:paraId="2E13430B" w14:textId="77777777" w:rsidR="00DF443C" w:rsidRDefault="005376F7">
            <w:pPr>
              <w:pStyle w:val="Compact"/>
              <w:jc w:val="left"/>
            </w:pPr>
            <w:r>
              <w:rPr>
                <w:b/>
                <w:bCs/>
              </w:rPr>
              <w:t>Wilcoxon-Mann-Whitney</w:t>
            </w:r>
          </w:p>
        </w:tc>
        <w:tc>
          <w:tcPr>
            <w:tcW w:w="3261" w:type="dxa"/>
          </w:tcPr>
          <w:p w14:paraId="33FFB75E" w14:textId="77777777" w:rsidR="00DF443C" w:rsidRDefault="005376F7">
            <w:pPr>
              <w:pStyle w:val="Compact"/>
              <w:jc w:val="left"/>
            </w:pPr>
            <w:r>
              <w:t>Diversification Rur</w:t>
            </w:r>
            <w:r>
              <w:t>al vs Urbain</w:t>
            </w:r>
          </w:p>
        </w:tc>
        <w:tc>
          <w:tcPr>
            <w:tcW w:w="1863" w:type="dxa"/>
          </w:tcPr>
          <w:p w14:paraId="742A57BA" w14:textId="77777777" w:rsidR="00DF443C" w:rsidRDefault="005376F7">
            <w:pPr>
              <w:pStyle w:val="Compact"/>
              <w:jc w:val="left"/>
            </w:pPr>
            <w:r>
              <w:t>Distributions identiques</w:t>
            </w:r>
          </w:p>
        </w:tc>
      </w:tr>
      <w:tr w:rsidR="00DF443C" w14:paraId="58CBF28C" w14:textId="77777777">
        <w:tc>
          <w:tcPr>
            <w:tcW w:w="2795" w:type="dxa"/>
          </w:tcPr>
          <w:p w14:paraId="6B3208B1" w14:textId="77777777" w:rsidR="00DF443C" w:rsidRDefault="005376F7">
            <w:pPr>
              <w:pStyle w:val="Compact"/>
              <w:jc w:val="left"/>
            </w:pPr>
            <w:r>
              <w:rPr>
                <w:b/>
                <w:bCs/>
              </w:rPr>
              <w:t>Wilcoxon-Mann-Whitney</w:t>
            </w:r>
          </w:p>
        </w:tc>
        <w:tc>
          <w:tcPr>
            <w:tcW w:w="3261" w:type="dxa"/>
          </w:tcPr>
          <w:p w14:paraId="7984564C" w14:textId="77777777" w:rsidR="00DF443C" w:rsidRDefault="005376F7">
            <w:pPr>
              <w:pStyle w:val="Compact"/>
              <w:jc w:val="left"/>
            </w:pPr>
            <w:r>
              <w:t>Rendements avec/sans engrais</w:t>
            </w:r>
          </w:p>
        </w:tc>
        <w:tc>
          <w:tcPr>
            <w:tcW w:w="1863" w:type="dxa"/>
          </w:tcPr>
          <w:p w14:paraId="64EFA64E" w14:textId="77777777" w:rsidR="00DF443C" w:rsidRDefault="005376F7">
            <w:pPr>
              <w:pStyle w:val="Compact"/>
              <w:jc w:val="left"/>
            </w:pPr>
            <w:r>
              <w:t>Médianes égales</w:t>
            </w:r>
          </w:p>
        </w:tc>
      </w:tr>
      <w:tr w:rsidR="00DF443C" w14:paraId="14020853" w14:textId="77777777">
        <w:tc>
          <w:tcPr>
            <w:tcW w:w="2795" w:type="dxa"/>
          </w:tcPr>
          <w:p w14:paraId="2324DA80" w14:textId="77777777" w:rsidR="00DF443C" w:rsidRDefault="005376F7">
            <w:pPr>
              <w:pStyle w:val="Compact"/>
              <w:jc w:val="left"/>
            </w:pPr>
            <w:r>
              <w:rPr>
                <w:b/>
                <w:bCs/>
              </w:rPr>
              <w:t>Chi-deux d’indépendance</w:t>
            </w:r>
          </w:p>
        </w:tc>
        <w:tc>
          <w:tcPr>
            <w:tcW w:w="3261" w:type="dxa"/>
          </w:tcPr>
          <w:p w14:paraId="57DF1AB8" w14:textId="77777777" w:rsidR="00DF443C" w:rsidRDefault="005376F7">
            <w:pPr>
              <w:pStyle w:val="Compact"/>
              <w:jc w:val="left"/>
            </w:pPr>
            <w:r>
              <w:t>Zone × Utilisation engrais</w:t>
            </w:r>
          </w:p>
        </w:tc>
        <w:tc>
          <w:tcPr>
            <w:tcW w:w="1863" w:type="dxa"/>
          </w:tcPr>
          <w:p w14:paraId="2510E3DB" w14:textId="77777777" w:rsidR="00DF443C" w:rsidRDefault="005376F7">
            <w:pPr>
              <w:pStyle w:val="Compact"/>
              <w:jc w:val="left"/>
            </w:pPr>
            <w:r>
              <w:t>Indépendance</w:t>
            </w:r>
          </w:p>
        </w:tc>
      </w:tr>
      <w:tr w:rsidR="00DF443C" w14:paraId="5F04A98F" w14:textId="77777777">
        <w:tc>
          <w:tcPr>
            <w:tcW w:w="2795" w:type="dxa"/>
          </w:tcPr>
          <w:p w14:paraId="2D0621BC" w14:textId="77777777" w:rsidR="00DF443C" w:rsidRDefault="005376F7">
            <w:pPr>
              <w:pStyle w:val="Compact"/>
              <w:jc w:val="left"/>
            </w:pPr>
            <w:r>
              <w:rPr>
                <w:b/>
                <w:bCs/>
              </w:rPr>
              <w:t>V de Cramer</w:t>
            </w:r>
          </w:p>
        </w:tc>
        <w:tc>
          <w:tcPr>
            <w:tcW w:w="3261" w:type="dxa"/>
          </w:tcPr>
          <w:p w14:paraId="5F48EB02" w14:textId="77777777" w:rsidR="00DF443C" w:rsidRDefault="005376F7">
            <w:pPr>
              <w:pStyle w:val="Compact"/>
              <w:jc w:val="left"/>
            </w:pPr>
            <w:r>
              <w:t>Force de l’association (chi-deux)</w:t>
            </w:r>
          </w:p>
        </w:tc>
        <w:tc>
          <w:tcPr>
            <w:tcW w:w="1863" w:type="dxa"/>
          </w:tcPr>
          <w:p w14:paraId="0B6C9108" w14:textId="77777777" w:rsidR="00DF443C" w:rsidRDefault="005376F7">
            <w:pPr>
              <w:pStyle w:val="Compact"/>
              <w:jc w:val="left"/>
            </w:pPr>
            <w:r>
              <w:t>—</w:t>
            </w:r>
          </w:p>
        </w:tc>
      </w:tr>
    </w:tbl>
    <w:p w14:paraId="50E9C1FE" w14:textId="77777777" w:rsidR="00DF443C" w:rsidRDefault="005376F7">
      <w:pPr>
        <w:pStyle w:val="Corpsdetexte"/>
      </w:pPr>
      <w:r>
        <w:t>Le test de Wilcoxon est retenu car les distributions de cultures et de rendements sont fortement asymétriques (asymétrie à droite) et ne satisfont pas l’hypothèse de normalité. La taille d’effet r = |Z|/√N est interprétée selon les seuils : r &lt; 0,1 = négli</w:t>
      </w:r>
      <w:r>
        <w:t>geable ; 0,1–0,3 = petit ; 0,3–0,5 = modéré ; &gt; 0,5 = grand (Cohen, 1988).</w:t>
      </w:r>
    </w:p>
    <w:p w14:paraId="32C40E75" w14:textId="77777777" w:rsidR="00DF443C" w:rsidRDefault="005376F7">
      <w:r>
        <w:pict w14:anchorId="41FFE048">
          <v:rect id="_x0000_i1028" style="width:0;height:1.5pt" o:hralign="center" o:hrstd="t" o:hr="t"/>
        </w:pict>
      </w:r>
    </w:p>
    <w:p w14:paraId="266B6889" w14:textId="77777777" w:rsidR="00DF443C" w:rsidRDefault="005376F7">
      <w:pPr>
        <w:pStyle w:val="Titre1"/>
      </w:pPr>
      <w:bookmarkStart w:id="12" w:name="résultats"/>
      <w:bookmarkStart w:id="13" w:name="_Toc227362191"/>
      <w:bookmarkEnd w:id="4"/>
      <w:bookmarkEnd w:id="10"/>
      <w:r>
        <w:rPr>
          <w:rStyle w:val="SectionNumber"/>
        </w:rPr>
        <w:lastRenderedPageBreak/>
        <w:t>4</w:t>
      </w:r>
      <w:r>
        <w:tab/>
        <w:t>Résultats</w:t>
      </w:r>
      <w:bookmarkEnd w:id="13"/>
    </w:p>
    <w:p w14:paraId="019614EF" w14:textId="77777777" w:rsidR="00DF443C" w:rsidRDefault="005376F7">
      <w:pPr>
        <w:pStyle w:val="Titre2"/>
      </w:pPr>
      <w:bookmarkStart w:id="14" w:name="X778745c9ed190f6855019921a36ce2bf5ea35b8"/>
      <w:bookmarkStart w:id="15" w:name="_Toc227362192"/>
      <w:r>
        <w:rPr>
          <w:rStyle w:val="SectionNumber"/>
        </w:rPr>
        <w:t>4.1</w:t>
      </w:r>
      <w:r>
        <w:tab/>
        <w:t>Tâche 1 — Les 15 cultures les plus pratiquées (W4)</w:t>
      </w:r>
      <w:bookmarkEnd w:id="15"/>
    </w:p>
    <w:p w14:paraId="75ADBB09" w14:textId="77777777" w:rsidR="00DF443C" w:rsidRDefault="005376F7">
      <w:pPr>
        <w:pStyle w:val="CaptionedFigure"/>
      </w:pPr>
      <w:r>
        <w:rPr>
          <w:noProof/>
        </w:rPr>
        <w:drawing>
          <wp:inline distT="0" distB="0" distL="0" distR="0" wp14:anchorId="104C10F6" wp14:editId="513368EF">
            <wp:extent cx="5646420" cy="3764280"/>
            <wp:effectExtent l="0" t="0" r="0" b="0"/>
            <wp:docPr id="27" name="Picture" descr="Les 15 cultures les plus fréquentes au Nigeria en 2018-2019. Parts pondérées par wt_wave4, sur les ménages ayant effectivement récolté la culture."/>
            <wp:cNvGraphicFramePr/>
            <a:graphic xmlns:a="http://schemas.openxmlformats.org/drawingml/2006/main">
              <a:graphicData uri="http://schemas.openxmlformats.org/drawingml/2006/picture">
                <pic:pic xmlns:pic="http://schemas.openxmlformats.org/drawingml/2006/picture">
                  <pic:nvPicPr>
                    <pic:cNvPr id="28" name="Picture" descr="D:\ENSAE\ISE1\SEMESTRE 2\Projet_Statistique\TP5_GROUPE12_LESLYE_NKWA_OUATTARA_Ousmane\rapports\rapport_files/7e693fdbada316696123df2e799f177681a72f1d.png"/>
                    <pic:cNvPicPr>
                      <a:picLocks noChangeAspect="1" noChangeArrowheads="1"/>
                    </pic:cNvPicPr>
                  </pic:nvPicPr>
                  <pic:blipFill>
                    <a:blip r:embed="rId7"/>
                    <a:stretch>
                      <a:fillRect/>
                    </a:stretch>
                  </pic:blipFill>
                  <pic:spPr bwMode="auto">
                    <a:xfrm>
                      <a:off x="0" y="0"/>
                      <a:ext cx="5646420" cy="3764280"/>
                    </a:xfrm>
                    <a:prstGeom prst="rect">
                      <a:avLst/>
                    </a:prstGeom>
                    <a:noFill/>
                    <a:ln w="9525">
                      <a:noFill/>
                      <a:headEnd/>
                      <a:tailEnd/>
                    </a:ln>
                  </pic:spPr>
                </pic:pic>
              </a:graphicData>
            </a:graphic>
          </wp:inline>
        </w:drawing>
      </w:r>
    </w:p>
    <w:p w14:paraId="24ED3A8A" w14:textId="77777777" w:rsidR="00DF443C" w:rsidRDefault="005376F7">
      <w:pPr>
        <w:pStyle w:val="ImageCaption"/>
      </w:pPr>
      <w:r>
        <w:t>Les 15 cultures les plus fréquentes au Nigeria en 2018-2019. Parts pondérées par wt_wave4, sur les ménages aya</w:t>
      </w:r>
      <w:r>
        <w:t>nt effectivement récolté la culture.</w:t>
      </w:r>
    </w:p>
    <w:p w14:paraId="3BEB7F4C" w14:textId="77777777" w:rsidR="00DF443C" w:rsidRDefault="005376F7">
      <w:pPr>
        <w:pStyle w:val="TableCaption"/>
        <w:pBdr>
          <w:top w:val="none" w:sz="0" w:space="0" w:color="000000"/>
          <w:left w:val="none" w:sz="0" w:space="0" w:color="000000"/>
          <w:bottom w:val="none" w:sz="0" w:space="0" w:color="000000"/>
          <w:right w:val="none" w:sz="0" w:space="0" w:color="000000"/>
        </w:pBdr>
        <w:spacing w:before="60" w:after="60" w:line="240" w:lineRule="auto"/>
        <w:ind w:left="60" w:right="60"/>
        <w:jc w:val="center"/>
      </w:pPr>
      <w:r>
        <w:t>Top 15 cultures pratiquées (W4, pondéré)</w:t>
      </w:r>
    </w:p>
    <w:tbl>
      <w:tblPr>
        <w:tblW w:w="0" w:type="auto"/>
        <w:jc w:val="center"/>
        <w:tblLayout w:type="fixed"/>
        <w:tblLook w:val="0420" w:firstRow="1" w:lastRow="0" w:firstColumn="0" w:lastColumn="0" w:noHBand="0" w:noVBand="1"/>
      </w:tblPr>
      <w:tblGrid>
        <w:gridCol w:w="1080"/>
        <w:gridCol w:w="1080"/>
        <w:gridCol w:w="1080"/>
        <w:gridCol w:w="1080"/>
      </w:tblGrid>
      <w:tr w:rsidR="00DF443C" w14:paraId="0D9551D6" w14:textId="77777777">
        <w:trPr>
          <w:tblHeader/>
          <w:jc w:val="center"/>
        </w:trPr>
        <w:tc>
          <w:tcPr>
            <w:tcW w:w="1080" w:type="dxa"/>
            <w:tcBorders>
              <w:top w:val="single" w:sz="12" w:space="0" w:color="1B5E20"/>
              <w:left w:val="single" w:sz="12" w:space="0" w:color="1B5E20"/>
              <w:bottom w:val="single" w:sz="12" w:space="0" w:color="1B5E20"/>
              <w:right w:val="none" w:sz="0" w:space="0" w:color="000000"/>
            </w:tcBorders>
            <w:shd w:val="clear" w:color="auto" w:fill="1B5E20"/>
            <w:tcMar>
              <w:top w:w="0" w:type="dxa"/>
              <w:left w:w="0" w:type="dxa"/>
              <w:bottom w:w="0" w:type="dxa"/>
              <w:right w:w="0" w:type="dxa"/>
            </w:tcMar>
            <w:vAlign w:val="center"/>
          </w:tcPr>
          <w:p w14:paraId="547F652B"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ascii="Arial" w:eastAsia="Arial" w:hAnsi="Arial" w:cs="Arial"/>
                <w:b/>
                <w:color w:val="FFFFFF"/>
                <w:sz w:val="19"/>
                <w:szCs w:val="19"/>
              </w:rPr>
            </w:pPr>
            <w:r>
              <w:rPr>
                <w:rFonts w:ascii="Arial" w:eastAsia="Arial" w:hAnsi="Arial" w:cs="Arial"/>
                <w:b/>
                <w:color w:val="FFFFFF"/>
                <w:sz w:val="19"/>
                <w:szCs w:val="19"/>
              </w:rPr>
              <w:t>Rang</w:t>
            </w:r>
          </w:p>
        </w:tc>
        <w:tc>
          <w:tcPr>
            <w:tcW w:w="1080" w:type="dxa"/>
            <w:tcBorders>
              <w:top w:val="single" w:sz="12" w:space="0" w:color="1B5E20"/>
              <w:left w:val="none" w:sz="0" w:space="0" w:color="000000"/>
              <w:bottom w:val="single" w:sz="12" w:space="0" w:color="1B5E20"/>
              <w:right w:val="none" w:sz="0" w:space="0" w:color="000000"/>
            </w:tcBorders>
            <w:shd w:val="clear" w:color="auto" w:fill="1B5E20"/>
            <w:tcMar>
              <w:top w:w="0" w:type="dxa"/>
              <w:left w:w="0" w:type="dxa"/>
              <w:bottom w:w="0" w:type="dxa"/>
              <w:right w:w="0" w:type="dxa"/>
            </w:tcMar>
            <w:vAlign w:val="center"/>
          </w:tcPr>
          <w:p w14:paraId="3659054D"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ascii="Arial" w:eastAsia="Arial" w:hAnsi="Arial" w:cs="Arial"/>
                <w:b/>
                <w:color w:val="FFFFFF"/>
                <w:sz w:val="19"/>
                <w:szCs w:val="19"/>
              </w:rPr>
            </w:pPr>
            <w:r>
              <w:rPr>
                <w:rFonts w:ascii="Arial" w:eastAsia="Arial" w:hAnsi="Arial" w:cs="Arial"/>
                <w:b/>
                <w:color w:val="FFFFFF"/>
                <w:sz w:val="19"/>
                <w:szCs w:val="19"/>
              </w:rPr>
              <w:t>Culture</w:t>
            </w:r>
          </w:p>
        </w:tc>
        <w:tc>
          <w:tcPr>
            <w:tcW w:w="1080" w:type="dxa"/>
            <w:tcBorders>
              <w:top w:val="single" w:sz="12" w:space="0" w:color="1B5E20"/>
              <w:left w:val="none" w:sz="0" w:space="0" w:color="000000"/>
              <w:bottom w:val="single" w:sz="12" w:space="0" w:color="1B5E20"/>
              <w:right w:val="none" w:sz="0" w:space="0" w:color="000000"/>
            </w:tcBorders>
            <w:shd w:val="clear" w:color="auto" w:fill="1B5E20"/>
            <w:tcMar>
              <w:top w:w="0" w:type="dxa"/>
              <w:left w:w="0" w:type="dxa"/>
              <w:bottom w:w="0" w:type="dxa"/>
              <w:right w:w="0" w:type="dxa"/>
            </w:tcMar>
            <w:vAlign w:val="center"/>
          </w:tcPr>
          <w:p w14:paraId="102D3D48"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ascii="Arial" w:eastAsia="Arial" w:hAnsi="Arial" w:cs="Arial"/>
                <w:b/>
                <w:color w:val="FFFFFF"/>
                <w:sz w:val="19"/>
                <w:szCs w:val="19"/>
              </w:rPr>
            </w:pPr>
            <w:r>
              <w:rPr>
                <w:rFonts w:ascii="Arial" w:eastAsia="Arial" w:hAnsi="Arial" w:cs="Arial"/>
                <w:b/>
                <w:color w:val="FFFFFF"/>
                <w:sz w:val="19"/>
                <w:szCs w:val="19"/>
              </w:rPr>
              <w:t>Type</w:t>
            </w:r>
          </w:p>
        </w:tc>
        <w:tc>
          <w:tcPr>
            <w:tcW w:w="1080" w:type="dxa"/>
            <w:tcBorders>
              <w:top w:val="single" w:sz="12" w:space="0" w:color="1B5E20"/>
              <w:left w:val="none" w:sz="0" w:space="0" w:color="000000"/>
              <w:bottom w:val="single" w:sz="12" w:space="0" w:color="1B5E20"/>
              <w:right w:val="single" w:sz="12" w:space="0" w:color="1B5E20"/>
            </w:tcBorders>
            <w:shd w:val="clear" w:color="auto" w:fill="1B5E20"/>
            <w:tcMar>
              <w:top w:w="0" w:type="dxa"/>
              <w:left w:w="0" w:type="dxa"/>
              <w:bottom w:w="0" w:type="dxa"/>
              <w:right w:w="0" w:type="dxa"/>
            </w:tcMar>
            <w:vAlign w:val="center"/>
          </w:tcPr>
          <w:p w14:paraId="3294B29F"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ascii="Arial" w:eastAsia="Arial" w:hAnsi="Arial" w:cs="Arial"/>
                <w:b/>
                <w:color w:val="FFFFFF"/>
                <w:sz w:val="19"/>
                <w:szCs w:val="19"/>
              </w:rPr>
            </w:pPr>
            <w:r>
              <w:rPr>
                <w:rFonts w:ascii="Arial" w:eastAsia="Arial" w:hAnsi="Arial" w:cs="Arial"/>
                <w:b/>
                <w:color w:val="FFFFFF"/>
                <w:sz w:val="19"/>
                <w:szCs w:val="19"/>
              </w:rPr>
              <w:t>Part (%)</w:t>
            </w:r>
          </w:p>
        </w:tc>
      </w:tr>
      <w:tr w:rsidR="00DF443C" w14:paraId="7ADFE6A5" w14:textId="77777777">
        <w:trPr>
          <w:jc w:val="center"/>
        </w:trPr>
        <w:tc>
          <w:tcPr>
            <w:tcW w:w="1080" w:type="dxa"/>
            <w:tcBorders>
              <w:top w:val="single" w:sz="12" w:space="0" w:color="1B5E20"/>
              <w:left w:val="single" w:sz="12" w:space="0" w:color="1B5E20"/>
              <w:bottom w:val="single" w:sz="3" w:space="0" w:color="AAAAAA"/>
              <w:right w:val="none" w:sz="0" w:space="0" w:color="000000"/>
            </w:tcBorders>
            <w:shd w:val="clear" w:color="auto" w:fill="FFFFFF"/>
            <w:tcMar>
              <w:top w:w="0" w:type="dxa"/>
              <w:left w:w="0" w:type="dxa"/>
              <w:bottom w:w="0" w:type="dxa"/>
              <w:right w:w="0" w:type="dxa"/>
            </w:tcMar>
            <w:vAlign w:val="center"/>
          </w:tcPr>
          <w:p w14:paraId="34712A94"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1</w:t>
            </w:r>
          </w:p>
        </w:tc>
        <w:tc>
          <w:tcPr>
            <w:tcW w:w="1080" w:type="dxa"/>
            <w:tcBorders>
              <w:top w:val="single" w:sz="12" w:space="0" w:color="1B5E20"/>
              <w:left w:val="none" w:sz="0" w:space="0" w:color="000000"/>
              <w:bottom w:val="single" w:sz="3" w:space="0" w:color="AAAAAA"/>
              <w:right w:val="none" w:sz="0" w:space="0" w:color="000000"/>
            </w:tcBorders>
            <w:shd w:val="clear" w:color="auto" w:fill="FFFFFF"/>
            <w:tcMar>
              <w:top w:w="0" w:type="dxa"/>
              <w:left w:w="0" w:type="dxa"/>
              <w:bottom w:w="0" w:type="dxa"/>
              <w:right w:w="0" w:type="dxa"/>
            </w:tcMar>
            <w:vAlign w:val="center"/>
          </w:tcPr>
          <w:p w14:paraId="747B2D34"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Maïs</w:t>
            </w:r>
          </w:p>
        </w:tc>
        <w:tc>
          <w:tcPr>
            <w:tcW w:w="1080" w:type="dxa"/>
            <w:tcBorders>
              <w:top w:val="single" w:sz="12" w:space="0" w:color="1B5E20"/>
              <w:left w:val="none" w:sz="0" w:space="0" w:color="000000"/>
              <w:bottom w:val="single" w:sz="3" w:space="0" w:color="AAAAAA"/>
              <w:right w:val="none" w:sz="0" w:space="0" w:color="000000"/>
            </w:tcBorders>
            <w:shd w:val="clear" w:color="auto" w:fill="FFFFFF"/>
            <w:tcMar>
              <w:top w:w="0" w:type="dxa"/>
              <w:left w:w="0" w:type="dxa"/>
              <w:bottom w:w="0" w:type="dxa"/>
              <w:right w:w="0" w:type="dxa"/>
            </w:tcMar>
            <w:vAlign w:val="center"/>
          </w:tcPr>
          <w:p w14:paraId="348221FF"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Céréale</w:t>
            </w:r>
          </w:p>
        </w:tc>
        <w:tc>
          <w:tcPr>
            <w:tcW w:w="1080" w:type="dxa"/>
            <w:tcBorders>
              <w:top w:val="single" w:sz="12" w:space="0" w:color="1B5E20"/>
              <w:left w:val="none" w:sz="0" w:space="0" w:color="000000"/>
              <w:bottom w:val="single" w:sz="3" w:space="0" w:color="AAAAAA"/>
              <w:right w:val="single" w:sz="12" w:space="0" w:color="1B5E20"/>
            </w:tcBorders>
            <w:shd w:val="clear" w:color="auto" w:fill="FFFFFF"/>
            <w:tcMar>
              <w:top w:w="0" w:type="dxa"/>
              <w:left w:w="0" w:type="dxa"/>
              <w:bottom w:w="0" w:type="dxa"/>
              <w:right w:w="0" w:type="dxa"/>
            </w:tcMar>
            <w:vAlign w:val="center"/>
          </w:tcPr>
          <w:p w14:paraId="7F5F0215"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23.1</w:t>
            </w:r>
          </w:p>
        </w:tc>
      </w:tr>
      <w:tr w:rsidR="00DF443C" w14:paraId="79F5AA62" w14:textId="77777777">
        <w:trPr>
          <w:jc w:val="center"/>
        </w:trPr>
        <w:tc>
          <w:tcPr>
            <w:tcW w:w="1080" w:type="dxa"/>
            <w:tcBorders>
              <w:top w:val="single" w:sz="3" w:space="0" w:color="AAAAAA"/>
              <w:left w:val="single" w:sz="12" w:space="0" w:color="1B5E20"/>
              <w:bottom w:val="single" w:sz="3" w:space="0" w:color="AAAAAA"/>
              <w:right w:val="none" w:sz="0" w:space="0" w:color="000000"/>
            </w:tcBorders>
            <w:shd w:val="clear" w:color="auto" w:fill="E8F5E9"/>
            <w:tcMar>
              <w:top w:w="0" w:type="dxa"/>
              <w:left w:w="0" w:type="dxa"/>
              <w:bottom w:w="0" w:type="dxa"/>
              <w:right w:w="0" w:type="dxa"/>
            </w:tcMar>
            <w:vAlign w:val="center"/>
          </w:tcPr>
          <w:p w14:paraId="7AA0546E"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2</w:t>
            </w:r>
          </w:p>
        </w:tc>
        <w:tc>
          <w:tcPr>
            <w:tcW w:w="1080" w:type="dxa"/>
            <w:tcBorders>
              <w:top w:val="single" w:sz="3" w:space="0" w:color="AAAAAA"/>
              <w:left w:val="none" w:sz="0" w:space="0" w:color="000000"/>
              <w:bottom w:val="single" w:sz="3" w:space="0" w:color="AAAAAA"/>
              <w:right w:val="none" w:sz="0" w:space="0" w:color="000000"/>
            </w:tcBorders>
            <w:shd w:val="clear" w:color="auto" w:fill="E8F5E9"/>
            <w:tcMar>
              <w:top w:w="0" w:type="dxa"/>
              <w:left w:w="0" w:type="dxa"/>
              <w:bottom w:w="0" w:type="dxa"/>
              <w:right w:w="0" w:type="dxa"/>
            </w:tcMar>
            <w:vAlign w:val="center"/>
          </w:tcPr>
          <w:p w14:paraId="73D3EFFA"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Sorgho</w:t>
            </w:r>
          </w:p>
        </w:tc>
        <w:tc>
          <w:tcPr>
            <w:tcW w:w="1080" w:type="dxa"/>
            <w:tcBorders>
              <w:top w:val="single" w:sz="3" w:space="0" w:color="AAAAAA"/>
              <w:left w:val="none" w:sz="0" w:space="0" w:color="000000"/>
              <w:bottom w:val="single" w:sz="3" w:space="0" w:color="AAAAAA"/>
              <w:right w:val="none" w:sz="0" w:space="0" w:color="000000"/>
            </w:tcBorders>
            <w:shd w:val="clear" w:color="auto" w:fill="E8F5E9"/>
            <w:tcMar>
              <w:top w:w="0" w:type="dxa"/>
              <w:left w:w="0" w:type="dxa"/>
              <w:bottom w:w="0" w:type="dxa"/>
              <w:right w:w="0" w:type="dxa"/>
            </w:tcMar>
            <w:vAlign w:val="center"/>
          </w:tcPr>
          <w:p w14:paraId="24AA38F1"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Céréale</w:t>
            </w:r>
          </w:p>
        </w:tc>
        <w:tc>
          <w:tcPr>
            <w:tcW w:w="1080" w:type="dxa"/>
            <w:tcBorders>
              <w:top w:val="single" w:sz="3" w:space="0" w:color="AAAAAA"/>
              <w:left w:val="none" w:sz="0" w:space="0" w:color="000000"/>
              <w:bottom w:val="single" w:sz="3" w:space="0" w:color="AAAAAA"/>
              <w:right w:val="single" w:sz="12" w:space="0" w:color="1B5E20"/>
            </w:tcBorders>
            <w:shd w:val="clear" w:color="auto" w:fill="E8F5E9"/>
            <w:tcMar>
              <w:top w:w="0" w:type="dxa"/>
              <w:left w:w="0" w:type="dxa"/>
              <w:bottom w:w="0" w:type="dxa"/>
              <w:right w:w="0" w:type="dxa"/>
            </w:tcMar>
            <w:vAlign w:val="center"/>
          </w:tcPr>
          <w:p w14:paraId="3157376A"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14.7</w:t>
            </w:r>
          </w:p>
        </w:tc>
      </w:tr>
      <w:tr w:rsidR="00DF443C" w14:paraId="062B3ECB" w14:textId="77777777">
        <w:trPr>
          <w:jc w:val="center"/>
        </w:trPr>
        <w:tc>
          <w:tcPr>
            <w:tcW w:w="1080" w:type="dxa"/>
            <w:tcBorders>
              <w:top w:val="single" w:sz="3" w:space="0" w:color="AAAAAA"/>
              <w:left w:val="single" w:sz="12" w:space="0" w:color="1B5E20"/>
              <w:bottom w:val="single" w:sz="3" w:space="0" w:color="AAAAAA"/>
              <w:right w:val="none" w:sz="0" w:space="0" w:color="000000"/>
            </w:tcBorders>
            <w:shd w:val="clear" w:color="auto" w:fill="FFFFFF"/>
            <w:tcMar>
              <w:top w:w="0" w:type="dxa"/>
              <w:left w:w="0" w:type="dxa"/>
              <w:bottom w:w="0" w:type="dxa"/>
              <w:right w:w="0" w:type="dxa"/>
            </w:tcMar>
            <w:vAlign w:val="center"/>
          </w:tcPr>
          <w:p w14:paraId="60965960"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3</w:t>
            </w:r>
          </w:p>
        </w:tc>
        <w:tc>
          <w:tcPr>
            <w:tcW w:w="1080" w:type="dxa"/>
            <w:tcBorders>
              <w:top w:val="single" w:sz="3" w:space="0" w:color="AAAAAA"/>
              <w:left w:val="none" w:sz="0" w:space="0" w:color="000000"/>
              <w:bottom w:val="single" w:sz="3" w:space="0" w:color="AAAAAA"/>
              <w:right w:val="none" w:sz="0" w:space="0" w:color="000000"/>
            </w:tcBorders>
            <w:shd w:val="clear" w:color="auto" w:fill="FFFFFF"/>
            <w:tcMar>
              <w:top w:w="0" w:type="dxa"/>
              <w:left w:w="0" w:type="dxa"/>
              <w:bottom w:w="0" w:type="dxa"/>
              <w:right w:w="0" w:type="dxa"/>
            </w:tcMar>
            <w:vAlign w:val="center"/>
          </w:tcPr>
          <w:p w14:paraId="02EFA7BF"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Mil</w:t>
            </w:r>
          </w:p>
        </w:tc>
        <w:tc>
          <w:tcPr>
            <w:tcW w:w="1080" w:type="dxa"/>
            <w:tcBorders>
              <w:top w:val="single" w:sz="3" w:space="0" w:color="AAAAAA"/>
              <w:left w:val="none" w:sz="0" w:space="0" w:color="000000"/>
              <w:bottom w:val="single" w:sz="3" w:space="0" w:color="AAAAAA"/>
              <w:right w:val="none" w:sz="0" w:space="0" w:color="000000"/>
            </w:tcBorders>
            <w:shd w:val="clear" w:color="auto" w:fill="FFFFFF"/>
            <w:tcMar>
              <w:top w:w="0" w:type="dxa"/>
              <w:left w:w="0" w:type="dxa"/>
              <w:bottom w:w="0" w:type="dxa"/>
              <w:right w:w="0" w:type="dxa"/>
            </w:tcMar>
            <w:vAlign w:val="center"/>
          </w:tcPr>
          <w:p w14:paraId="3F030522"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Céréale</w:t>
            </w:r>
          </w:p>
        </w:tc>
        <w:tc>
          <w:tcPr>
            <w:tcW w:w="1080" w:type="dxa"/>
            <w:tcBorders>
              <w:top w:val="single" w:sz="3" w:space="0" w:color="AAAAAA"/>
              <w:left w:val="none" w:sz="0" w:space="0" w:color="000000"/>
              <w:bottom w:val="single" w:sz="3" w:space="0" w:color="AAAAAA"/>
              <w:right w:val="single" w:sz="12" w:space="0" w:color="1B5E20"/>
            </w:tcBorders>
            <w:shd w:val="clear" w:color="auto" w:fill="FFFFFF"/>
            <w:tcMar>
              <w:top w:w="0" w:type="dxa"/>
              <w:left w:w="0" w:type="dxa"/>
              <w:bottom w:w="0" w:type="dxa"/>
              <w:right w:w="0" w:type="dxa"/>
            </w:tcMar>
            <w:vAlign w:val="center"/>
          </w:tcPr>
          <w:p w14:paraId="71E8AC69"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11.0</w:t>
            </w:r>
          </w:p>
        </w:tc>
      </w:tr>
      <w:tr w:rsidR="00DF443C" w14:paraId="0F39CCBA" w14:textId="77777777">
        <w:trPr>
          <w:jc w:val="center"/>
        </w:trPr>
        <w:tc>
          <w:tcPr>
            <w:tcW w:w="1080" w:type="dxa"/>
            <w:tcBorders>
              <w:top w:val="single" w:sz="3" w:space="0" w:color="AAAAAA"/>
              <w:left w:val="single" w:sz="12" w:space="0" w:color="1B5E20"/>
              <w:bottom w:val="single" w:sz="3" w:space="0" w:color="AAAAAA"/>
              <w:right w:val="none" w:sz="0" w:space="0" w:color="000000"/>
            </w:tcBorders>
            <w:shd w:val="clear" w:color="auto" w:fill="E8F5E9"/>
            <w:tcMar>
              <w:top w:w="0" w:type="dxa"/>
              <w:left w:w="0" w:type="dxa"/>
              <w:bottom w:w="0" w:type="dxa"/>
              <w:right w:w="0" w:type="dxa"/>
            </w:tcMar>
            <w:vAlign w:val="center"/>
          </w:tcPr>
          <w:p w14:paraId="4414B4F5"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4</w:t>
            </w:r>
          </w:p>
        </w:tc>
        <w:tc>
          <w:tcPr>
            <w:tcW w:w="1080" w:type="dxa"/>
            <w:tcBorders>
              <w:top w:val="single" w:sz="3" w:space="0" w:color="AAAAAA"/>
              <w:left w:val="none" w:sz="0" w:space="0" w:color="000000"/>
              <w:bottom w:val="single" w:sz="3" w:space="0" w:color="AAAAAA"/>
              <w:right w:val="none" w:sz="0" w:space="0" w:color="000000"/>
            </w:tcBorders>
            <w:shd w:val="clear" w:color="auto" w:fill="E8F5E9"/>
            <w:tcMar>
              <w:top w:w="0" w:type="dxa"/>
              <w:left w:w="0" w:type="dxa"/>
              <w:bottom w:w="0" w:type="dxa"/>
              <w:right w:w="0" w:type="dxa"/>
            </w:tcMar>
            <w:vAlign w:val="center"/>
          </w:tcPr>
          <w:p w14:paraId="696EF238"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Beans/Niébé</w:t>
            </w:r>
          </w:p>
        </w:tc>
        <w:tc>
          <w:tcPr>
            <w:tcW w:w="1080" w:type="dxa"/>
            <w:tcBorders>
              <w:top w:val="single" w:sz="3" w:space="0" w:color="AAAAAA"/>
              <w:left w:val="none" w:sz="0" w:space="0" w:color="000000"/>
              <w:bottom w:val="single" w:sz="3" w:space="0" w:color="AAAAAA"/>
              <w:right w:val="none" w:sz="0" w:space="0" w:color="000000"/>
            </w:tcBorders>
            <w:shd w:val="clear" w:color="auto" w:fill="E8F5E9"/>
            <w:tcMar>
              <w:top w:w="0" w:type="dxa"/>
              <w:left w:w="0" w:type="dxa"/>
              <w:bottom w:w="0" w:type="dxa"/>
              <w:right w:w="0" w:type="dxa"/>
            </w:tcMar>
            <w:vAlign w:val="center"/>
          </w:tcPr>
          <w:p w14:paraId="604F38AA"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Légumineuse</w:t>
            </w:r>
          </w:p>
        </w:tc>
        <w:tc>
          <w:tcPr>
            <w:tcW w:w="1080" w:type="dxa"/>
            <w:tcBorders>
              <w:top w:val="single" w:sz="3" w:space="0" w:color="AAAAAA"/>
              <w:left w:val="none" w:sz="0" w:space="0" w:color="000000"/>
              <w:bottom w:val="single" w:sz="3" w:space="0" w:color="AAAAAA"/>
              <w:right w:val="single" w:sz="12" w:space="0" w:color="1B5E20"/>
            </w:tcBorders>
            <w:shd w:val="clear" w:color="auto" w:fill="E8F5E9"/>
            <w:tcMar>
              <w:top w:w="0" w:type="dxa"/>
              <w:left w:w="0" w:type="dxa"/>
              <w:bottom w:w="0" w:type="dxa"/>
              <w:right w:w="0" w:type="dxa"/>
            </w:tcMar>
            <w:vAlign w:val="center"/>
          </w:tcPr>
          <w:p w14:paraId="5A3DC84B"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9.8</w:t>
            </w:r>
          </w:p>
        </w:tc>
      </w:tr>
      <w:tr w:rsidR="00DF443C" w14:paraId="4DCD9558" w14:textId="77777777">
        <w:trPr>
          <w:jc w:val="center"/>
        </w:trPr>
        <w:tc>
          <w:tcPr>
            <w:tcW w:w="1080" w:type="dxa"/>
            <w:tcBorders>
              <w:top w:val="single" w:sz="3" w:space="0" w:color="AAAAAA"/>
              <w:left w:val="single" w:sz="12" w:space="0" w:color="1B5E20"/>
              <w:bottom w:val="single" w:sz="3" w:space="0" w:color="AAAAAA"/>
              <w:right w:val="none" w:sz="0" w:space="0" w:color="000000"/>
            </w:tcBorders>
            <w:shd w:val="clear" w:color="auto" w:fill="FFFFFF"/>
            <w:tcMar>
              <w:top w:w="0" w:type="dxa"/>
              <w:left w:w="0" w:type="dxa"/>
              <w:bottom w:w="0" w:type="dxa"/>
              <w:right w:w="0" w:type="dxa"/>
            </w:tcMar>
            <w:vAlign w:val="center"/>
          </w:tcPr>
          <w:p w14:paraId="376FA921"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5</w:t>
            </w:r>
          </w:p>
        </w:tc>
        <w:tc>
          <w:tcPr>
            <w:tcW w:w="1080" w:type="dxa"/>
            <w:tcBorders>
              <w:top w:val="single" w:sz="3" w:space="0" w:color="AAAAAA"/>
              <w:left w:val="none" w:sz="0" w:space="0" w:color="000000"/>
              <w:bottom w:val="single" w:sz="3" w:space="0" w:color="AAAAAA"/>
              <w:right w:val="none" w:sz="0" w:space="0" w:color="000000"/>
            </w:tcBorders>
            <w:shd w:val="clear" w:color="auto" w:fill="FFFFFF"/>
            <w:tcMar>
              <w:top w:w="0" w:type="dxa"/>
              <w:left w:w="0" w:type="dxa"/>
              <w:bottom w:w="0" w:type="dxa"/>
              <w:right w:w="0" w:type="dxa"/>
            </w:tcMar>
            <w:vAlign w:val="center"/>
          </w:tcPr>
          <w:p w14:paraId="51B81B3F"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Manioc</w:t>
            </w:r>
          </w:p>
        </w:tc>
        <w:tc>
          <w:tcPr>
            <w:tcW w:w="1080" w:type="dxa"/>
            <w:tcBorders>
              <w:top w:val="single" w:sz="3" w:space="0" w:color="AAAAAA"/>
              <w:left w:val="none" w:sz="0" w:space="0" w:color="000000"/>
              <w:bottom w:val="single" w:sz="3" w:space="0" w:color="AAAAAA"/>
              <w:right w:val="none" w:sz="0" w:space="0" w:color="000000"/>
            </w:tcBorders>
            <w:shd w:val="clear" w:color="auto" w:fill="FFFFFF"/>
            <w:tcMar>
              <w:top w:w="0" w:type="dxa"/>
              <w:left w:w="0" w:type="dxa"/>
              <w:bottom w:w="0" w:type="dxa"/>
              <w:right w:w="0" w:type="dxa"/>
            </w:tcMar>
            <w:vAlign w:val="center"/>
          </w:tcPr>
          <w:p w14:paraId="1EFA2BF0"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Tubercule</w:t>
            </w:r>
          </w:p>
        </w:tc>
        <w:tc>
          <w:tcPr>
            <w:tcW w:w="1080" w:type="dxa"/>
            <w:tcBorders>
              <w:top w:val="single" w:sz="3" w:space="0" w:color="AAAAAA"/>
              <w:left w:val="none" w:sz="0" w:space="0" w:color="000000"/>
              <w:bottom w:val="single" w:sz="3" w:space="0" w:color="AAAAAA"/>
              <w:right w:val="single" w:sz="12" w:space="0" w:color="1B5E20"/>
            </w:tcBorders>
            <w:shd w:val="clear" w:color="auto" w:fill="FFFFFF"/>
            <w:tcMar>
              <w:top w:w="0" w:type="dxa"/>
              <w:left w:w="0" w:type="dxa"/>
              <w:bottom w:w="0" w:type="dxa"/>
              <w:right w:w="0" w:type="dxa"/>
            </w:tcMar>
            <w:vAlign w:val="center"/>
          </w:tcPr>
          <w:p w14:paraId="7E7446D0"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8.8</w:t>
            </w:r>
          </w:p>
        </w:tc>
      </w:tr>
      <w:tr w:rsidR="00DF443C" w14:paraId="7945D3F9" w14:textId="77777777">
        <w:trPr>
          <w:jc w:val="center"/>
        </w:trPr>
        <w:tc>
          <w:tcPr>
            <w:tcW w:w="1080" w:type="dxa"/>
            <w:tcBorders>
              <w:top w:val="single" w:sz="3" w:space="0" w:color="AAAAAA"/>
              <w:left w:val="single" w:sz="12" w:space="0" w:color="1B5E20"/>
              <w:bottom w:val="single" w:sz="3" w:space="0" w:color="AAAAAA"/>
              <w:right w:val="none" w:sz="0" w:space="0" w:color="000000"/>
            </w:tcBorders>
            <w:shd w:val="clear" w:color="auto" w:fill="E8F5E9"/>
            <w:tcMar>
              <w:top w:w="0" w:type="dxa"/>
              <w:left w:w="0" w:type="dxa"/>
              <w:bottom w:w="0" w:type="dxa"/>
              <w:right w:w="0" w:type="dxa"/>
            </w:tcMar>
            <w:vAlign w:val="center"/>
          </w:tcPr>
          <w:p w14:paraId="62E72D81"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6</w:t>
            </w:r>
          </w:p>
        </w:tc>
        <w:tc>
          <w:tcPr>
            <w:tcW w:w="1080" w:type="dxa"/>
            <w:tcBorders>
              <w:top w:val="single" w:sz="3" w:space="0" w:color="AAAAAA"/>
              <w:left w:val="none" w:sz="0" w:space="0" w:color="000000"/>
              <w:bottom w:val="single" w:sz="3" w:space="0" w:color="AAAAAA"/>
              <w:right w:val="none" w:sz="0" w:space="0" w:color="000000"/>
            </w:tcBorders>
            <w:shd w:val="clear" w:color="auto" w:fill="E8F5E9"/>
            <w:tcMar>
              <w:top w:w="0" w:type="dxa"/>
              <w:left w:w="0" w:type="dxa"/>
              <w:bottom w:w="0" w:type="dxa"/>
              <w:right w:w="0" w:type="dxa"/>
            </w:tcMar>
            <w:vAlign w:val="center"/>
          </w:tcPr>
          <w:p w14:paraId="59C99437"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Igname blanche</w:t>
            </w:r>
          </w:p>
        </w:tc>
        <w:tc>
          <w:tcPr>
            <w:tcW w:w="1080" w:type="dxa"/>
            <w:tcBorders>
              <w:top w:val="single" w:sz="3" w:space="0" w:color="AAAAAA"/>
              <w:left w:val="none" w:sz="0" w:space="0" w:color="000000"/>
              <w:bottom w:val="single" w:sz="3" w:space="0" w:color="AAAAAA"/>
              <w:right w:val="none" w:sz="0" w:space="0" w:color="000000"/>
            </w:tcBorders>
            <w:shd w:val="clear" w:color="auto" w:fill="E8F5E9"/>
            <w:tcMar>
              <w:top w:w="0" w:type="dxa"/>
              <w:left w:w="0" w:type="dxa"/>
              <w:bottom w:w="0" w:type="dxa"/>
              <w:right w:w="0" w:type="dxa"/>
            </w:tcMar>
            <w:vAlign w:val="center"/>
          </w:tcPr>
          <w:p w14:paraId="2547E078"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Tubercule</w:t>
            </w:r>
          </w:p>
        </w:tc>
        <w:tc>
          <w:tcPr>
            <w:tcW w:w="1080" w:type="dxa"/>
            <w:tcBorders>
              <w:top w:val="single" w:sz="3" w:space="0" w:color="AAAAAA"/>
              <w:left w:val="none" w:sz="0" w:space="0" w:color="000000"/>
              <w:bottom w:val="single" w:sz="3" w:space="0" w:color="AAAAAA"/>
              <w:right w:val="single" w:sz="12" w:space="0" w:color="1B5E20"/>
            </w:tcBorders>
            <w:shd w:val="clear" w:color="auto" w:fill="E8F5E9"/>
            <w:tcMar>
              <w:top w:w="0" w:type="dxa"/>
              <w:left w:w="0" w:type="dxa"/>
              <w:bottom w:w="0" w:type="dxa"/>
              <w:right w:w="0" w:type="dxa"/>
            </w:tcMar>
            <w:vAlign w:val="center"/>
          </w:tcPr>
          <w:p w14:paraId="517B10F1"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7.2</w:t>
            </w:r>
          </w:p>
        </w:tc>
      </w:tr>
      <w:tr w:rsidR="00DF443C" w14:paraId="550F8545" w14:textId="77777777">
        <w:trPr>
          <w:jc w:val="center"/>
        </w:trPr>
        <w:tc>
          <w:tcPr>
            <w:tcW w:w="1080" w:type="dxa"/>
            <w:tcBorders>
              <w:top w:val="single" w:sz="3" w:space="0" w:color="AAAAAA"/>
              <w:left w:val="single" w:sz="12" w:space="0" w:color="1B5E20"/>
              <w:bottom w:val="single" w:sz="3" w:space="0" w:color="AAAAAA"/>
              <w:right w:val="none" w:sz="0" w:space="0" w:color="000000"/>
            </w:tcBorders>
            <w:shd w:val="clear" w:color="auto" w:fill="FFFFFF"/>
            <w:tcMar>
              <w:top w:w="0" w:type="dxa"/>
              <w:left w:w="0" w:type="dxa"/>
              <w:bottom w:w="0" w:type="dxa"/>
              <w:right w:w="0" w:type="dxa"/>
            </w:tcMar>
            <w:vAlign w:val="center"/>
          </w:tcPr>
          <w:p w14:paraId="06E20347"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7</w:t>
            </w:r>
          </w:p>
        </w:tc>
        <w:tc>
          <w:tcPr>
            <w:tcW w:w="1080" w:type="dxa"/>
            <w:tcBorders>
              <w:top w:val="single" w:sz="3" w:space="0" w:color="AAAAAA"/>
              <w:left w:val="none" w:sz="0" w:space="0" w:color="000000"/>
              <w:bottom w:val="single" w:sz="3" w:space="0" w:color="AAAAAA"/>
              <w:right w:val="none" w:sz="0" w:space="0" w:color="000000"/>
            </w:tcBorders>
            <w:shd w:val="clear" w:color="auto" w:fill="FFFFFF"/>
            <w:tcMar>
              <w:top w:w="0" w:type="dxa"/>
              <w:left w:w="0" w:type="dxa"/>
              <w:bottom w:w="0" w:type="dxa"/>
              <w:right w:w="0" w:type="dxa"/>
            </w:tcMar>
            <w:vAlign w:val="center"/>
          </w:tcPr>
          <w:p w14:paraId="27A46C2C"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Arachide</w:t>
            </w:r>
          </w:p>
        </w:tc>
        <w:tc>
          <w:tcPr>
            <w:tcW w:w="1080" w:type="dxa"/>
            <w:tcBorders>
              <w:top w:val="single" w:sz="3" w:space="0" w:color="AAAAAA"/>
              <w:left w:val="none" w:sz="0" w:space="0" w:color="000000"/>
              <w:bottom w:val="single" w:sz="3" w:space="0" w:color="AAAAAA"/>
              <w:right w:val="none" w:sz="0" w:space="0" w:color="000000"/>
            </w:tcBorders>
            <w:shd w:val="clear" w:color="auto" w:fill="FFFFFF"/>
            <w:tcMar>
              <w:top w:w="0" w:type="dxa"/>
              <w:left w:w="0" w:type="dxa"/>
              <w:bottom w:w="0" w:type="dxa"/>
              <w:right w:w="0" w:type="dxa"/>
            </w:tcMar>
            <w:vAlign w:val="center"/>
          </w:tcPr>
          <w:p w14:paraId="69D6A25B"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Légumineuse</w:t>
            </w:r>
          </w:p>
        </w:tc>
        <w:tc>
          <w:tcPr>
            <w:tcW w:w="1080" w:type="dxa"/>
            <w:tcBorders>
              <w:top w:val="single" w:sz="3" w:space="0" w:color="AAAAAA"/>
              <w:left w:val="none" w:sz="0" w:space="0" w:color="000000"/>
              <w:bottom w:val="single" w:sz="3" w:space="0" w:color="AAAAAA"/>
              <w:right w:val="single" w:sz="12" w:space="0" w:color="1B5E20"/>
            </w:tcBorders>
            <w:shd w:val="clear" w:color="auto" w:fill="FFFFFF"/>
            <w:tcMar>
              <w:top w:w="0" w:type="dxa"/>
              <w:left w:w="0" w:type="dxa"/>
              <w:bottom w:w="0" w:type="dxa"/>
              <w:right w:w="0" w:type="dxa"/>
            </w:tcMar>
            <w:vAlign w:val="center"/>
          </w:tcPr>
          <w:p w14:paraId="6A1F7D1C"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6.7</w:t>
            </w:r>
          </w:p>
        </w:tc>
      </w:tr>
      <w:tr w:rsidR="00DF443C" w14:paraId="2052337B" w14:textId="77777777">
        <w:trPr>
          <w:jc w:val="center"/>
        </w:trPr>
        <w:tc>
          <w:tcPr>
            <w:tcW w:w="1080" w:type="dxa"/>
            <w:tcBorders>
              <w:top w:val="single" w:sz="3" w:space="0" w:color="AAAAAA"/>
              <w:left w:val="single" w:sz="12" w:space="0" w:color="1B5E20"/>
              <w:bottom w:val="single" w:sz="3" w:space="0" w:color="AAAAAA"/>
              <w:right w:val="none" w:sz="0" w:space="0" w:color="000000"/>
            </w:tcBorders>
            <w:shd w:val="clear" w:color="auto" w:fill="E8F5E9"/>
            <w:tcMar>
              <w:top w:w="0" w:type="dxa"/>
              <w:left w:w="0" w:type="dxa"/>
              <w:bottom w:w="0" w:type="dxa"/>
              <w:right w:w="0" w:type="dxa"/>
            </w:tcMar>
            <w:vAlign w:val="center"/>
          </w:tcPr>
          <w:p w14:paraId="4F7889B3"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8</w:t>
            </w:r>
          </w:p>
        </w:tc>
        <w:tc>
          <w:tcPr>
            <w:tcW w:w="1080" w:type="dxa"/>
            <w:tcBorders>
              <w:top w:val="single" w:sz="3" w:space="0" w:color="AAAAAA"/>
              <w:left w:val="none" w:sz="0" w:space="0" w:color="000000"/>
              <w:bottom w:val="single" w:sz="3" w:space="0" w:color="AAAAAA"/>
              <w:right w:val="none" w:sz="0" w:space="0" w:color="000000"/>
            </w:tcBorders>
            <w:shd w:val="clear" w:color="auto" w:fill="E8F5E9"/>
            <w:tcMar>
              <w:top w:w="0" w:type="dxa"/>
              <w:left w:w="0" w:type="dxa"/>
              <w:bottom w:w="0" w:type="dxa"/>
              <w:right w:w="0" w:type="dxa"/>
            </w:tcMar>
            <w:vAlign w:val="center"/>
          </w:tcPr>
          <w:p w14:paraId="5E476580"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Riz</w:t>
            </w:r>
          </w:p>
        </w:tc>
        <w:tc>
          <w:tcPr>
            <w:tcW w:w="1080" w:type="dxa"/>
            <w:tcBorders>
              <w:top w:val="single" w:sz="3" w:space="0" w:color="AAAAAA"/>
              <w:left w:val="none" w:sz="0" w:space="0" w:color="000000"/>
              <w:bottom w:val="single" w:sz="3" w:space="0" w:color="AAAAAA"/>
              <w:right w:val="none" w:sz="0" w:space="0" w:color="000000"/>
            </w:tcBorders>
            <w:shd w:val="clear" w:color="auto" w:fill="E8F5E9"/>
            <w:tcMar>
              <w:top w:w="0" w:type="dxa"/>
              <w:left w:w="0" w:type="dxa"/>
              <w:bottom w:w="0" w:type="dxa"/>
              <w:right w:w="0" w:type="dxa"/>
            </w:tcMar>
            <w:vAlign w:val="center"/>
          </w:tcPr>
          <w:p w14:paraId="740DD8A8"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Céréale</w:t>
            </w:r>
          </w:p>
        </w:tc>
        <w:tc>
          <w:tcPr>
            <w:tcW w:w="1080" w:type="dxa"/>
            <w:tcBorders>
              <w:top w:val="single" w:sz="3" w:space="0" w:color="AAAAAA"/>
              <w:left w:val="none" w:sz="0" w:space="0" w:color="000000"/>
              <w:bottom w:val="single" w:sz="3" w:space="0" w:color="AAAAAA"/>
              <w:right w:val="single" w:sz="12" w:space="0" w:color="1B5E20"/>
            </w:tcBorders>
            <w:shd w:val="clear" w:color="auto" w:fill="E8F5E9"/>
            <w:tcMar>
              <w:top w:w="0" w:type="dxa"/>
              <w:left w:w="0" w:type="dxa"/>
              <w:bottom w:w="0" w:type="dxa"/>
              <w:right w:w="0" w:type="dxa"/>
            </w:tcMar>
            <w:vAlign w:val="center"/>
          </w:tcPr>
          <w:p w14:paraId="523D9A38"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5.2</w:t>
            </w:r>
          </w:p>
        </w:tc>
      </w:tr>
      <w:tr w:rsidR="00DF443C" w14:paraId="455A9466" w14:textId="77777777">
        <w:trPr>
          <w:jc w:val="center"/>
        </w:trPr>
        <w:tc>
          <w:tcPr>
            <w:tcW w:w="1080" w:type="dxa"/>
            <w:tcBorders>
              <w:top w:val="single" w:sz="3" w:space="0" w:color="AAAAAA"/>
              <w:left w:val="single" w:sz="12" w:space="0" w:color="1B5E20"/>
              <w:bottom w:val="single" w:sz="3" w:space="0" w:color="AAAAAA"/>
              <w:right w:val="none" w:sz="0" w:space="0" w:color="000000"/>
            </w:tcBorders>
            <w:shd w:val="clear" w:color="auto" w:fill="FFFFFF"/>
            <w:tcMar>
              <w:top w:w="0" w:type="dxa"/>
              <w:left w:w="0" w:type="dxa"/>
              <w:bottom w:w="0" w:type="dxa"/>
              <w:right w:w="0" w:type="dxa"/>
            </w:tcMar>
            <w:vAlign w:val="center"/>
          </w:tcPr>
          <w:p w14:paraId="0C8DC70F"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lastRenderedPageBreak/>
              <w:t>9</w:t>
            </w:r>
          </w:p>
        </w:tc>
        <w:tc>
          <w:tcPr>
            <w:tcW w:w="1080" w:type="dxa"/>
            <w:tcBorders>
              <w:top w:val="single" w:sz="3" w:space="0" w:color="AAAAAA"/>
              <w:left w:val="none" w:sz="0" w:space="0" w:color="000000"/>
              <w:bottom w:val="single" w:sz="3" w:space="0" w:color="AAAAAA"/>
              <w:right w:val="none" w:sz="0" w:space="0" w:color="000000"/>
            </w:tcBorders>
            <w:shd w:val="clear" w:color="auto" w:fill="FFFFFF"/>
            <w:tcMar>
              <w:top w:w="0" w:type="dxa"/>
              <w:left w:w="0" w:type="dxa"/>
              <w:bottom w:w="0" w:type="dxa"/>
              <w:right w:w="0" w:type="dxa"/>
            </w:tcMar>
            <w:vAlign w:val="center"/>
          </w:tcPr>
          <w:p w14:paraId="361A47F7"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Soja</w:t>
            </w:r>
          </w:p>
        </w:tc>
        <w:tc>
          <w:tcPr>
            <w:tcW w:w="1080" w:type="dxa"/>
            <w:tcBorders>
              <w:top w:val="single" w:sz="3" w:space="0" w:color="AAAAAA"/>
              <w:left w:val="none" w:sz="0" w:space="0" w:color="000000"/>
              <w:bottom w:val="single" w:sz="3" w:space="0" w:color="AAAAAA"/>
              <w:right w:val="none" w:sz="0" w:space="0" w:color="000000"/>
            </w:tcBorders>
            <w:shd w:val="clear" w:color="auto" w:fill="FFFFFF"/>
            <w:tcMar>
              <w:top w:w="0" w:type="dxa"/>
              <w:left w:w="0" w:type="dxa"/>
              <w:bottom w:w="0" w:type="dxa"/>
              <w:right w:w="0" w:type="dxa"/>
            </w:tcMar>
            <w:vAlign w:val="center"/>
          </w:tcPr>
          <w:p w14:paraId="2947AD71"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Légumineuse</w:t>
            </w:r>
          </w:p>
        </w:tc>
        <w:tc>
          <w:tcPr>
            <w:tcW w:w="1080" w:type="dxa"/>
            <w:tcBorders>
              <w:top w:val="single" w:sz="3" w:space="0" w:color="AAAAAA"/>
              <w:left w:val="none" w:sz="0" w:space="0" w:color="000000"/>
              <w:bottom w:val="single" w:sz="3" w:space="0" w:color="AAAAAA"/>
              <w:right w:val="single" w:sz="12" w:space="0" w:color="1B5E20"/>
            </w:tcBorders>
            <w:shd w:val="clear" w:color="auto" w:fill="FFFFFF"/>
            <w:tcMar>
              <w:top w:w="0" w:type="dxa"/>
              <w:left w:w="0" w:type="dxa"/>
              <w:bottom w:w="0" w:type="dxa"/>
              <w:right w:w="0" w:type="dxa"/>
            </w:tcMar>
            <w:vAlign w:val="center"/>
          </w:tcPr>
          <w:p w14:paraId="3DD5924E"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3.3</w:t>
            </w:r>
          </w:p>
        </w:tc>
      </w:tr>
      <w:tr w:rsidR="00DF443C" w14:paraId="13D0F763" w14:textId="77777777">
        <w:trPr>
          <w:jc w:val="center"/>
        </w:trPr>
        <w:tc>
          <w:tcPr>
            <w:tcW w:w="1080" w:type="dxa"/>
            <w:tcBorders>
              <w:top w:val="single" w:sz="3" w:space="0" w:color="AAAAAA"/>
              <w:left w:val="single" w:sz="12" w:space="0" w:color="1B5E20"/>
              <w:bottom w:val="single" w:sz="3" w:space="0" w:color="AAAAAA"/>
              <w:right w:val="none" w:sz="0" w:space="0" w:color="000000"/>
            </w:tcBorders>
            <w:shd w:val="clear" w:color="auto" w:fill="E8F5E9"/>
            <w:tcMar>
              <w:top w:w="0" w:type="dxa"/>
              <w:left w:w="0" w:type="dxa"/>
              <w:bottom w:w="0" w:type="dxa"/>
              <w:right w:w="0" w:type="dxa"/>
            </w:tcMar>
            <w:vAlign w:val="center"/>
          </w:tcPr>
          <w:p w14:paraId="3EFBF3A2"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10</w:t>
            </w:r>
          </w:p>
        </w:tc>
        <w:tc>
          <w:tcPr>
            <w:tcW w:w="1080" w:type="dxa"/>
            <w:tcBorders>
              <w:top w:val="single" w:sz="3" w:space="0" w:color="AAAAAA"/>
              <w:left w:val="none" w:sz="0" w:space="0" w:color="000000"/>
              <w:bottom w:val="single" w:sz="3" w:space="0" w:color="AAAAAA"/>
              <w:right w:val="none" w:sz="0" w:space="0" w:color="000000"/>
            </w:tcBorders>
            <w:shd w:val="clear" w:color="auto" w:fill="E8F5E9"/>
            <w:tcMar>
              <w:top w:w="0" w:type="dxa"/>
              <w:left w:w="0" w:type="dxa"/>
              <w:bottom w:w="0" w:type="dxa"/>
              <w:right w:w="0" w:type="dxa"/>
            </w:tcMar>
            <w:vAlign w:val="center"/>
          </w:tcPr>
          <w:p w14:paraId="62BE5AE0"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Gombo</w:t>
            </w:r>
          </w:p>
        </w:tc>
        <w:tc>
          <w:tcPr>
            <w:tcW w:w="1080" w:type="dxa"/>
            <w:tcBorders>
              <w:top w:val="single" w:sz="3" w:space="0" w:color="AAAAAA"/>
              <w:left w:val="none" w:sz="0" w:space="0" w:color="000000"/>
              <w:bottom w:val="single" w:sz="3" w:space="0" w:color="AAAAAA"/>
              <w:right w:val="none" w:sz="0" w:space="0" w:color="000000"/>
            </w:tcBorders>
            <w:shd w:val="clear" w:color="auto" w:fill="E8F5E9"/>
            <w:tcMar>
              <w:top w:w="0" w:type="dxa"/>
              <w:left w:w="0" w:type="dxa"/>
              <w:bottom w:w="0" w:type="dxa"/>
              <w:right w:w="0" w:type="dxa"/>
            </w:tcMar>
            <w:vAlign w:val="center"/>
          </w:tcPr>
          <w:p w14:paraId="3BB13917"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Légume</w:t>
            </w:r>
          </w:p>
        </w:tc>
        <w:tc>
          <w:tcPr>
            <w:tcW w:w="1080" w:type="dxa"/>
            <w:tcBorders>
              <w:top w:val="single" w:sz="3" w:space="0" w:color="AAAAAA"/>
              <w:left w:val="none" w:sz="0" w:space="0" w:color="000000"/>
              <w:bottom w:val="single" w:sz="3" w:space="0" w:color="AAAAAA"/>
              <w:right w:val="single" w:sz="12" w:space="0" w:color="1B5E20"/>
            </w:tcBorders>
            <w:shd w:val="clear" w:color="auto" w:fill="E8F5E9"/>
            <w:tcMar>
              <w:top w:w="0" w:type="dxa"/>
              <w:left w:w="0" w:type="dxa"/>
              <w:bottom w:w="0" w:type="dxa"/>
              <w:right w:w="0" w:type="dxa"/>
            </w:tcMar>
            <w:vAlign w:val="center"/>
          </w:tcPr>
          <w:p w14:paraId="18E7E88C"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2.1</w:t>
            </w:r>
          </w:p>
        </w:tc>
      </w:tr>
      <w:tr w:rsidR="00DF443C" w14:paraId="64C2D34F" w14:textId="77777777">
        <w:trPr>
          <w:jc w:val="center"/>
        </w:trPr>
        <w:tc>
          <w:tcPr>
            <w:tcW w:w="1080" w:type="dxa"/>
            <w:tcBorders>
              <w:top w:val="single" w:sz="3" w:space="0" w:color="AAAAAA"/>
              <w:left w:val="single" w:sz="12" w:space="0" w:color="1B5E20"/>
              <w:bottom w:val="single" w:sz="3" w:space="0" w:color="AAAAAA"/>
              <w:right w:val="none" w:sz="0" w:space="0" w:color="000000"/>
            </w:tcBorders>
            <w:shd w:val="clear" w:color="auto" w:fill="FFFFFF"/>
            <w:tcMar>
              <w:top w:w="0" w:type="dxa"/>
              <w:left w:w="0" w:type="dxa"/>
              <w:bottom w:w="0" w:type="dxa"/>
              <w:right w:w="0" w:type="dxa"/>
            </w:tcMar>
            <w:vAlign w:val="center"/>
          </w:tcPr>
          <w:p w14:paraId="52AF511A"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11</w:t>
            </w:r>
          </w:p>
        </w:tc>
        <w:tc>
          <w:tcPr>
            <w:tcW w:w="1080" w:type="dxa"/>
            <w:tcBorders>
              <w:top w:val="single" w:sz="3" w:space="0" w:color="AAAAAA"/>
              <w:left w:val="none" w:sz="0" w:space="0" w:color="000000"/>
              <w:bottom w:val="single" w:sz="3" w:space="0" w:color="AAAAAA"/>
              <w:right w:val="none" w:sz="0" w:space="0" w:color="000000"/>
            </w:tcBorders>
            <w:shd w:val="clear" w:color="auto" w:fill="FFFFFF"/>
            <w:tcMar>
              <w:top w:w="0" w:type="dxa"/>
              <w:left w:w="0" w:type="dxa"/>
              <w:bottom w:w="0" w:type="dxa"/>
              <w:right w:w="0" w:type="dxa"/>
            </w:tcMar>
            <w:vAlign w:val="center"/>
          </w:tcPr>
          <w:p w14:paraId="2AC73EDE"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Igname eau</w:t>
            </w:r>
          </w:p>
        </w:tc>
        <w:tc>
          <w:tcPr>
            <w:tcW w:w="1080" w:type="dxa"/>
            <w:tcBorders>
              <w:top w:val="single" w:sz="3" w:space="0" w:color="AAAAAA"/>
              <w:left w:val="none" w:sz="0" w:space="0" w:color="000000"/>
              <w:bottom w:val="single" w:sz="3" w:space="0" w:color="AAAAAA"/>
              <w:right w:val="none" w:sz="0" w:space="0" w:color="000000"/>
            </w:tcBorders>
            <w:shd w:val="clear" w:color="auto" w:fill="FFFFFF"/>
            <w:tcMar>
              <w:top w:w="0" w:type="dxa"/>
              <w:left w:w="0" w:type="dxa"/>
              <w:bottom w:w="0" w:type="dxa"/>
              <w:right w:w="0" w:type="dxa"/>
            </w:tcMar>
            <w:vAlign w:val="center"/>
          </w:tcPr>
          <w:p w14:paraId="38C39E1F"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Tubercule</w:t>
            </w:r>
          </w:p>
        </w:tc>
        <w:tc>
          <w:tcPr>
            <w:tcW w:w="1080" w:type="dxa"/>
            <w:tcBorders>
              <w:top w:val="single" w:sz="3" w:space="0" w:color="AAAAAA"/>
              <w:left w:val="none" w:sz="0" w:space="0" w:color="000000"/>
              <w:bottom w:val="single" w:sz="3" w:space="0" w:color="AAAAAA"/>
              <w:right w:val="single" w:sz="12" w:space="0" w:color="1B5E20"/>
            </w:tcBorders>
            <w:shd w:val="clear" w:color="auto" w:fill="FFFFFF"/>
            <w:tcMar>
              <w:top w:w="0" w:type="dxa"/>
              <w:left w:w="0" w:type="dxa"/>
              <w:bottom w:w="0" w:type="dxa"/>
              <w:right w:w="0" w:type="dxa"/>
            </w:tcMar>
            <w:vAlign w:val="center"/>
          </w:tcPr>
          <w:p w14:paraId="4395CC13"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1.9</w:t>
            </w:r>
          </w:p>
        </w:tc>
      </w:tr>
      <w:tr w:rsidR="00DF443C" w14:paraId="390AEB33" w14:textId="77777777">
        <w:trPr>
          <w:jc w:val="center"/>
        </w:trPr>
        <w:tc>
          <w:tcPr>
            <w:tcW w:w="1080" w:type="dxa"/>
            <w:tcBorders>
              <w:top w:val="single" w:sz="3" w:space="0" w:color="AAAAAA"/>
              <w:left w:val="single" w:sz="12" w:space="0" w:color="1B5E20"/>
              <w:bottom w:val="single" w:sz="3" w:space="0" w:color="AAAAAA"/>
              <w:right w:val="none" w:sz="0" w:space="0" w:color="000000"/>
            </w:tcBorders>
            <w:shd w:val="clear" w:color="auto" w:fill="E8F5E9"/>
            <w:tcMar>
              <w:top w:w="0" w:type="dxa"/>
              <w:left w:w="0" w:type="dxa"/>
              <w:bottom w:w="0" w:type="dxa"/>
              <w:right w:w="0" w:type="dxa"/>
            </w:tcMar>
            <w:vAlign w:val="center"/>
          </w:tcPr>
          <w:p w14:paraId="213178CF"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12</w:t>
            </w:r>
          </w:p>
        </w:tc>
        <w:tc>
          <w:tcPr>
            <w:tcW w:w="1080" w:type="dxa"/>
            <w:tcBorders>
              <w:top w:val="single" w:sz="3" w:space="0" w:color="AAAAAA"/>
              <w:left w:val="none" w:sz="0" w:space="0" w:color="000000"/>
              <w:bottom w:val="single" w:sz="3" w:space="0" w:color="AAAAAA"/>
              <w:right w:val="none" w:sz="0" w:space="0" w:color="000000"/>
            </w:tcBorders>
            <w:shd w:val="clear" w:color="auto" w:fill="E8F5E9"/>
            <w:tcMar>
              <w:top w:w="0" w:type="dxa"/>
              <w:left w:w="0" w:type="dxa"/>
              <w:bottom w:w="0" w:type="dxa"/>
              <w:right w:w="0" w:type="dxa"/>
            </w:tcMar>
            <w:vAlign w:val="center"/>
          </w:tcPr>
          <w:p w14:paraId="01F46163"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Citrouille</w:t>
            </w:r>
          </w:p>
        </w:tc>
        <w:tc>
          <w:tcPr>
            <w:tcW w:w="1080" w:type="dxa"/>
            <w:tcBorders>
              <w:top w:val="single" w:sz="3" w:space="0" w:color="AAAAAA"/>
              <w:left w:val="none" w:sz="0" w:space="0" w:color="000000"/>
              <w:bottom w:val="single" w:sz="3" w:space="0" w:color="AAAAAA"/>
              <w:right w:val="none" w:sz="0" w:space="0" w:color="000000"/>
            </w:tcBorders>
            <w:shd w:val="clear" w:color="auto" w:fill="E8F5E9"/>
            <w:tcMar>
              <w:top w:w="0" w:type="dxa"/>
              <w:left w:w="0" w:type="dxa"/>
              <w:bottom w:w="0" w:type="dxa"/>
              <w:right w:w="0" w:type="dxa"/>
            </w:tcMar>
            <w:vAlign w:val="center"/>
          </w:tcPr>
          <w:p w14:paraId="1748D1AF"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Légume</w:t>
            </w:r>
          </w:p>
        </w:tc>
        <w:tc>
          <w:tcPr>
            <w:tcW w:w="1080" w:type="dxa"/>
            <w:tcBorders>
              <w:top w:val="single" w:sz="3" w:space="0" w:color="AAAAAA"/>
              <w:left w:val="none" w:sz="0" w:space="0" w:color="000000"/>
              <w:bottom w:val="single" w:sz="3" w:space="0" w:color="AAAAAA"/>
              <w:right w:val="single" w:sz="12" w:space="0" w:color="1B5E20"/>
            </w:tcBorders>
            <w:shd w:val="clear" w:color="auto" w:fill="E8F5E9"/>
            <w:tcMar>
              <w:top w:w="0" w:type="dxa"/>
              <w:left w:w="0" w:type="dxa"/>
              <w:bottom w:w="0" w:type="dxa"/>
              <w:right w:w="0" w:type="dxa"/>
            </w:tcMar>
            <w:vAlign w:val="center"/>
          </w:tcPr>
          <w:p w14:paraId="5FA0DB53"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1.8</w:t>
            </w:r>
          </w:p>
        </w:tc>
      </w:tr>
      <w:tr w:rsidR="00DF443C" w14:paraId="5776E26B" w14:textId="77777777">
        <w:trPr>
          <w:jc w:val="center"/>
        </w:trPr>
        <w:tc>
          <w:tcPr>
            <w:tcW w:w="1080" w:type="dxa"/>
            <w:tcBorders>
              <w:top w:val="single" w:sz="3" w:space="0" w:color="AAAAAA"/>
              <w:left w:val="single" w:sz="12" w:space="0" w:color="1B5E20"/>
              <w:bottom w:val="single" w:sz="3" w:space="0" w:color="AAAAAA"/>
              <w:right w:val="none" w:sz="0" w:space="0" w:color="000000"/>
            </w:tcBorders>
            <w:shd w:val="clear" w:color="auto" w:fill="FFFFFF"/>
            <w:tcMar>
              <w:top w:w="0" w:type="dxa"/>
              <w:left w:w="0" w:type="dxa"/>
              <w:bottom w:w="0" w:type="dxa"/>
              <w:right w:w="0" w:type="dxa"/>
            </w:tcMar>
            <w:vAlign w:val="center"/>
          </w:tcPr>
          <w:p w14:paraId="72EDDA84"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13</w:t>
            </w:r>
          </w:p>
        </w:tc>
        <w:tc>
          <w:tcPr>
            <w:tcW w:w="1080" w:type="dxa"/>
            <w:tcBorders>
              <w:top w:val="single" w:sz="3" w:space="0" w:color="AAAAAA"/>
              <w:left w:val="none" w:sz="0" w:space="0" w:color="000000"/>
              <w:bottom w:val="single" w:sz="3" w:space="0" w:color="AAAAAA"/>
              <w:right w:val="none" w:sz="0" w:space="0" w:color="000000"/>
            </w:tcBorders>
            <w:shd w:val="clear" w:color="auto" w:fill="FFFFFF"/>
            <w:tcMar>
              <w:top w:w="0" w:type="dxa"/>
              <w:left w:w="0" w:type="dxa"/>
              <w:bottom w:w="0" w:type="dxa"/>
              <w:right w:w="0" w:type="dxa"/>
            </w:tcMar>
            <w:vAlign w:val="center"/>
          </w:tcPr>
          <w:p w14:paraId="29E4F5BD"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Taro/Cocoyam</w:t>
            </w:r>
          </w:p>
        </w:tc>
        <w:tc>
          <w:tcPr>
            <w:tcW w:w="1080" w:type="dxa"/>
            <w:tcBorders>
              <w:top w:val="single" w:sz="3" w:space="0" w:color="AAAAAA"/>
              <w:left w:val="none" w:sz="0" w:space="0" w:color="000000"/>
              <w:bottom w:val="single" w:sz="3" w:space="0" w:color="AAAAAA"/>
              <w:right w:val="none" w:sz="0" w:space="0" w:color="000000"/>
            </w:tcBorders>
            <w:shd w:val="clear" w:color="auto" w:fill="FFFFFF"/>
            <w:tcMar>
              <w:top w:w="0" w:type="dxa"/>
              <w:left w:w="0" w:type="dxa"/>
              <w:bottom w:w="0" w:type="dxa"/>
              <w:right w:w="0" w:type="dxa"/>
            </w:tcMar>
            <w:vAlign w:val="center"/>
          </w:tcPr>
          <w:p w14:paraId="4FB409D5"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Tubercule</w:t>
            </w:r>
          </w:p>
        </w:tc>
        <w:tc>
          <w:tcPr>
            <w:tcW w:w="1080" w:type="dxa"/>
            <w:tcBorders>
              <w:top w:val="single" w:sz="3" w:space="0" w:color="AAAAAA"/>
              <w:left w:val="none" w:sz="0" w:space="0" w:color="000000"/>
              <w:bottom w:val="single" w:sz="3" w:space="0" w:color="AAAAAA"/>
              <w:right w:val="single" w:sz="12" w:space="0" w:color="1B5E20"/>
            </w:tcBorders>
            <w:shd w:val="clear" w:color="auto" w:fill="FFFFFF"/>
            <w:tcMar>
              <w:top w:w="0" w:type="dxa"/>
              <w:left w:w="0" w:type="dxa"/>
              <w:bottom w:w="0" w:type="dxa"/>
              <w:right w:w="0" w:type="dxa"/>
            </w:tcMar>
            <w:vAlign w:val="center"/>
          </w:tcPr>
          <w:p w14:paraId="48EA16BB"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1.8</w:t>
            </w:r>
          </w:p>
        </w:tc>
      </w:tr>
      <w:tr w:rsidR="00DF443C" w14:paraId="2C9CE183" w14:textId="77777777">
        <w:trPr>
          <w:jc w:val="center"/>
        </w:trPr>
        <w:tc>
          <w:tcPr>
            <w:tcW w:w="1080" w:type="dxa"/>
            <w:tcBorders>
              <w:top w:val="single" w:sz="3" w:space="0" w:color="AAAAAA"/>
              <w:left w:val="single" w:sz="12" w:space="0" w:color="1B5E20"/>
              <w:bottom w:val="single" w:sz="3" w:space="0" w:color="AAAAAA"/>
              <w:right w:val="none" w:sz="0" w:space="0" w:color="000000"/>
            </w:tcBorders>
            <w:shd w:val="clear" w:color="auto" w:fill="E8F5E9"/>
            <w:tcMar>
              <w:top w:w="0" w:type="dxa"/>
              <w:left w:w="0" w:type="dxa"/>
              <w:bottom w:w="0" w:type="dxa"/>
              <w:right w:w="0" w:type="dxa"/>
            </w:tcMar>
            <w:vAlign w:val="center"/>
          </w:tcPr>
          <w:p w14:paraId="06D8FE96"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14</w:t>
            </w:r>
          </w:p>
        </w:tc>
        <w:tc>
          <w:tcPr>
            <w:tcW w:w="1080" w:type="dxa"/>
            <w:tcBorders>
              <w:top w:val="single" w:sz="3" w:space="0" w:color="AAAAAA"/>
              <w:left w:val="none" w:sz="0" w:space="0" w:color="000000"/>
              <w:bottom w:val="single" w:sz="3" w:space="0" w:color="AAAAAA"/>
              <w:right w:val="none" w:sz="0" w:space="0" w:color="000000"/>
            </w:tcBorders>
            <w:shd w:val="clear" w:color="auto" w:fill="E8F5E9"/>
            <w:tcMar>
              <w:top w:w="0" w:type="dxa"/>
              <w:left w:w="0" w:type="dxa"/>
              <w:bottom w:w="0" w:type="dxa"/>
              <w:right w:w="0" w:type="dxa"/>
            </w:tcMar>
            <w:vAlign w:val="center"/>
          </w:tcPr>
          <w:p w14:paraId="4DAB808E"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Sésame</w:t>
            </w:r>
          </w:p>
        </w:tc>
        <w:tc>
          <w:tcPr>
            <w:tcW w:w="1080" w:type="dxa"/>
            <w:tcBorders>
              <w:top w:val="single" w:sz="3" w:space="0" w:color="AAAAAA"/>
              <w:left w:val="none" w:sz="0" w:space="0" w:color="000000"/>
              <w:bottom w:val="single" w:sz="3" w:space="0" w:color="AAAAAA"/>
              <w:right w:val="none" w:sz="0" w:space="0" w:color="000000"/>
            </w:tcBorders>
            <w:shd w:val="clear" w:color="auto" w:fill="E8F5E9"/>
            <w:tcMar>
              <w:top w:w="0" w:type="dxa"/>
              <w:left w:w="0" w:type="dxa"/>
              <w:bottom w:w="0" w:type="dxa"/>
              <w:right w:w="0" w:type="dxa"/>
            </w:tcMar>
            <w:vAlign w:val="center"/>
          </w:tcPr>
          <w:p w14:paraId="476FAD0A"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Culture de rente</w:t>
            </w:r>
          </w:p>
        </w:tc>
        <w:tc>
          <w:tcPr>
            <w:tcW w:w="1080" w:type="dxa"/>
            <w:tcBorders>
              <w:top w:val="single" w:sz="3" w:space="0" w:color="AAAAAA"/>
              <w:left w:val="none" w:sz="0" w:space="0" w:color="000000"/>
              <w:bottom w:val="single" w:sz="3" w:space="0" w:color="AAAAAA"/>
              <w:right w:val="single" w:sz="12" w:space="0" w:color="1B5E20"/>
            </w:tcBorders>
            <w:shd w:val="clear" w:color="auto" w:fill="E8F5E9"/>
            <w:tcMar>
              <w:top w:w="0" w:type="dxa"/>
              <w:left w:w="0" w:type="dxa"/>
              <w:bottom w:w="0" w:type="dxa"/>
              <w:right w:w="0" w:type="dxa"/>
            </w:tcMar>
            <w:vAlign w:val="center"/>
          </w:tcPr>
          <w:p w14:paraId="224E303A"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1.4</w:t>
            </w:r>
          </w:p>
        </w:tc>
      </w:tr>
      <w:tr w:rsidR="00DF443C" w14:paraId="46E9A14D" w14:textId="77777777">
        <w:trPr>
          <w:jc w:val="center"/>
        </w:trPr>
        <w:tc>
          <w:tcPr>
            <w:tcW w:w="1080" w:type="dxa"/>
            <w:tcBorders>
              <w:top w:val="single" w:sz="3" w:space="0" w:color="AAAAAA"/>
              <w:left w:val="single" w:sz="12" w:space="0" w:color="1B5E20"/>
              <w:bottom w:val="single" w:sz="12" w:space="0" w:color="1B5E20"/>
              <w:right w:val="none" w:sz="0" w:space="0" w:color="000000"/>
            </w:tcBorders>
            <w:shd w:val="clear" w:color="auto" w:fill="FFFFFF"/>
            <w:tcMar>
              <w:top w:w="0" w:type="dxa"/>
              <w:left w:w="0" w:type="dxa"/>
              <w:bottom w:w="0" w:type="dxa"/>
              <w:right w:w="0" w:type="dxa"/>
            </w:tcMar>
            <w:vAlign w:val="center"/>
          </w:tcPr>
          <w:p w14:paraId="19841A29"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15</w:t>
            </w:r>
          </w:p>
        </w:tc>
        <w:tc>
          <w:tcPr>
            <w:tcW w:w="1080" w:type="dxa"/>
            <w:tcBorders>
              <w:top w:val="single" w:sz="3" w:space="0" w:color="AAAAAA"/>
              <w:left w:val="none" w:sz="0" w:space="0" w:color="000000"/>
              <w:bottom w:val="single" w:sz="12" w:space="0" w:color="1B5E20"/>
              <w:right w:val="none" w:sz="0" w:space="0" w:color="000000"/>
            </w:tcBorders>
            <w:shd w:val="clear" w:color="auto" w:fill="FFFFFF"/>
            <w:tcMar>
              <w:top w:w="0" w:type="dxa"/>
              <w:left w:w="0" w:type="dxa"/>
              <w:bottom w:w="0" w:type="dxa"/>
              <w:right w:w="0" w:type="dxa"/>
            </w:tcMar>
            <w:vAlign w:val="center"/>
          </w:tcPr>
          <w:p w14:paraId="7BEC59E1"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Melon/Egusi</w:t>
            </w:r>
          </w:p>
        </w:tc>
        <w:tc>
          <w:tcPr>
            <w:tcW w:w="1080" w:type="dxa"/>
            <w:tcBorders>
              <w:top w:val="single" w:sz="3" w:space="0" w:color="AAAAAA"/>
              <w:left w:val="none" w:sz="0" w:space="0" w:color="000000"/>
              <w:bottom w:val="single" w:sz="12" w:space="0" w:color="1B5E20"/>
              <w:right w:val="none" w:sz="0" w:space="0" w:color="000000"/>
            </w:tcBorders>
            <w:shd w:val="clear" w:color="auto" w:fill="FFFFFF"/>
            <w:tcMar>
              <w:top w:w="0" w:type="dxa"/>
              <w:left w:w="0" w:type="dxa"/>
              <w:bottom w:w="0" w:type="dxa"/>
              <w:right w:w="0" w:type="dxa"/>
            </w:tcMar>
            <w:vAlign w:val="center"/>
          </w:tcPr>
          <w:p w14:paraId="3540F56A"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Légumineuse</w:t>
            </w:r>
          </w:p>
        </w:tc>
        <w:tc>
          <w:tcPr>
            <w:tcW w:w="1080" w:type="dxa"/>
            <w:tcBorders>
              <w:top w:val="single" w:sz="3" w:space="0" w:color="AAAAAA"/>
              <w:left w:val="none" w:sz="0" w:space="0" w:color="000000"/>
              <w:bottom w:val="single" w:sz="12" w:space="0" w:color="1B5E20"/>
              <w:right w:val="single" w:sz="12" w:space="0" w:color="1B5E20"/>
            </w:tcBorders>
            <w:shd w:val="clear" w:color="auto" w:fill="FFFFFF"/>
            <w:tcMar>
              <w:top w:w="0" w:type="dxa"/>
              <w:left w:w="0" w:type="dxa"/>
              <w:bottom w:w="0" w:type="dxa"/>
              <w:right w:w="0" w:type="dxa"/>
            </w:tcMar>
            <w:vAlign w:val="center"/>
          </w:tcPr>
          <w:p w14:paraId="1813B3E9"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1.0</w:t>
            </w:r>
          </w:p>
        </w:tc>
      </w:tr>
    </w:tbl>
    <w:p w14:paraId="0BDDCE88" w14:textId="77777777" w:rsidR="00DF443C" w:rsidRDefault="005376F7">
      <w:pPr>
        <w:pStyle w:val="Corpsdetexte"/>
      </w:pPr>
      <w:r>
        <w:t>Le maïs occupe la première place des cultures pratiquées, devant le sorgho et le mil, confirmant la prédominance des céréales dans le système agricole nigérian. Les tubercules — manioc et ignames — arrivent ensuite, reflétant leur importance sécuritaire da</w:t>
      </w:r>
      <w:r>
        <w:t>ns les zones forestières du Sud. Les légumineuses (niébé, arachide, soja) complètent le paysage cultural avec un double rôle : sécurité alimentaire et fixation d’azote dans les rotations. Cette structure est cohérente avec le cadre agro-écologique du Niger</w:t>
      </w:r>
      <w:r>
        <w:t>ia, où les zones de savane du Nord sont dominées par les céréales et les zones forestières du Sud par les cultures d’igname et de manioc.</w:t>
      </w:r>
    </w:p>
    <w:p w14:paraId="5748FCCA" w14:textId="77777777" w:rsidR="00DF443C" w:rsidRDefault="005376F7">
      <w:pPr>
        <w:pStyle w:val="Titre2"/>
      </w:pPr>
      <w:bookmarkStart w:id="16" w:name="Xb22e9cc636e574e3260577ffd59859ffc279660"/>
      <w:bookmarkStart w:id="17" w:name="_Toc227362193"/>
      <w:bookmarkEnd w:id="14"/>
      <w:r>
        <w:rPr>
          <w:rStyle w:val="SectionNumber"/>
        </w:rPr>
        <w:t>4.2</w:t>
      </w:r>
      <w:r>
        <w:tab/>
        <w:t>Tâche 2 — Diversification culturale par ménage</w:t>
      </w:r>
      <w:bookmarkEnd w:id="17"/>
    </w:p>
    <w:p w14:paraId="2616B2DE" w14:textId="77777777" w:rsidR="00DF443C" w:rsidRDefault="005376F7">
      <w:pPr>
        <w:pStyle w:val="CaptionedFigure"/>
      </w:pPr>
      <w:r>
        <w:rPr>
          <w:noProof/>
        </w:rPr>
        <w:drawing>
          <wp:inline distT="0" distB="0" distL="0" distR="0" wp14:anchorId="3C4D822D" wp14:editId="0487BAAA">
            <wp:extent cx="5646420" cy="2352675"/>
            <wp:effectExtent l="0" t="0" r="0" b="0"/>
            <wp:docPr id="31" name="Picture" descr="Distribution du nombre de cultures par ménage (histogramme, gauche) et comparaison Rural/Urbain (violin + boxplot, droite). Le losange blanc indique la médiane."/>
            <wp:cNvGraphicFramePr/>
            <a:graphic xmlns:a="http://schemas.openxmlformats.org/drawingml/2006/main">
              <a:graphicData uri="http://schemas.openxmlformats.org/drawingml/2006/picture">
                <pic:pic xmlns:pic="http://schemas.openxmlformats.org/drawingml/2006/picture">
                  <pic:nvPicPr>
                    <pic:cNvPr id="32" name="Picture" descr="D:\ENSAE\ISE1\SEMESTRE 2\Projet_Statistique\TP5_GROUPE12_LESLYE_NKWA_OUATTARA_Ousmane\rapports\rapport_files/8c6cf50c69e02b5e6f4006cffd880e6403b0cd43.png"/>
                    <pic:cNvPicPr>
                      <a:picLocks noChangeAspect="1" noChangeArrowheads="1"/>
                    </pic:cNvPicPr>
                  </pic:nvPicPr>
                  <pic:blipFill>
                    <a:blip r:embed="rId8"/>
                    <a:stretch>
                      <a:fillRect/>
                    </a:stretch>
                  </pic:blipFill>
                  <pic:spPr bwMode="auto">
                    <a:xfrm>
                      <a:off x="0" y="0"/>
                      <a:ext cx="5646420" cy="2352675"/>
                    </a:xfrm>
                    <a:prstGeom prst="rect">
                      <a:avLst/>
                    </a:prstGeom>
                    <a:noFill/>
                    <a:ln w="9525">
                      <a:noFill/>
                      <a:headEnd/>
                      <a:tailEnd/>
                    </a:ln>
                  </pic:spPr>
                </pic:pic>
              </a:graphicData>
            </a:graphic>
          </wp:inline>
        </w:drawing>
      </w:r>
    </w:p>
    <w:p w14:paraId="4FD8AE30" w14:textId="77777777" w:rsidR="00DF443C" w:rsidRDefault="005376F7">
      <w:pPr>
        <w:pStyle w:val="ImageCaption"/>
      </w:pPr>
      <w:r>
        <w:t>Distribution du nombre de cultures par ménage (histogramme, gauche) et comparaison Rural/Urbain (violin + boxplot, droite). Le losange blanc indique la médiane.</w:t>
      </w:r>
    </w:p>
    <w:p w14:paraId="469F427A" w14:textId="77777777" w:rsidR="00DF443C" w:rsidRDefault="005376F7">
      <w:pPr>
        <w:pStyle w:val="TableCaption"/>
        <w:pBdr>
          <w:top w:val="none" w:sz="0" w:space="0" w:color="000000"/>
          <w:left w:val="none" w:sz="0" w:space="0" w:color="000000"/>
          <w:bottom w:val="none" w:sz="0" w:space="0" w:color="000000"/>
          <w:right w:val="none" w:sz="0" w:space="0" w:color="000000"/>
        </w:pBdr>
        <w:spacing w:before="60" w:after="60" w:line="240" w:lineRule="auto"/>
        <w:ind w:left="60" w:right="60"/>
        <w:jc w:val="center"/>
      </w:pPr>
      <w:r>
        <w:lastRenderedPageBreak/>
        <w:t>Diversification culturale par milieu (nombre de cultures/menage)</w:t>
      </w:r>
    </w:p>
    <w:tbl>
      <w:tblPr>
        <w:tblW w:w="0" w:type="auto"/>
        <w:jc w:val="center"/>
        <w:tblLayout w:type="fixed"/>
        <w:tblLook w:val="0420" w:firstRow="1" w:lastRow="0" w:firstColumn="0" w:lastColumn="0" w:noHBand="0" w:noVBand="1"/>
      </w:tblPr>
      <w:tblGrid>
        <w:gridCol w:w="1059"/>
        <w:gridCol w:w="961"/>
        <w:gridCol w:w="1364"/>
        <w:gridCol w:w="1291"/>
        <w:gridCol w:w="1487"/>
      </w:tblGrid>
      <w:tr w:rsidR="00DF443C" w14:paraId="259BFA86" w14:textId="77777777">
        <w:trPr>
          <w:tblHeader/>
          <w:jc w:val="center"/>
        </w:trPr>
        <w:tc>
          <w:tcPr>
            <w:tcW w:w="1059" w:type="dxa"/>
            <w:tcBorders>
              <w:top w:val="single" w:sz="12" w:space="0" w:color="666666"/>
              <w:left w:val="none" w:sz="0" w:space="0" w:color="000000"/>
              <w:bottom w:val="single" w:sz="12" w:space="0" w:color="666666"/>
              <w:right w:val="none" w:sz="0" w:space="0" w:color="000000"/>
            </w:tcBorders>
            <w:shd w:val="clear" w:color="auto" w:fill="1B5E20"/>
            <w:tcMar>
              <w:top w:w="0" w:type="dxa"/>
              <w:left w:w="0" w:type="dxa"/>
              <w:bottom w:w="0" w:type="dxa"/>
              <w:right w:w="0" w:type="dxa"/>
            </w:tcMar>
            <w:vAlign w:val="center"/>
          </w:tcPr>
          <w:p w14:paraId="66C61065" w14:textId="77777777" w:rsidR="00DF443C" w:rsidRDefault="005376F7">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22"/>
                <w:szCs w:val="22"/>
              </w:rPr>
            </w:pPr>
            <w:r>
              <w:rPr>
                <w:rFonts w:ascii="Arial" w:eastAsia="Arial" w:hAnsi="Arial" w:cs="Arial"/>
                <w:b/>
                <w:color w:val="FFFFFF"/>
                <w:sz w:val="22"/>
                <w:szCs w:val="22"/>
              </w:rPr>
              <w:t>Milieu</w:t>
            </w:r>
          </w:p>
        </w:tc>
        <w:tc>
          <w:tcPr>
            <w:tcW w:w="961" w:type="dxa"/>
            <w:tcBorders>
              <w:top w:val="single" w:sz="12" w:space="0" w:color="666666"/>
              <w:left w:val="none" w:sz="0" w:space="0" w:color="000000"/>
              <w:bottom w:val="single" w:sz="12" w:space="0" w:color="666666"/>
              <w:right w:val="none" w:sz="0" w:space="0" w:color="000000"/>
            </w:tcBorders>
            <w:shd w:val="clear" w:color="auto" w:fill="1B5E20"/>
            <w:tcMar>
              <w:top w:w="0" w:type="dxa"/>
              <w:left w:w="0" w:type="dxa"/>
              <w:bottom w:w="0" w:type="dxa"/>
              <w:right w:w="0" w:type="dxa"/>
            </w:tcMar>
            <w:vAlign w:val="center"/>
          </w:tcPr>
          <w:p w14:paraId="576FD6DF" w14:textId="77777777" w:rsidR="00DF443C" w:rsidRDefault="005376F7">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FFFFFF"/>
                <w:sz w:val="22"/>
                <w:szCs w:val="22"/>
              </w:rPr>
            </w:pPr>
            <w:r>
              <w:rPr>
                <w:rFonts w:ascii="Arial" w:eastAsia="Arial" w:hAnsi="Arial" w:cs="Arial"/>
                <w:b/>
                <w:color w:val="FFFFFF"/>
                <w:sz w:val="22"/>
                <w:szCs w:val="22"/>
              </w:rPr>
              <w:t>N</w:t>
            </w:r>
          </w:p>
        </w:tc>
        <w:tc>
          <w:tcPr>
            <w:tcW w:w="1364" w:type="dxa"/>
            <w:tcBorders>
              <w:top w:val="single" w:sz="12" w:space="0" w:color="666666"/>
              <w:left w:val="none" w:sz="0" w:space="0" w:color="000000"/>
              <w:bottom w:val="single" w:sz="12" w:space="0" w:color="666666"/>
              <w:right w:val="none" w:sz="0" w:space="0" w:color="000000"/>
            </w:tcBorders>
            <w:shd w:val="clear" w:color="auto" w:fill="1B5E20"/>
            <w:tcMar>
              <w:top w:w="0" w:type="dxa"/>
              <w:left w:w="0" w:type="dxa"/>
              <w:bottom w:w="0" w:type="dxa"/>
              <w:right w:w="0" w:type="dxa"/>
            </w:tcMar>
            <w:vAlign w:val="center"/>
          </w:tcPr>
          <w:p w14:paraId="7892FD3A" w14:textId="77777777" w:rsidR="00DF443C" w:rsidRDefault="005376F7">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FFFFFF"/>
                <w:sz w:val="22"/>
                <w:szCs w:val="22"/>
              </w:rPr>
            </w:pPr>
            <w:r>
              <w:rPr>
                <w:rFonts w:ascii="Arial" w:eastAsia="Arial" w:hAnsi="Arial" w:cs="Arial"/>
                <w:b/>
                <w:color w:val="FFFFFF"/>
                <w:sz w:val="22"/>
                <w:szCs w:val="22"/>
              </w:rPr>
              <w:t>Moyenne</w:t>
            </w:r>
          </w:p>
        </w:tc>
        <w:tc>
          <w:tcPr>
            <w:tcW w:w="1291" w:type="dxa"/>
            <w:tcBorders>
              <w:top w:val="single" w:sz="12" w:space="0" w:color="666666"/>
              <w:left w:val="none" w:sz="0" w:space="0" w:color="000000"/>
              <w:bottom w:val="single" w:sz="12" w:space="0" w:color="666666"/>
              <w:right w:val="none" w:sz="0" w:space="0" w:color="000000"/>
            </w:tcBorders>
            <w:shd w:val="clear" w:color="auto" w:fill="1B5E20"/>
            <w:tcMar>
              <w:top w:w="0" w:type="dxa"/>
              <w:left w:w="0" w:type="dxa"/>
              <w:bottom w:w="0" w:type="dxa"/>
              <w:right w:w="0" w:type="dxa"/>
            </w:tcMar>
            <w:vAlign w:val="center"/>
          </w:tcPr>
          <w:p w14:paraId="3A09A091" w14:textId="77777777" w:rsidR="00DF443C" w:rsidRDefault="005376F7">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FFFFFF"/>
                <w:sz w:val="22"/>
                <w:szCs w:val="22"/>
              </w:rPr>
            </w:pPr>
            <w:r>
              <w:rPr>
                <w:rFonts w:ascii="Arial" w:eastAsia="Arial" w:hAnsi="Arial" w:cs="Arial"/>
                <w:b/>
                <w:color w:val="FFFFFF"/>
                <w:sz w:val="22"/>
                <w:szCs w:val="22"/>
              </w:rPr>
              <w:t>Mediane</w:t>
            </w:r>
          </w:p>
        </w:tc>
        <w:tc>
          <w:tcPr>
            <w:tcW w:w="1487" w:type="dxa"/>
            <w:tcBorders>
              <w:top w:val="single" w:sz="12" w:space="0" w:color="666666"/>
              <w:left w:val="none" w:sz="0" w:space="0" w:color="000000"/>
              <w:bottom w:val="single" w:sz="12" w:space="0" w:color="666666"/>
              <w:right w:val="none" w:sz="0" w:space="0" w:color="000000"/>
            </w:tcBorders>
            <w:shd w:val="clear" w:color="auto" w:fill="1B5E20"/>
            <w:tcMar>
              <w:top w:w="0" w:type="dxa"/>
              <w:left w:w="0" w:type="dxa"/>
              <w:bottom w:w="0" w:type="dxa"/>
              <w:right w:w="0" w:type="dxa"/>
            </w:tcMar>
            <w:vAlign w:val="center"/>
          </w:tcPr>
          <w:p w14:paraId="1E61B651" w14:textId="77777777" w:rsidR="00DF443C" w:rsidRDefault="005376F7">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FFFFFF"/>
                <w:sz w:val="22"/>
                <w:szCs w:val="22"/>
              </w:rPr>
            </w:pPr>
            <w:r>
              <w:rPr>
                <w:rFonts w:ascii="Arial" w:eastAsia="Arial" w:hAnsi="Arial" w:cs="Arial"/>
                <w:b/>
                <w:color w:val="FFFFFF"/>
                <w:sz w:val="22"/>
                <w:szCs w:val="22"/>
              </w:rPr>
              <w:t>Ecart-type</w:t>
            </w:r>
          </w:p>
        </w:tc>
      </w:tr>
      <w:tr w:rsidR="00DF443C" w14:paraId="6E20EE63" w14:textId="77777777">
        <w:trPr>
          <w:jc w:val="center"/>
        </w:trPr>
        <w:tc>
          <w:tcPr>
            <w:tcW w:w="10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6A9E3" w14:textId="77777777" w:rsidR="00DF443C" w:rsidRDefault="005376F7">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22"/>
                <w:szCs w:val="22"/>
              </w:rPr>
            </w:pPr>
            <w:r>
              <w:rPr>
                <w:rFonts w:ascii="Arial" w:eastAsia="Arial" w:hAnsi="Arial" w:cs="Arial"/>
                <w:color w:val="000000"/>
                <w:sz w:val="22"/>
                <w:szCs w:val="22"/>
              </w:rPr>
              <w:t>Urbain</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0670C" w14:textId="77777777" w:rsidR="00DF443C" w:rsidRDefault="005376F7">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481</w:t>
            </w:r>
          </w:p>
        </w:tc>
        <w:tc>
          <w:tcPr>
            <w:tcW w:w="13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DFB53" w14:textId="77777777" w:rsidR="00DF443C" w:rsidRDefault="005376F7">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2.18</w:t>
            </w:r>
          </w:p>
        </w:tc>
        <w:tc>
          <w:tcPr>
            <w:tcW w:w="12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F48F6" w14:textId="77777777" w:rsidR="00DF443C" w:rsidRDefault="005376F7">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48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EECD9" w14:textId="77777777" w:rsidR="00DF443C" w:rsidRDefault="005376F7">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1.11</w:t>
            </w:r>
          </w:p>
        </w:tc>
      </w:tr>
      <w:tr w:rsidR="00DF443C" w14:paraId="549F0A22" w14:textId="77777777">
        <w:trPr>
          <w:jc w:val="center"/>
        </w:trPr>
        <w:tc>
          <w:tcPr>
            <w:tcW w:w="10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663698" w14:textId="77777777" w:rsidR="00DF443C" w:rsidRDefault="005376F7">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22"/>
                <w:szCs w:val="22"/>
              </w:rPr>
            </w:pPr>
            <w:r>
              <w:rPr>
                <w:rFonts w:ascii="Arial" w:eastAsia="Arial" w:hAnsi="Arial" w:cs="Arial"/>
                <w:color w:val="000000"/>
                <w:sz w:val="22"/>
                <w:szCs w:val="22"/>
              </w:rPr>
              <w:t>Rural</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49049D" w14:textId="77777777" w:rsidR="00DF443C" w:rsidRDefault="005376F7">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2,706</w:t>
            </w:r>
          </w:p>
        </w:tc>
        <w:tc>
          <w:tcPr>
            <w:tcW w:w="13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42D8FF" w14:textId="77777777" w:rsidR="00DF443C" w:rsidRDefault="005376F7">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2.66</w:t>
            </w:r>
          </w:p>
        </w:tc>
        <w:tc>
          <w:tcPr>
            <w:tcW w:w="12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8B8E52" w14:textId="77777777" w:rsidR="00DF443C" w:rsidRDefault="005376F7">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48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DFB7E7" w14:textId="77777777" w:rsidR="00DF443C" w:rsidRDefault="005376F7">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1.35</w:t>
            </w:r>
          </w:p>
        </w:tc>
      </w:tr>
    </w:tbl>
    <w:p w14:paraId="7454A5CC" w14:textId="77777777" w:rsidR="00DF443C" w:rsidRDefault="005376F7">
      <w:pPr>
        <w:pStyle w:val="Corpsdetexte"/>
      </w:pPr>
      <w:r>
        <w:t>La distribution du nombre de cultures par ménage est asymétrique à droite, avec la majorité des ménages cultivant 1 à 3 espèces différentes (médiane nationale = 2, moyenne = 2,59). Cette asymétrie justifie l’emploi du test non-paramétrique de Wilcoxon.</w:t>
      </w:r>
    </w:p>
    <w:p w14:paraId="6E696F14" w14:textId="77777777" w:rsidR="00DF443C" w:rsidRDefault="005376F7">
      <w:pPr>
        <w:pStyle w:val="Corpsdetexte"/>
      </w:pPr>
      <w:r>
        <w:t>Les</w:t>
      </w:r>
      <w:r>
        <w:t xml:space="preserve"> ménages ruraux présentent une diversification légèrement supérieure aux ménages urbains (Rural : médiane = 2, Urbain : médiane = 2). Le test de Wilcoxon confirme que cette différence est statistiquement significative (W = 517 375,5, p &lt; 0,001), avec une t</w:t>
      </w:r>
      <w:r>
        <w:t xml:space="preserve">aille d’effet r = 0,131 qualifiée de </w:t>
      </w:r>
      <w:r>
        <w:rPr>
          <w:b/>
          <w:bCs/>
        </w:rPr>
        <w:t>petit</w:t>
      </w:r>
      <w:r>
        <w:t xml:space="preserve"> selon les seuils de Cohen. Cette différence, bien que significative statistiquement, doit être interprétée avec prudence : la différence pratique entre 2 et 2,7 cultures par ménage est modeste. Elle reflète néanmo</w:t>
      </w:r>
      <w:r>
        <w:t>ins la logique économique des ménages ruraux qui diversifient pour réduire les risques climatiques et assurent leur sécurité alimentaire via plusieurs productions complémentaires.</w:t>
      </w:r>
    </w:p>
    <w:p w14:paraId="5DD748BA" w14:textId="77777777" w:rsidR="00DF443C" w:rsidRDefault="005376F7">
      <w:pPr>
        <w:pStyle w:val="Titre2"/>
      </w:pPr>
      <w:bookmarkStart w:id="18" w:name="Xa3429a1bdb1939c41c242212852a152dfb3b235"/>
      <w:bookmarkStart w:id="19" w:name="_Toc227362194"/>
      <w:bookmarkEnd w:id="16"/>
      <w:r>
        <w:rPr>
          <w:rStyle w:val="SectionNumber"/>
        </w:rPr>
        <w:t>4.3</w:t>
      </w:r>
      <w:r>
        <w:tab/>
        <w:t>Tâche 3 — Utilisation des intrants agricoles</w:t>
      </w:r>
      <w:bookmarkEnd w:id="19"/>
    </w:p>
    <w:p w14:paraId="270DE828" w14:textId="77777777" w:rsidR="00DF443C" w:rsidRDefault="005376F7">
      <w:pPr>
        <w:pStyle w:val="CaptionedFigure"/>
      </w:pPr>
      <w:r>
        <w:rPr>
          <w:noProof/>
        </w:rPr>
        <w:drawing>
          <wp:inline distT="0" distB="0" distL="0" distR="0" wp14:anchorId="6610B5B7" wp14:editId="2A1822E5">
            <wp:extent cx="5646420" cy="3105531"/>
            <wp:effectExtent l="0" t="0" r="0" b="0"/>
            <wp:docPr id="35" name="Picture" descr="Taux d’utilisation des intrants par zone géopolitique. Proportions pondérées par wt_wave4. Le North West se distingue par les taux les plus élevés."/>
            <wp:cNvGraphicFramePr/>
            <a:graphic xmlns:a="http://schemas.openxmlformats.org/drawingml/2006/main">
              <a:graphicData uri="http://schemas.openxmlformats.org/drawingml/2006/picture">
                <pic:pic xmlns:pic="http://schemas.openxmlformats.org/drawingml/2006/picture">
                  <pic:nvPicPr>
                    <pic:cNvPr id="36" name="Picture" descr="D:\ENSAE\ISE1\SEMESTRE 2\Projet_Statistique\TP5_GROUPE12_LESLYE_NKWA_OUATTARA_Ousmane\rapports\rapport_files/483508550d5e062cc53826d739e4cd7f3eb58f88.png"/>
                    <pic:cNvPicPr>
                      <a:picLocks noChangeAspect="1" noChangeArrowheads="1"/>
                    </pic:cNvPicPr>
                  </pic:nvPicPr>
                  <pic:blipFill>
                    <a:blip r:embed="rId9"/>
                    <a:stretch>
                      <a:fillRect/>
                    </a:stretch>
                  </pic:blipFill>
                  <pic:spPr bwMode="auto">
                    <a:xfrm>
                      <a:off x="0" y="0"/>
                      <a:ext cx="5646420" cy="3105531"/>
                    </a:xfrm>
                    <a:prstGeom prst="rect">
                      <a:avLst/>
                    </a:prstGeom>
                    <a:noFill/>
                    <a:ln w="9525">
                      <a:noFill/>
                      <a:headEnd/>
                      <a:tailEnd/>
                    </a:ln>
                  </pic:spPr>
                </pic:pic>
              </a:graphicData>
            </a:graphic>
          </wp:inline>
        </w:drawing>
      </w:r>
    </w:p>
    <w:p w14:paraId="5B8FFF2D" w14:textId="77777777" w:rsidR="00DF443C" w:rsidRDefault="005376F7">
      <w:pPr>
        <w:pStyle w:val="ImageCaption"/>
      </w:pPr>
      <w:r>
        <w:t>Taux d’utilisation des in</w:t>
      </w:r>
      <w:r>
        <w:t>trants par zone géopolitique. Proportions pondérées par wt_wave4. Le North West se distingue par les taux les plus élevés.</w:t>
      </w:r>
    </w:p>
    <w:p w14:paraId="3E3D477A" w14:textId="77777777" w:rsidR="00DF443C" w:rsidRDefault="005376F7">
      <w:pPr>
        <w:pStyle w:val="TableCaption"/>
        <w:pBdr>
          <w:top w:val="none" w:sz="0" w:space="0" w:color="000000"/>
          <w:left w:val="none" w:sz="0" w:space="0" w:color="000000"/>
          <w:bottom w:val="none" w:sz="0" w:space="0" w:color="000000"/>
          <w:right w:val="none" w:sz="0" w:space="0" w:color="000000"/>
        </w:pBdr>
        <w:spacing w:before="60" w:after="60" w:line="240" w:lineRule="auto"/>
        <w:ind w:left="60" w:right="60"/>
        <w:jc w:val="center"/>
      </w:pPr>
      <w:r>
        <w:lastRenderedPageBreak/>
        <w:t>Taux d'utilisation des intrants par milieu (%, pondéré wt_wave4)</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tblGrid>
      <w:tr w:rsidR="00DF443C" w14:paraId="3BB0B475" w14:textId="77777777">
        <w:trPr>
          <w:tblHeader/>
          <w:jc w:val="center"/>
        </w:trPr>
        <w:tc>
          <w:tcPr>
            <w:tcW w:w="1080" w:type="dxa"/>
            <w:tcBorders>
              <w:top w:val="single" w:sz="12" w:space="0" w:color="1B5E20"/>
              <w:left w:val="single" w:sz="12" w:space="0" w:color="1B5E20"/>
              <w:bottom w:val="single" w:sz="12" w:space="0" w:color="1B5E20"/>
              <w:right w:val="none" w:sz="0" w:space="0" w:color="000000"/>
            </w:tcBorders>
            <w:shd w:val="clear" w:color="auto" w:fill="1B5E20"/>
            <w:tcMar>
              <w:top w:w="0" w:type="dxa"/>
              <w:left w:w="0" w:type="dxa"/>
              <w:bottom w:w="0" w:type="dxa"/>
              <w:right w:w="0" w:type="dxa"/>
            </w:tcMar>
            <w:vAlign w:val="center"/>
          </w:tcPr>
          <w:p w14:paraId="4FEBDCE6"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ascii="Arial" w:eastAsia="Arial" w:hAnsi="Arial" w:cs="Arial"/>
                <w:b/>
                <w:color w:val="FFFFFF"/>
                <w:sz w:val="19"/>
                <w:szCs w:val="19"/>
              </w:rPr>
            </w:pPr>
            <w:r>
              <w:rPr>
                <w:rFonts w:ascii="Arial" w:eastAsia="Arial" w:hAnsi="Arial" w:cs="Arial"/>
                <w:b/>
                <w:color w:val="FFFFFF"/>
                <w:sz w:val="19"/>
                <w:szCs w:val="19"/>
              </w:rPr>
              <w:t>milieu</w:t>
            </w:r>
          </w:p>
        </w:tc>
        <w:tc>
          <w:tcPr>
            <w:tcW w:w="1080" w:type="dxa"/>
            <w:tcBorders>
              <w:top w:val="single" w:sz="12" w:space="0" w:color="1B5E20"/>
              <w:left w:val="none" w:sz="0" w:space="0" w:color="000000"/>
              <w:bottom w:val="single" w:sz="12" w:space="0" w:color="1B5E20"/>
              <w:right w:val="none" w:sz="0" w:space="0" w:color="000000"/>
            </w:tcBorders>
            <w:shd w:val="clear" w:color="auto" w:fill="1B5E20"/>
            <w:tcMar>
              <w:top w:w="0" w:type="dxa"/>
              <w:left w:w="0" w:type="dxa"/>
              <w:bottom w:w="0" w:type="dxa"/>
              <w:right w:w="0" w:type="dxa"/>
            </w:tcMar>
            <w:vAlign w:val="center"/>
          </w:tcPr>
          <w:p w14:paraId="26864BA2"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ascii="Arial" w:eastAsia="Arial" w:hAnsi="Arial" w:cs="Arial"/>
                <w:b/>
                <w:color w:val="FFFFFF"/>
                <w:sz w:val="19"/>
                <w:szCs w:val="19"/>
              </w:rPr>
            </w:pPr>
            <w:r>
              <w:rPr>
                <w:rFonts w:ascii="Arial" w:eastAsia="Arial" w:hAnsi="Arial" w:cs="Arial"/>
                <w:b/>
                <w:color w:val="FFFFFF"/>
                <w:sz w:val="19"/>
                <w:szCs w:val="19"/>
              </w:rPr>
              <w:t>N</w:t>
            </w:r>
          </w:p>
        </w:tc>
        <w:tc>
          <w:tcPr>
            <w:tcW w:w="1080" w:type="dxa"/>
            <w:tcBorders>
              <w:top w:val="single" w:sz="12" w:space="0" w:color="1B5E20"/>
              <w:left w:val="none" w:sz="0" w:space="0" w:color="000000"/>
              <w:bottom w:val="single" w:sz="12" w:space="0" w:color="1B5E20"/>
              <w:right w:val="none" w:sz="0" w:space="0" w:color="000000"/>
            </w:tcBorders>
            <w:shd w:val="clear" w:color="auto" w:fill="1B5E20"/>
            <w:tcMar>
              <w:top w:w="0" w:type="dxa"/>
              <w:left w:w="0" w:type="dxa"/>
              <w:bottom w:w="0" w:type="dxa"/>
              <w:right w:w="0" w:type="dxa"/>
            </w:tcMar>
            <w:vAlign w:val="center"/>
          </w:tcPr>
          <w:p w14:paraId="091044CC"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ascii="Arial" w:eastAsia="Arial" w:hAnsi="Arial" w:cs="Arial"/>
                <w:b/>
                <w:color w:val="FFFFFF"/>
                <w:sz w:val="19"/>
                <w:szCs w:val="19"/>
              </w:rPr>
            </w:pPr>
            <w:r>
              <w:rPr>
                <w:rFonts w:ascii="Arial" w:eastAsia="Arial" w:hAnsi="Arial" w:cs="Arial"/>
                <w:b/>
                <w:color w:val="FFFFFF"/>
                <w:sz w:val="19"/>
                <w:szCs w:val="19"/>
              </w:rPr>
              <w:t>NPK (%)</w:t>
            </w:r>
          </w:p>
        </w:tc>
        <w:tc>
          <w:tcPr>
            <w:tcW w:w="1080" w:type="dxa"/>
            <w:tcBorders>
              <w:top w:val="single" w:sz="12" w:space="0" w:color="1B5E20"/>
              <w:left w:val="none" w:sz="0" w:space="0" w:color="000000"/>
              <w:bottom w:val="single" w:sz="12" w:space="0" w:color="1B5E20"/>
              <w:right w:val="none" w:sz="0" w:space="0" w:color="000000"/>
            </w:tcBorders>
            <w:shd w:val="clear" w:color="auto" w:fill="1B5E20"/>
            <w:tcMar>
              <w:top w:w="0" w:type="dxa"/>
              <w:left w:w="0" w:type="dxa"/>
              <w:bottom w:w="0" w:type="dxa"/>
              <w:right w:w="0" w:type="dxa"/>
            </w:tcMar>
            <w:vAlign w:val="center"/>
          </w:tcPr>
          <w:p w14:paraId="502BE966"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ascii="Arial" w:eastAsia="Arial" w:hAnsi="Arial" w:cs="Arial"/>
                <w:b/>
                <w:color w:val="FFFFFF"/>
                <w:sz w:val="19"/>
                <w:szCs w:val="19"/>
              </w:rPr>
            </w:pPr>
            <w:r>
              <w:rPr>
                <w:rFonts w:ascii="Arial" w:eastAsia="Arial" w:hAnsi="Arial" w:cs="Arial"/>
                <w:b/>
                <w:color w:val="FFFFFF"/>
                <w:sz w:val="19"/>
                <w:szCs w:val="19"/>
              </w:rPr>
              <w:t>Urée (%)</w:t>
            </w:r>
          </w:p>
        </w:tc>
        <w:tc>
          <w:tcPr>
            <w:tcW w:w="1080" w:type="dxa"/>
            <w:tcBorders>
              <w:top w:val="single" w:sz="12" w:space="0" w:color="1B5E20"/>
              <w:left w:val="none" w:sz="0" w:space="0" w:color="000000"/>
              <w:bottom w:val="single" w:sz="12" w:space="0" w:color="1B5E20"/>
              <w:right w:val="none" w:sz="0" w:space="0" w:color="000000"/>
            </w:tcBorders>
            <w:shd w:val="clear" w:color="auto" w:fill="1B5E20"/>
            <w:tcMar>
              <w:top w:w="0" w:type="dxa"/>
              <w:left w:w="0" w:type="dxa"/>
              <w:bottom w:w="0" w:type="dxa"/>
              <w:right w:w="0" w:type="dxa"/>
            </w:tcMar>
            <w:vAlign w:val="center"/>
          </w:tcPr>
          <w:p w14:paraId="3FA5DD19"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ascii="Arial" w:eastAsia="Arial" w:hAnsi="Arial" w:cs="Arial"/>
                <w:b/>
                <w:color w:val="FFFFFF"/>
                <w:sz w:val="19"/>
                <w:szCs w:val="19"/>
              </w:rPr>
            </w:pPr>
            <w:r>
              <w:rPr>
                <w:rFonts w:ascii="Arial" w:eastAsia="Arial" w:hAnsi="Arial" w:cs="Arial"/>
                <w:b/>
                <w:color w:val="FFFFFF"/>
                <w:sz w:val="19"/>
                <w:szCs w:val="19"/>
              </w:rPr>
              <w:t>Organique (%)</w:t>
            </w:r>
          </w:p>
        </w:tc>
        <w:tc>
          <w:tcPr>
            <w:tcW w:w="1080" w:type="dxa"/>
            <w:tcBorders>
              <w:top w:val="single" w:sz="12" w:space="0" w:color="1B5E20"/>
              <w:left w:val="none" w:sz="0" w:space="0" w:color="000000"/>
              <w:bottom w:val="single" w:sz="12" w:space="0" w:color="1B5E20"/>
              <w:right w:val="none" w:sz="0" w:space="0" w:color="000000"/>
            </w:tcBorders>
            <w:shd w:val="clear" w:color="auto" w:fill="1B5E20"/>
            <w:tcMar>
              <w:top w:w="0" w:type="dxa"/>
              <w:left w:w="0" w:type="dxa"/>
              <w:bottom w:w="0" w:type="dxa"/>
              <w:right w:w="0" w:type="dxa"/>
            </w:tcMar>
            <w:vAlign w:val="center"/>
          </w:tcPr>
          <w:p w14:paraId="591FE943"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ascii="Arial" w:eastAsia="Arial" w:hAnsi="Arial" w:cs="Arial"/>
                <w:b/>
                <w:color w:val="FFFFFF"/>
                <w:sz w:val="19"/>
                <w:szCs w:val="19"/>
              </w:rPr>
            </w:pPr>
            <w:r>
              <w:rPr>
                <w:rFonts w:ascii="Arial" w:eastAsia="Arial" w:hAnsi="Arial" w:cs="Arial"/>
                <w:b/>
                <w:color w:val="FFFFFF"/>
                <w:sz w:val="19"/>
                <w:szCs w:val="19"/>
              </w:rPr>
              <w:t>Pesticide (%)</w:t>
            </w:r>
          </w:p>
        </w:tc>
        <w:tc>
          <w:tcPr>
            <w:tcW w:w="1080" w:type="dxa"/>
            <w:tcBorders>
              <w:top w:val="single" w:sz="12" w:space="0" w:color="1B5E20"/>
              <w:left w:val="none" w:sz="0" w:space="0" w:color="000000"/>
              <w:bottom w:val="single" w:sz="12" w:space="0" w:color="1B5E20"/>
              <w:right w:val="single" w:sz="12" w:space="0" w:color="1B5E20"/>
            </w:tcBorders>
            <w:shd w:val="clear" w:color="auto" w:fill="1B5E20"/>
            <w:tcMar>
              <w:top w:w="0" w:type="dxa"/>
              <w:left w:w="0" w:type="dxa"/>
              <w:bottom w:w="0" w:type="dxa"/>
              <w:right w:w="0" w:type="dxa"/>
            </w:tcMar>
            <w:vAlign w:val="center"/>
          </w:tcPr>
          <w:p w14:paraId="38449FBC"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ascii="Arial" w:eastAsia="Arial" w:hAnsi="Arial" w:cs="Arial"/>
                <w:b/>
                <w:color w:val="FFFFFF"/>
                <w:sz w:val="19"/>
                <w:szCs w:val="19"/>
              </w:rPr>
            </w:pPr>
            <w:r>
              <w:rPr>
                <w:rFonts w:ascii="Arial" w:eastAsia="Arial" w:hAnsi="Arial" w:cs="Arial"/>
                <w:b/>
                <w:color w:val="FFFFFF"/>
                <w:sz w:val="19"/>
                <w:szCs w:val="19"/>
              </w:rPr>
              <w:t>Inorganique (%)</w:t>
            </w:r>
          </w:p>
        </w:tc>
      </w:tr>
      <w:tr w:rsidR="00DF443C" w14:paraId="0B441B2F" w14:textId="77777777">
        <w:trPr>
          <w:jc w:val="center"/>
        </w:trPr>
        <w:tc>
          <w:tcPr>
            <w:tcW w:w="1080" w:type="dxa"/>
            <w:tcBorders>
              <w:top w:val="single" w:sz="12" w:space="0" w:color="1B5E20"/>
              <w:left w:val="single" w:sz="12" w:space="0" w:color="1B5E20"/>
              <w:bottom w:val="single" w:sz="3" w:space="0" w:color="AAAAAA"/>
              <w:right w:val="none" w:sz="0" w:space="0" w:color="000000"/>
            </w:tcBorders>
            <w:shd w:val="clear" w:color="auto" w:fill="FFFFFF"/>
            <w:tcMar>
              <w:top w:w="0" w:type="dxa"/>
              <w:left w:w="0" w:type="dxa"/>
              <w:bottom w:w="0" w:type="dxa"/>
              <w:right w:w="0" w:type="dxa"/>
            </w:tcMar>
            <w:vAlign w:val="center"/>
          </w:tcPr>
          <w:p w14:paraId="0507B916"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Urbain</w:t>
            </w:r>
          </w:p>
        </w:tc>
        <w:tc>
          <w:tcPr>
            <w:tcW w:w="1080" w:type="dxa"/>
            <w:tcBorders>
              <w:top w:val="single" w:sz="12" w:space="0" w:color="1B5E20"/>
              <w:left w:val="none" w:sz="0" w:space="0" w:color="000000"/>
              <w:bottom w:val="single" w:sz="3" w:space="0" w:color="AAAAAA"/>
              <w:right w:val="none" w:sz="0" w:space="0" w:color="000000"/>
            </w:tcBorders>
            <w:shd w:val="clear" w:color="auto" w:fill="FFFFFF"/>
            <w:tcMar>
              <w:top w:w="0" w:type="dxa"/>
              <w:left w:w="0" w:type="dxa"/>
              <w:bottom w:w="0" w:type="dxa"/>
              <w:right w:w="0" w:type="dxa"/>
            </w:tcMar>
            <w:vAlign w:val="center"/>
          </w:tcPr>
          <w:p w14:paraId="14542689"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1,020</w:t>
            </w:r>
          </w:p>
        </w:tc>
        <w:tc>
          <w:tcPr>
            <w:tcW w:w="1080" w:type="dxa"/>
            <w:tcBorders>
              <w:top w:val="single" w:sz="12" w:space="0" w:color="1B5E20"/>
              <w:left w:val="none" w:sz="0" w:space="0" w:color="000000"/>
              <w:bottom w:val="single" w:sz="3" w:space="0" w:color="AAAAAA"/>
              <w:right w:val="none" w:sz="0" w:space="0" w:color="000000"/>
            </w:tcBorders>
            <w:shd w:val="clear" w:color="auto" w:fill="FFFFFF"/>
            <w:tcMar>
              <w:top w:w="0" w:type="dxa"/>
              <w:left w:w="0" w:type="dxa"/>
              <w:bottom w:w="0" w:type="dxa"/>
              <w:right w:w="0" w:type="dxa"/>
            </w:tcMar>
            <w:vAlign w:val="center"/>
          </w:tcPr>
          <w:p w14:paraId="7B570951"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78.6</w:t>
            </w:r>
          </w:p>
        </w:tc>
        <w:tc>
          <w:tcPr>
            <w:tcW w:w="1080" w:type="dxa"/>
            <w:tcBorders>
              <w:top w:val="single" w:sz="12" w:space="0" w:color="1B5E20"/>
              <w:left w:val="none" w:sz="0" w:space="0" w:color="000000"/>
              <w:bottom w:val="single" w:sz="3" w:space="0" w:color="AAAAAA"/>
              <w:right w:val="none" w:sz="0" w:space="0" w:color="000000"/>
            </w:tcBorders>
            <w:shd w:val="clear" w:color="auto" w:fill="FFFFFF"/>
            <w:tcMar>
              <w:top w:w="0" w:type="dxa"/>
              <w:left w:w="0" w:type="dxa"/>
              <w:bottom w:w="0" w:type="dxa"/>
              <w:right w:w="0" w:type="dxa"/>
            </w:tcMar>
            <w:vAlign w:val="center"/>
          </w:tcPr>
          <w:p w14:paraId="550D676E"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48.7</w:t>
            </w:r>
          </w:p>
        </w:tc>
        <w:tc>
          <w:tcPr>
            <w:tcW w:w="1080" w:type="dxa"/>
            <w:tcBorders>
              <w:top w:val="single" w:sz="12" w:space="0" w:color="1B5E20"/>
              <w:left w:val="none" w:sz="0" w:space="0" w:color="000000"/>
              <w:bottom w:val="single" w:sz="3" w:space="0" w:color="AAAAAA"/>
              <w:right w:val="none" w:sz="0" w:space="0" w:color="000000"/>
            </w:tcBorders>
            <w:shd w:val="clear" w:color="auto" w:fill="FFFFFF"/>
            <w:tcMar>
              <w:top w:w="0" w:type="dxa"/>
              <w:left w:w="0" w:type="dxa"/>
              <w:bottom w:w="0" w:type="dxa"/>
              <w:right w:w="0" w:type="dxa"/>
            </w:tcMar>
            <w:vAlign w:val="center"/>
          </w:tcPr>
          <w:p w14:paraId="7E45BC4D"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12.3</w:t>
            </w:r>
          </w:p>
        </w:tc>
        <w:tc>
          <w:tcPr>
            <w:tcW w:w="1080" w:type="dxa"/>
            <w:tcBorders>
              <w:top w:val="single" w:sz="12" w:space="0" w:color="1B5E20"/>
              <w:left w:val="none" w:sz="0" w:space="0" w:color="000000"/>
              <w:bottom w:val="single" w:sz="3" w:space="0" w:color="AAAAAA"/>
              <w:right w:val="none" w:sz="0" w:space="0" w:color="000000"/>
            </w:tcBorders>
            <w:shd w:val="clear" w:color="auto" w:fill="FFFFFF"/>
            <w:tcMar>
              <w:top w:w="0" w:type="dxa"/>
              <w:left w:w="0" w:type="dxa"/>
              <w:bottom w:w="0" w:type="dxa"/>
              <w:right w:w="0" w:type="dxa"/>
            </w:tcMar>
            <w:vAlign w:val="center"/>
          </w:tcPr>
          <w:p w14:paraId="5455D1E7"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16.7</w:t>
            </w:r>
          </w:p>
        </w:tc>
        <w:tc>
          <w:tcPr>
            <w:tcW w:w="1080" w:type="dxa"/>
            <w:tcBorders>
              <w:top w:val="single" w:sz="12" w:space="0" w:color="1B5E20"/>
              <w:left w:val="none" w:sz="0" w:space="0" w:color="000000"/>
              <w:bottom w:val="single" w:sz="3" w:space="0" w:color="AAAAAA"/>
              <w:right w:val="single" w:sz="12" w:space="0" w:color="1B5E20"/>
            </w:tcBorders>
            <w:shd w:val="clear" w:color="auto" w:fill="FFFFFF"/>
            <w:tcMar>
              <w:top w:w="0" w:type="dxa"/>
              <w:left w:w="0" w:type="dxa"/>
              <w:bottom w:w="0" w:type="dxa"/>
              <w:right w:w="0" w:type="dxa"/>
            </w:tcMar>
            <w:vAlign w:val="center"/>
          </w:tcPr>
          <w:p w14:paraId="7B62758A"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27.7</w:t>
            </w:r>
          </w:p>
        </w:tc>
      </w:tr>
      <w:tr w:rsidR="00DF443C" w14:paraId="558B65A1" w14:textId="77777777">
        <w:trPr>
          <w:jc w:val="center"/>
        </w:trPr>
        <w:tc>
          <w:tcPr>
            <w:tcW w:w="1080" w:type="dxa"/>
            <w:tcBorders>
              <w:top w:val="single" w:sz="3" w:space="0" w:color="AAAAAA"/>
              <w:left w:val="single" w:sz="12" w:space="0" w:color="1B5E20"/>
              <w:bottom w:val="single" w:sz="12" w:space="0" w:color="1B5E20"/>
              <w:right w:val="none" w:sz="0" w:space="0" w:color="000000"/>
            </w:tcBorders>
            <w:shd w:val="clear" w:color="auto" w:fill="E8F5E9"/>
            <w:tcMar>
              <w:top w:w="0" w:type="dxa"/>
              <w:left w:w="0" w:type="dxa"/>
              <w:bottom w:w="0" w:type="dxa"/>
              <w:right w:w="0" w:type="dxa"/>
            </w:tcMar>
            <w:vAlign w:val="center"/>
          </w:tcPr>
          <w:p w14:paraId="4ED38ADA"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Rural</w:t>
            </w:r>
          </w:p>
        </w:tc>
        <w:tc>
          <w:tcPr>
            <w:tcW w:w="1080" w:type="dxa"/>
            <w:tcBorders>
              <w:top w:val="single" w:sz="3" w:space="0" w:color="AAAAAA"/>
              <w:left w:val="none" w:sz="0" w:space="0" w:color="000000"/>
              <w:bottom w:val="single" w:sz="12" w:space="0" w:color="1B5E20"/>
              <w:right w:val="none" w:sz="0" w:space="0" w:color="000000"/>
            </w:tcBorders>
            <w:shd w:val="clear" w:color="auto" w:fill="E8F5E9"/>
            <w:tcMar>
              <w:top w:w="0" w:type="dxa"/>
              <w:left w:w="0" w:type="dxa"/>
              <w:bottom w:w="0" w:type="dxa"/>
              <w:right w:w="0" w:type="dxa"/>
            </w:tcMar>
            <w:vAlign w:val="center"/>
          </w:tcPr>
          <w:p w14:paraId="2482B08D"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7,272</w:t>
            </w:r>
          </w:p>
        </w:tc>
        <w:tc>
          <w:tcPr>
            <w:tcW w:w="1080" w:type="dxa"/>
            <w:tcBorders>
              <w:top w:val="single" w:sz="3" w:space="0" w:color="AAAAAA"/>
              <w:left w:val="none" w:sz="0" w:space="0" w:color="000000"/>
              <w:bottom w:val="single" w:sz="12" w:space="0" w:color="1B5E20"/>
              <w:right w:val="none" w:sz="0" w:space="0" w:color="000000"/>
            </w:tcBorders>
            <w:shd w:val="clear" w:color="auto" w:fill="E8F5E9"/>
            <w:tcMar>
              <w:top w:w="0" w:type="dxa"/>
              <w:left w:w="0" w:type="dxa"/>
              <w:bottom w:w="0" w:type="dxa"/>
              <w:right w:w="0" w:type="dxa"/>
            </w:tcMar>
            <w:vAlign w:val="center"/>
          </w:tcPr>
          <w:p w14:paraId="44BBE584"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77.6</w:t>
            </w:r>
          </w:p>
        </w:tc>
        <w:tc>
          <w:tcPr>
            <w:tcW w:w="1080" w:type="dxa"/>
            <w:tcBorders>
              <w:top w:val="single" w:sz="3" w:space="0" w:color="AAAAAA"/>
              <w:left w:val="none" w:sz="0" w:space="0" w:color="000000"/>
              <w:bottom w:val="single" w:sz="12" w:space="0" w:color="1B5E20"/>
              <w:right w:val="none" w:sz="0" w:space="0" w:color="000000"/>
            </w:tcBorders>
            <w:shd w:val="clear" w:color="auto" w:fill="E8F5E9"/>
            <w:tcMar>
              <w:top w:w="0" w:type="dxa"/>
              <w:left w:w="0" w:type="dxa"/>
              <w:bottom w:w="0" w:type="dxa"/>
              <w:right w:w="0" w:type="dxa"/>
            </w:tcMar>
            <w:vAlign w:val="center"/>
          </w:tcPr>
          <w:p w14:paraId="7760E00D"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52.0</w:t>
            </w:r>
          </w:p>
        </w:tc>
        <w:tc>
          <w:tcPr>
            <w:tcW w:w="1080" w:type="dxa"/>
            <w:tcBorders>
              <w:top w:val="single" w:sz="3" w:space="0" w:color="AAAAAA"/>
              <w:left w:val="none" w:sz="0" w:space="0" w:color="000000"/>
              <w:bottom w:val="single" w:sz="12" w:space="0" w:color="1B5E20"/>
              <w:right w:val="none" w:sz="0" w:space="0" w:color="000000"/>
            </w:tcBorders>
            <w:shd w:val="clear" w:color="auto" w:fill="E8F5E9"/>
            <w:tcMar>
              <w:top w:w="0" w:type="dxa"/>
              <w:left w:w="0" w:type="dxa"/>
              <w:bottom w:w="0" w:type="dxa"/>
              <w:right w:w="0" w:type="dxa"/>
            </w:tcMar>
            <w:vAlign w:val="center"/>
          </w:tcPr>
          <w:p w14:paraId="5A805087"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24.4</w:t>
            </w:r>
          </w:p>
        </w:tc>
        <w:tc>
          <w:tcPr>
            <w:tcW w:w="1080" w:type="dxa"/>
            <w:tcBorders>
              <w:top w:val="single" w:sz="3" w:space="0" w:color="AAAAAA"/>
              <w:left w:val="none" w:sz="0" w:space="0" w:color="000000"/>
              <w:bottom w:val="single" w:sz="12" w:space="0" w:color="1B5E20"/>
              <w:right w:val="none" w:sz="0" w:space="0" w:color="000000"/>
            </w:tcBorders>
            <w:shd w:val="clear" w:color="auto" w:fill="E8F5E9"/>
            <w:tcMar>
              <w:top w:w="0" w:type="dxa"/>
              <w:left w:w="0" w:type="dxa"/>
              <w:bottom w:w="0" w:type="dxa"/>
              <w:right w:w="0" w:type="dxa"/>
            </w:tcMar>
            <w:vAlign w:val="center"/>
          </w:tcPr>
          <w:p w14:paraId="079E23FD"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12.7</w:t>
            </w:r>
          </w:p>
        </w:tc>
        <w:tc>
          <w:tcPr>
            <w:tcW w:w="1080" w:type="dxa"/>
            <w:tcBorders>
              <w:top w:val="single" w:sz="3" w:space="0" w:color="AAAAAA"/>
              <w:left w:val="none" w:sz="0" w:space="0" w:color="000000"/>
              <w:bottom w:val="single" w:sz="12" w:space="0" w:color="1B5E20"/>
              <w:right w:val="single" w:sz="12" w:space="0" w:color="1B5E20"/>
            </w:tcBorders>
            <w:shd w:val="clear" w:color="auto" w:fill="E8F5E9"/>
            <w:tcMar>
              <w:top w:w="0" w:type="dxa"/>
              <w:left w:w="0" w:type="dxa"/>
              <w:bottom w:w="0" w:type="dxa"/>
              <w:right w:w="0" w:type="dxa"/>
            </w:tcMar>
            <w:vAlign w:val="center"/>
          </w:tcPr>
          <w:p w14:paraId="58D74553"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36.3</w:t>
            </w:r>
          </w:p>
        </w:tc>
      </w:tr>
    </w:tbl>
    <w:p w14:paraId="5FC6C194" w14:textId="77777777" w:rsidR="00DF443C" w:rsidRDefault="005376F7">
      <w:pPr>
        <w:pStyle w:val="Corpsdetexte"/>
      </w:pPr>
      <w:r>
        <w:t xml:space="preserve">À l’échelle nationale, 77,7% des parcelles utilisent du NPK, 51,7% de l’urée et 23,1% un engrais organique. Ces taux, bien que non négligeables, restent inférieurs à ceux observés dans les pays où les programmes de subvention aux intrants ont atteint leur </w:t>
      </w:r>
      <w:r>
        <w:t>maturité.</w:t>
      </w:r>
    </w:p>
    <w:p w14:paraId="66FD40C7" w14:textId="77777777" w:rsidR="00DF443C" w:rsidRDefault="005376F7">
      <w:pPr>
        <w:pStyle w:val="Corpsdetexte"/>
      </w:pPr>
      <w:r>
        <w:t xml:space="preserve">La disparité régionale est saisissante. Le </w:t>
      </w:r>
      <w:r>
        <w:rPr>
          <w:b/>
          <w:bCs/>
        </w:rPr>
        <w:t>North West</w:t>
      </w:r>
      <w:r>
        <w:t xml:space="preserve"> concentre les taux les plus élevés de NPK (76,3%) et d’urée (57,5%), lié à la tradition de culture intensive du maïs et du riz dans cette zone et aux programmes de subvention ciblant la ceintu</w:t>
      </w:r>
      <w:r>
        <w:t xml:space="preserve">re céréalière. Le </w:t>
      </w:r>
      <w:r>
        <w:rPr>
          <w:b/>
          <w:bCs/>
        </w:rPr>
        <w:t>South South</w:t>
      </w:r>
      <w:r>
        <w:t>, fortement dépendant du palmier à huile et des tubercules, enregistre les taux les plus faibles d’engrais chimique, compensés partiellement par l’engrais organique.</w:t>
      </w:r>
    </w:p>
    <w:p w14:paraId="1CAAEF5B" w14:textId="77777777" w:rsidR="00DF443C" w:rsidRDefault="005376F7">
      <w:pPr>
        <w:pStyle w:val="Corpsdetexte"/>
      </w:pPr>
      <w:r>
        <w:t>Le test du chi-deux confirme une association très significati</w:t>
      </w:r>
      <w:r>
        <w:t xml:space="preserve">ve entre zone géopolitique et utilisation d’engrais inorganique (X² = 1649,7, df = 5, p &lt; 0,001). Le V de Cramer de 0,446 indique une </w:t>
      </w:r>
      <w:r>
        <w:rPr>
          <w:b/>
          <w:bCs/>
        </w:rPr>
        <w:t>association forte</w:t>
      </w:r>
      <w:r>
        <w:t>, signifiant que la zone d’appartenance explique une part substantielle de la variance dans l’adoption de</w:t>
      </w:r>
      <w:r>
        <w:t>s engrais. Ce résultat plaide pour des politiques de diffusion des intrants différenciées par région.</w:t>
      </w:r>
    </w:p>
    <w:p w14:paraId="64AD4076" w14:textId="77777777" w:rsidR="00DF443C" w:rsidRDefault="005376F7">
      <w:pPr>
        <w:pStyle w:val="Titre2"/>
      </w:pPr>
      <w:bookmarkStart w:id="20" w:name="tâche-4-rendements-maïs-et-mil-par-état"/>
      <w:bookmarkStart w:id="21" w:name="_Toc227362195"/>
      <w:bookmarkEnd w:id="18"/>
      <w:r>
        <w:rPr>
          <w:rStyle w:val="SectionNumber"/>
        </w:rPr>
        <w:lastRenderedPageBreak/>
        <w:t>4.4</w:t>
      </w:r>
      <w:r>
        <w:tab/>
        <w:t>Tâche 4 — Rendements maïs et mil par État</w:t>
      </w:r>
      <w:bookmarkEnd w:id="21"/>
    </w:p>
    <w:p w14:paraId="658ED6DE" w14:textId="77777777" w:rsidR="00DF443C" w:rsidRDefault="005376F7">
      <w:pPr>
        <w:pStyle w:val="CaptionedFigure"/>
      </w:pPr>
      <w:r>
        <w:rPr>
          <w:noProof/>
        </w:rPr>
        <w:drawing>
          <wp:inline distT="0" distB="0" distL="0" distR="0" wp14:anchorId="7AFF76DE" wp14:editId="35800E06">
            <wp:extent cx="5646420" cy="3764280"/>
            <wp:effectExtent l="0" t="0" r="0" b="0"/>
            <wp:docPr id="39" name="Picture" descr="Distribution des rendements (kg/ha) du maïs et du mil par État. Outliers écartés par IQR × 3. États avec N ≥ 15 observations uniquement."/>
            <wp:cNvGraphicFramePr/>
            <a:graphic xmlns:a="http://schemas.openxmlformats.org/drawingml/2006/main">
              <a:graphicData uri="http://schemas.openxmlformats.org/drawingml/2006/picture">
                <pic:pic xmlns:pic="http://schemas.openxmlformats.org/drawingml/2006/picture">
                  <pic:nvPicPr>
                    <pic:cNvPr id="40" name="Picture" descr="D:\ENSAE\ISE1\SEMESTRE 2\Projet_Statistique\TP5_GROUPE12_LESLYE_NKWA_OUATTARA_Ousmane\rapports\rapport_files/cfa30b6fd46dbe6e6f901926e870a277fd37305c.png"/>
                    <pic:cNvPicPr>
                      <a:picLocks noChangeAspect="1" noChangeArrowheads="1"/>
                    </pic:cNvPicPr>
                  </pic:nvPicPr>
                  <pic:blipFill>
                    <a:blip r:embed="rId10"/>
                    <a:stretch>
                      <a:fillRect/>
                    </a:stretch>
                  </pic:blipFill>
                  <pic:spPr bwMode="auto">
                    <a:xfrm>
                      <a:off x="0" y="0"/>
                      <a:ext cx="5646420" cy="3764280"/>
                    </a:xfrm>
                    <a:prstGeom prst="rect">
                      <a:avLst/>
                    </a:prstGeom>
                    <a:noFill/>
                    <a:ln w="9525">
                      <a:noFill/>
                      <a:headEnd/>
                      <a:tailEnd/>
                    </a:ln>
                  </pic:spPr>
                </pic:pic>
              </a:graphicData>
            </a:graphic>
          </wp:inline>
        </w:drawing>
      </w:r>
    </w:p>
    <w:p w14:paraId="33D5E0FC" w14:textId="77777777" w:rsidR="00DF443C" w:rsidRDefault="005376F7">
      <w:pPr>
        <w:pStyle w:val="ImageCaption"/>
      </w:pPr>
      <w:r>
        <w:t>Distribution des rendements (kg/ha) du maïs et du mil par État. Outliers écartés par IQR × 3. États avec N ≥ 15 observations uniquement.</w:t>
      </w:r>
    </w:p>
    <w:p w14:paraId="2F24F153" w14:textId="77777777" w:rsidR="00DF443C" w:rsidRDefault="005376F7">
      <w:pPr>
        <w:pStyle w:val="TableCaption"/>
        <w:pBdr>
          <w:top w:val="none" w:sz="0" w:space="0" w:color="000000"/>
          <w:left w:val="none" w:sz="0" w:space="0" w:color="000000"/>
          <w:bottom w:val="none" w:sz="0" w:space="0" w:color="000000"/>
          <w:right w:val="none" w:sz="0" w:space="0" w:color="000000"/>
        </w:pBdr>
        <w:spacing w:before="60" w:after="60" w:line="240" w:lineRule="auto"/>
        <w:ind w:left="60" w:right="60"/>
        <w:jc w:val="center"/>
      </w:pPr>
      <w:r>
        <w:t>Statistiques descriptives des rendements maïs et mil (kg/ha, W4)</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tblGrid>
      <w:tr w:rsidR="00DF443C" w14:paraId="7A5E97A9" w14:textId="77777777">
        <w:trPr>
          <w:tblHeader/>
          <w:jc w:val="center"/>
        </w:trPr>
        <w:tc>
          <w:tcPr>
            <w:tcW w:w="1080" w:type="dxa"/>
            <w:tcBorders>
              <w:top w:val="single" w:sz="12" w:space="0" w:color="1B5E20"/>
              <w:left w:val="single" w:sz="12" w:space="0" w:color="1B5E20"/>
              <w:bottom w:val="single" w:sz="12" w:space="0" w:color="1B5E20"/>
              <w:right w:val="none" w:sz="0" w:space="0" w:color="000000"/>
            </w:tcBorders>
            <w:shd w:val="clear" w:color="auto" w:fill="1B5E20"/>
            <w:tcMar>
              <w:top w:w="0" w:type="dxa"/>
              <w:left w:w="0" w:type="dxa"/>
              <w:bottom w:w="0" w:type="dxa"/>
              <w:right w:w="0" w:type="dxa"/>
            </w:tcMar>
            <w:vAlign w:val="center"/>
          </w:tcPr>
          <w:p w14:paraId="374AC576"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ascii="Arial" w:eastAsia="Arial" w:hAnsi="Arial" w:cs="Arial"/>
                <w:b/>
                <w:color w:val="FFFFFF"/>
                <w:sz w:val="19"/>
                <w:szCs w:val="19"/>
              </w:rPr>
            </w:pPr>
            <w:r>
              <w:rPr>
                <w:rFonts w:ascii="Arial" w:eastAsia="Arial" w:hAnsi="Arial" w:cs="Arial"/>
                <w:b/>
                <w:color w:val="FFFFFF"/>
                <w:sz w:val="19"/>
                <w:szCs w:val="19"/>
              </w:rPr>
              <w:t>Culture</w:t>
            </w:r>
          </w:p>
        </w:tc>
        <w:tc>
          <w:tcPr>
            <w:tcW w:w="1080" w:type="dxa"/>
            <w:tcBorders>
              <w:top w:val="single" w:sz="12" w:space="0" w:color="1B5E20"/>
              <w:left w:val="none" w:sz="0" w:space="0" w:color="000000"/>
              <w:bottom w:val="single" w:sz="12" w:space="0" w:color="1B5E20"/>
              <w:right w:val="none" w:sz="0" w:space="0" w:color="000000"/>
            </w:tcBorders>
            <w:shd w:val="clear" w:color="auto" w:fill="1B5E20"/>
            <w:tcMar>
              <w:top w:w="0" w:type="dxa"/>
              <w:left w:w="0" w:type="dxa"/>
              <w:bottom w:w="0" w:type="dxa"/>
              <w:right w:w="0" w:type="dxa"/>
            </w:tcMar>
            <w:vAlign w:val="center"/>
          </w:tcPr>
          <w:p w14:paraId="4A85FE35"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ascii="Arial" w:eastAsia="Arial" w:hAnsi="Arial" w:cs="Arial"/>
                <w:b/>
                <w:color w:val="FFFFFF"/>
                <w:sz w:val="19"/>
                <w:szCs w:val="19"/>
              </w:rPr>
            </w:pPr>
            <w:r>
              <w:rPr>
                <w:rFonts w:ascii="Arial" w:eastAsia="Arial" w:hAnsi="Arial" w:cs="Arial"/>
                <w:b/>
                <w:color w:val="FFFFFF"/>
                <w:sz w:val="19"/>
                <w:szCs w:val="19"/>
              </w:rPr>
              <w:t>N obs.</w:t>
            </w:r>
          </w:p>
        </w:tc>
        <w:tc>
          <w:tcPr>
            <w:tcW w:w="1080" w:type="dxa"/>
            <w:tcBorders>
              <w:top w:val="single" w:sz="12" w:space="0" w:color="1B5E20"/>
              <w:left w:val="none" w:sz="0" w:space="0" w:color="000000"/>
              <w:bottom w:val="single" w:sz="12" w:space="0" w:color="1B5E20"/>
              <w:right w:val="none" w:sz="0" w:space="0" w:color="000000"/>
            </w:tcBorders>
            <w:shd w:val="clear" w:color="auto" w:fill="1B5E20"/>
            <w:tcMar>
              <w:top w:w="0" w:type="dxa"/>
              <w:left w:w="0" w:type="dxa"/>
              <w:bottom w:w="0" w:type="dxa"/>
              <w:right w:w="0" w:type="dxa"/>
            </w:tcMar>
            <w:vAlign w:val="center"/>
          </w:tcPr>
          <w:p w14:paraId="117615E4"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ascii="Arial" w:eastAsia="Arial" w:hAnsi="Arial" w:cs="Arial"/>
                <w:b/>
                <w:color w:val="FFFFFF"/>
                <w:sz w:val="19"/>
                <w:szCs w:val="19"/>
              </w:rPr>
            </w:pPr>
            <w:r>
              <w:rPr>
                <w:rFonts w:ascii="Arial" w:eastAsia="Arial" w:hAnsi="Arial" w:cs="Arial"/>
                <w:b/>
                <w:color w:val="FFFFFF"/>
                <w:sz w:val="19"/>
                <w:szCs w:val="19"/>
              </w:rPr>
              <w:t>Moyenne (kg/ha)</w:t>
            </w:r>
          </w:p>
        </w:tc>
        <w:tc>
          <w:tcPr>
            <w:tcW w:w="1080" w:type="dxa"/>
            <w:tcBorders>
              <w:top w:val="single" w:sz="12" w:space="0" w:color="1B5E20"/>
              <w:left w:val="none" w:sz="0" w:space="0" w:color="000000"/>
              <w:bottom w:val="single" w:sz="12" w:space="0" w:color="1B5E20"/>
              <w:right w:val="none" w:sz="0" w:space="0" w:color="000000"/>
            </w:tcBorders>
            <w:shd w:val="clear" w:color="auto" w:fill="1B5E20"/>
            <w:tcMar>
              <w:top w:w="0" w:type="dxa"/>
              <w:left w:w="0" w:type="dxa"/>
              <w:bottom w:w="0" w:type="dxa"/>
              <w:right w:w="0" w:type="dxa"/>
            </w:tcMar>
            <w:vAlign w:val="center"/>
          </w:tcPr>
          <w:p w14:paraId="7A328F1C"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ascii="Arial" w:eastAsia="Arial" w:hAnsi="Arial" w:cs="Arial"/>
                <w:b/>
                <w:color w:val="FFFFFF"/>
                <w:sz w:val="19"/>
                <w:szCs w:val="19"/>
              </w:rPr>
            </w:pPr>
            <w:r>
              <w:rPr>
                <w:rFonts w:ascii="Arial" w:eastAsia="Arial" w:hAnsi="Arial" w:cs="Arial"/>
                <w:b/>
                <w:color w:val="FFFFFF"/>
                <w:sz w:val="19"/>
                <w:szCs w:val="19"/>
              </w:rPr>
              <w:t>Médiane (kg/ha)</w:t>
            </w:r>
          </w:p>
        </w:tc>
        <w:tc>
          <w:tcPr>
            <w:tcW w:w="1080" w:type="dxa"/>
            <w:tcBorders>
              <w:top w:val="single" w:sz="12" w:space="0" w:color="1B5E20"/>
              <w:left w:val="none" w:sz="0" w:space="0" w:color="000000"/>
              <w:bottom w:val="single" w:sz="12" w:space="0" w:color="1B5E20"/>
              <w:right w:val="none" w:sz="0" w:space="0" w:color="000000"/>
            </w:tcBorders>
            <w:shd w:val="clear" w:color="auto" w:fill="1B5E20"/>
            <w:tcMar>
              <w:top w:w="0" w:type="dxa"/>
              <w:left w:w="0" w:type="dxa"/>
              <w:bottom w:w="0" w:type="dxa"/>
              <w:right w:w="0" w:type="dxa"/>
            </w:tcMar>
            <w:vAlign w:val="center"/>
          </w:tcPr>
          <w:p w14:paraId="00A929B9"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ascii="Arial" w:eastAsia="Arial" w:hAnsi="Arial" w:cs="Arial"/>
                <w:b/>
                <w:color w:val="FFFFFF"/>
                <w:sz w:val="19"/>
                <w:szCs w:val="19"/>
              </w:rPr>
            </w:pPr>
            <w:r>
              <w:rPr>
                <w:rFonts w:ascii="Arial" w:eastAsia="Arial" w:hAnsi="Arial" w:cs="Arial"/>
                <w:b/>
                <w:color w:val="FFFFFF"/>
                <w:sz w:val="19"/>
                <w:szCs w:val="19"/>
              </w:rPr>
              <w:t>Écart-type</w:t>
            </w:r>
          </w:p>
        </w:tc>
        <w:tc>
          <w:tcPr>
            <w:tcW w:w="1080" w:type="dxa"/>
            <w:tcBorders>
              <w:top w:val="single" w:sz="12" w:space="0" w:color="1B5E20"/>
              <w:left w:val="none" w:sz="0" w:space="0" w:color="000000"/>
              <w:bottom w:val="single" w:sz="12" w:space="0" w:color="1B5E20"/>
              <w:right w:val="none" w:sz="0" w:space="0" w:color="000000"/>
            </w:tcBorders>
            <w:shd w:val="clear" w:color="auto" w:fill="1B5E20"/>
            <w:tcMar>
              <w:top w:w="0" w:type="dxa"/>
              <w:left w:w="0" w:type="dxa"/>
              <w:bottom w:w="0" w:type="dxa"/>
              <w:right w:w="0" w:type="dxa"/>
            </w:tcMar>
            <w:vAlign w:val="center"/>
          </w:tcPr>
          <w:p w14:paraId="74B25E1E"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ascii="Arial" w:eastAsia="Arial" w:hAnsi="Arial" w:cs="Arial"/>
                <w:b/>
                <w:color w:val="FFFFFF"/>
                <w:sz w:val="19"/>
                <w:szCs w:val="19"/>
              </w:rPr>
            </w:pPr>
            <w:r>
              <w:rPr>
                <w:rFonts w:ascii="Arial" w:eastAsia="Arial" w:hAnsi="Arial" w:cs="Arial"/>
                <w:b/>
                <w:color w:val="FFFFFF"/>
                <w:sz w:val="19"/>
                <w:szCs w:val="19"/>
              </w:rPr>
              <w:t>Q1</w:t>
            </w:r>
          </w:p>
        </w:tc>
        <w:tc>
          <w:tcPr>
            <w:tcW w:w="1080" w:type="dxa"/>
            <w:tcBorders>
              <w:top w:val="single" w:sz="12" w:space="0" w:color="1B5E20"/>
              <w:left w:val="none" w:sz="0" w:space="0" w:color="000000"/>
              <w:bottom w:val="single" w:sz="12" w:space="0" w:color="1B5E20"/>
              <w:right w:val="single" w:sz="12" w:space="0" w:color="1B5E20"/>
            </w:tcBorders>
            <w:shd w:val="clear" w:color="auto" w:fill="1B5E20"/>
            <w:tcMar>
              <w:top w:w="0" w:type="dxa"/>
              <w:left w:w="0" w:type="dxa"/>
              <w:bottom w:w="0" w:type="dxa"/>
              <w:right w:w="0" w:type="dxa"/>
            </w:tcMar>
            <w:vAlign w:val="center"/>
          </w:tcPr>
          <w:p w14:paraId="79D1A2C7"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ascii="Arial" w:eastAsia="Arial" w:hAnsi="Arial" w:cs="Arial"/>
                <w:b/>
                <w:color w:val="FFFFFF"/>
                <w:sz w:val="19"/>
                <w:szCs w:val="19"/>
              </w:rPr>
            </w:pPr>
            <w:r>
              <w:rPr>
                <w:rFonts w:ascii="Arial" w:eastAsia="Arial" w:hAnsi="Arial" w:cs="Arial"/>
                <w:b/>
                <w:color w:val="FFFFFF"/>
                <w:sz w:val="19"/>
                <w:szCs w:val="19"/>
              </w:rPr>
              <w:t>Q3</w:t>
            </w:r>
          </w:p>
        </w:tc>
      </w:tr>
      <w:tr w:rsidR="00DF443C" w14:paraId="6F8A4993" w14:textId="77777777">
        <w:trPr>
          <w:jc w:val="center"/>
        </w:trPr>
        <w:tc>
          <w:tcPr>
            <w:tcW w:w="1080" w:type="dxa"/>
            <w:tcBorders>
              <w:top w:val="single" w:sz="12" w:space="0" w:color="1B5E20"/>
              <w:left w:val="single" w:sz="12" w:space="0" w:color="1B5E20"/>
              <w:bottom w:val="single" w:sz="3" w:space="0" w:color="AAAAAA"/>
              <w:right w:val="none" w:sz="0" w:space="0" w:color="000000"/>
            </w:tcBorders>
            <w:shd w:val="clear" w:color="auto" w:fill="FFFFFF"/>
            <w:tcMar>
              <w:top w:w="0" w:type="dxa"/>
              <w:left w:w="0" w:type="dxa"/>
              <w:bottom w:w="0" w:type="dxa"/>
              <w:right w:w="0" w:type="dxa"/>
            </w:tcMar>
            <w:vAlign w:val="center"/>
          </w:tcPr>
          <w:p w14:paraId="19ED39D7"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Maïs</w:t>
            </w:r>
          </w:p>
        </w:tc>
        <w:tc>
          <w:tcPr>
            <w:tcW w:w="1080" w:type="dxa"/>
            <w:tcBorders>
              <w:top w:val="single" w:sz="12" w:space="0" w:color="1B5E20"/>
              <w:left w:val="none" w:sz="0" w:space="0" w:color="000000"/>
              <w:bottom w:val="single" w:sz="3" w:space="0" w:color="AAAAAA"/>
              <w:right w:val="none" w:sz="0" w:space="0" w:color="000000"/>
            </w:tcBorders>
            <w:shd w:val="clear" w:color="auto" w:fill="FFFFFF"/>
            <w:tcMar>
              <w:top w:w="0" w:type="dxa"/>
              <w:left w:w="0" w:type="dxa"/>
              <w:bottom w:w="0" w:type="dxa"/>
              <w:right w:w="0" w:type="dxa"/>
            </w:tcMar>
            <w:vAlign w:val="center"/>
          </w:tcPr>
          <w:p w14:paraId="3CD0A1EE"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2,436</w:t>
            </w:r>
          </w:p>
        </w:tc>
        <w:tc>
          <w:tcPr>
            <w:tcW w:w="1080" w:type="dxa"/>
            <w:tcBorders>
              <w:top w:val="single" w:sz="12" w:space="0" w:color="1B5E20"/>
              <w:left w:val="none" w:sz="0" w:space="0" w:color="000000"/>
              <w:bottom w:val="single" w:sz="3" w:space="0" w:color="AAAAAA"/>
              <w:right w:val="none" w:sz="0" w:space="0" w:color="000000"/>
            </w:tcBorders>
            <w:shd w:val="clear" w:color="auto" w:fill="FFFFFF"/>
            <w:tcMar>
              <w:top w:w="0" w:type="dxa"/>
              <w:left w:w="0" w:type="dxa"/>
              <w:bottom w:w="0" w:type="dxa"/>
              <w:right w:w="0" w:type="dxa"/>
            </w:tcMar>
            <w:vAlign w:val="center"/>
          </w:tcPr>
          <w:p w14:paraId="2AE10379"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1,200</w:t>
            </w:r>
          </w:p>
        </w:tc>
        <w:tc>
          <w:tcPr>
            <w:tcW w:w="1080" w:type="dxa"/>
            <w:tcBorders>
              <w:top w:val="single" w:sz="12" w:space="0" w:color="1B5E20"/>
              <w:left w:val="none" w:sz="0" w:space="0" w:color="000000"/>
              <w:bottom w:val="single" w:sz="3" w:space="0" w:color="AAAAAA"/>
              <w:right w:val="none" w:sz="0" w:space="0" w:color="000000"/>
            </w:tcBorders>
            <w:shd w:val="clear" w:color="auto" w:fill="FFFFFF"/>
            <w:tcMar>
              <w:top w:w="0" w:type="dxa"/>
              <w:left w:w="0" w:type="dxa"/>
              <w:bottom w:w="0" w:type="dxa"/>
              <w:right w:w="0" w:type="dxa"/>
            </w:tcMar>
            <w:vAlign w:val="center"/>
          </w:tcPr>
          <w:p w14:paraId="154F14E6"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776</w:t>
            </w:r>
          </w:p>
        </w:tc>
        <w:tc>
          <w:tcPr>
            <w:tcW w:w="1080" w:type="dxa"/>
            <w:tcBorders>
              <w:top w:val="single" w:sz="12" w:space="0" w:color="1B5E20"/>
              <w:left w:val="none" w:sz="0" w:space="0" w:color="000000"/>
              <w:bottom w:val="single" w:sz="3" w:space="0" w:color="AAAAAA"/>
              <w:right w:val="none" w:sz="0" w:space="0" w:color="000000"/>
            </w:tcBorders>
            <w:shd w:val="clear" w:color="auto" w:fill="FFFFFF"/>
            <w:tcMar>
              <w:top w:w="0" w:type="dxa"/>
              <w:left w:w="0" w:type="dxa"/>
              <w:bottom w:w="0" w:type="dxa"/>
              <w:right w:w="0" w:type="dxa"/>
            </w:tcMar>
            <w:vAlign w:val="center"/>
          </w:tcPr>
          <w:p w14:paraId="15E16A2A"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1,231</w:t>
            </w:r>
          </w:p>
        </w:tc>
        <w:tc>
          <w:tcPr>
            <w:tcW w:w="1080" w:type="dxa"/>
            <w:tcBorders>
              <w:top w:val="single" w:sz="12" w:space="0" w:color="1B5E20"/>
              <w:left w:val="none" w:sz="0" w:space="0" w:color="000000"/>
              <w:bottom w:val="single" w:sz="3" w:space="0" w:color="AAAAAA"/>
              <w:right w:val="none" w:sz="0" w:space="0" w:color="000000"/>
            </w:tcBorders>
            <w:shd w:val="clear" w:color="auto" w:fill="FFFFFF"/>
            <w:tcMar>
              <w:top w:w="0" w:type="dxa"/>
              <w:left w:w="0" w:type="dxa"/>
              <w:bottom w:w="0" w:type="dxa"/>
              <w:right w:w="0" w:type="dxa"/>
            </w:tcMar>
            <w:vAlign w:val="center"/>
          </w:tcPr>
          <w:p w14:paraId="03B27FFD"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315</w:t>
            </w:r>
          </w:p>
        </w:tc>
        <w:tc>
          <w:tcPr>
            <w:tcW w:w="1080" w:type="dxa"/>
            <w:tcBorders>
              <w:top w:val="single" w:sz="12" w:space="0" w:color="1B5E20"/>
              <w:left w:val="none" w:sz="0" w:space="0" w:color="000000"/>
              <w:bottom w:val="single" w:sz="3" w:space="0" w:color="AAAAAA"/>
              <w:right w:val="single" w:sz="12" w:space="0" w:color="1B5E20"/>
            </w:tcBorders>
            <w:shd w:val="clear" w:color="auto" w:fill="FFFFFF"/>
            <w:tcMar>
              <w:top w:w="0" w:type="dxa"/>
              <w:left w:w="0" w:type="dxa"/>
              <w:bottom w:w="0" w:type="dxa"/>
              <w:right w:w="0" w:type="dxa"/>
            </w:tcMar>
            <w:vAlign w:val="center"/>
          </w:tcPr>
          <w:p w14:paraId="71E4BF42"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1,610</w:t>
            </w:r>
          </w:p>
        </w:tc>
      </w:tr>
      <w:tr w:rsidR="00DF443C" w14:paraId="62CF7EF6" w14:textId="77777777">
        <w:trPr>
          <w:jc w:val="center"/>
        </w:trPr>
        <w:tc>
          <w:tcPr>
            <w:tcW w:w="1080" w:type="dxa"/>
            <w:tcBorders>
              <w:top w:val="single" w:sz="3" w:space="0" w:color="AAAAAA"/>
              <w:left w:val="single" w:sz="12" w:space="0" w:color="1B5E20"/>
              <w:bottom w:val="single" w:sz="12" w:space="0" w:color="1B5E20"/>
              <w:right w:val="none" w:sz="0" w:space="0" w:color="000000"/>
            </w:tcBorders>
            <w:shd w:val="clear" w:color="auto" w:fill="E8F5E9"/>
            <w:tcMar>
              <w:top w:w="0" w:type="dxa"/>
              <w:left w:w="0" w:type="dxa"/>
              <w:bottom w:w="0" w:type="dxa"/>
              <w:right w:w="0" w:type="dxa"/>
            </w:tcMar>
            <w:vAlign w:val="center"/>
          </w:tcPr>
          <w:p w14:paraId="27357D52"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ascii="Arial" w:eastAsia="Arial" w:hAnsi="Arial" w:cs="Arial"/>
                <w:color w:val="000000"/>
                <w:sz w:val="18"/>
                <w:szCs w:val="18"/>
              </w:rPr>
            </w:pPr>
            <w:r>
              <w:rPr>
                <w:rFonts w:ascii="Arial" w:eastAsia="Arial" w:hAnsi="Arial" w:cs="Arial"/>
                <w:color w:val="000000"/>
                <w:sz w:val="18"/>
                <w:szCs w:val="18"/>
              </w:rPr>
              <w:t>Mil</w:t>
            </w:r>
          </w:p>
        </w:tc>
        <w:tc>
          <w:tcPr>
            <w:tcW w:w="1080" w:type="dxa"/>
            <w:tcBorders>
              <w:top w:val="single" w:sz="3" w:space="0" w:color="AAAAAA"/>
              <w:left w:val="none" w:sz="0" w:space="0" w:color="000000"/>
              <w:bottom w:val="single" w:sz="12" w:space="0" w:color="1B5E20"/>
              <w:right w:val="none" w:sz="0" w:space="0" w:color="000000"/>
            </w:tcBorders>
            <w:shd w:val="clear" w:color="auto" w:fill="E8F5E9"/>
            <w:tcMar>
              <w:top w:w="0" w:type="dxa"/>
              <w:left w:w="0" w:type="dxa"/>
              <w:bottom w:w="0" w:type="dxa"/>
              <w:right w:w="0" w:type="dxa"/>
            </w:tcMar>
            <w:vAlign w:val="center"/>
          </w:tcPr>
          <w:p w14:paraId="4A158270"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952</w:t>
            </w:r>
          </w:p>
        </w:tc>
        <w:tc>
          <w:tcPr>
            <w:tcW w:w="1080" w:type="dxa"/>
            <w:tcBorders>
              <w:top w:val="single" w:sz="3" w:space="0" w:color="AAAAAA"/>
              <w:left w:val="none" w:sz="0" w:space="0" w:color="000000"/>
              <w:bottom w:val="single" w:sz="12" w:space="0" w:color="1B5E20"/>
              <w:right w:val="none" w:sz="0" w:space="0" w:color="000000"/>
            </w:tcBorders>
            <w:shd w:val="clear" w:color="auto" w:fill="E8F5E9"/>
            <w:tcMar>
              <w:top w:w="0" w:type="dxa"/>
              <w:left w:w="0" w:type="dxa"/>
              <w:bottom w:w="0" w:type="dxa"/>
              <w:right w:w="0" w:type="dxa"/>
            </w:tcMar>
            <w:vAlign w:val="center"/>
          </w:tcPr>
          <w:p w14:paraId="3639DFC0"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684</w:t>
            </w:r>
          </w:p>
        </w:tc>
        <w:tc>
          <w:tcPr>
            <w:tcW w:w="1080" w:type="dxa"/>
            <w:tcBorders>
              <w:top w:val="single" w:sz="3" w:space="0" w:color="AAAAAA"/>
              <w:left w:val="none" w:sz="0" w:space="0" w:color="000000"/>
              <w:bottom w:val="single" w:sz="12" w:space="0" w:color="1B5E20"/>
              <w:right w:val="none" w:sz="0" w:space="0" w:color="000000"/>
            </w:tcBorders>
            <w:shd w:val="clear" w:color="auto" w:fill="E8F5E9"/>
            <w:tcMar>
              <w:top w:w="0" w:type="dxa"/>
              <w:left w:w="0" w:type="dxa"/>
              <w:bottom w:w="0" w:type="dxa"/>
              <w:right w:w="0" w:type="dxa"/>
            </w:tcMar>
            <w:vAlign w:val="center"/>
          </w:tcPr>
          <w:p w14:paraId="65499327"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471</w:t>
            </w:r>
          </w:p>
        </w:tc>
        <w:tc>
          <w:tcPr>
            <w:tcW w:w="1080" w:type="dxa"/>
            <w:tcBorders>
              <w:top w:val="single" w:sz="3" w:space="0" w:color="AAAAAA"/>
              <w:left w:val="none" w:sz="0" w:space="0" w:color="000000"/>
              <w:bottom w:val="single" w:sz="12" w:space="0" w:color="1B5E20"/>
              <w:right w:val="none" w:sz="0" w:space="0" w:color="000000"/>
            </w:tcBorders>
            <w:shd w:val="clear" w:color="auto" w:fill="E8F5E9"/>
            <w:tcMar>
              <w:top w:w="0" w:type="dxa"/>
              <w:left w:w="0" w:type="dxa"/>
              <w:bottom w:w="0" w:type="dxa"/>
              <w:right w:w="0" w:type="dxa"/>
            </w:tcMar>
            <w:vAlign w:val="center"/>
          </w:tcPr>
          <w:p w14:paraId="529F272B"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639</w:t>
            </w:r>
          </w:p>
        </w:tc>
        <w:tc>
          <w:tcPr>
            <w:tcW w:w="1080" w:type="dxa"/>
            <w:tcBorders>
              <w:top w:val="single" w:sz="3" w:space="0" w:color="AAAAAA"/>
              <w:left w:val="none" w:sz="0" w:space="0" w:color="000000"/>
              <w:bottom w:val="single" w:sz="12" w:space="0" w:color="1B5E20"/>
              <w:right w:val="none" w:sz="0" w:space="0" w:color="000000"/>
            </w:tcBorders>
            <w:shd w:val="clear" w:color="auto" w:fill="E8F5E9"/>
            <w:tcMar>
              <w:top w:w="0" w:type="dxa"/>
              <w:left w:w="0" w:type="dxa"/>
              <w:bottom w:w="0" w:type="dxa"/>
              <w:right w:w="0" w:type="dxa"/>
            </w:tcMar>
            <w:vAlign w:val="center"/>
          </w:tcPr>
          <w:p w14:paraId="3EAE7AF5"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243</w:t>
            </w:r>
          </w:p>
        </w:tc>
        <w:tc>
          <w:tcPr>
            <w:tcW w:w="1080" w:type="dxa"/>
            <w:tcBorders>
              <w:top w:val="single" w:sz="3" w:space="0" w:color="AAAAAA"/>
              <w:left w:val="none" w:sz="0" w:space="0" w:color="000000"/>
              <w:bottom w:val="single" w:sz="12" w:space="0" w:color="1B5E20"/>
              <w:right w:val="single" w:sz="12" w:space="0" w:color="1B5E20"/>
            </w:tcBorders>
            <w:shd w:val="clear" w:color="auto" w:fill="E8F5E9"/>
            <w:tcMar>
              <w:top w:w="0" w:type="dxa"/>
              <w:left w:w="0" w:type="dxa"/>
              <w:bottom w:w="0" w:type="dxa"/>
              <w:right w:w="0" w:type="dxa"/>
            </w:tcMar>
            <w:vAlign w:val="center"/>
          </w:tcPr>
          <w:p w14:paraId="46AFD6C8" w14:textId="77777777" w:rsidR="00DF443C" w:rsidRDefault="005376F7">
            <w:pPr>
              <w:pBdr>
                <w:top w:val="none" w:sz="0" w:space="0" w:color="000000"/>
                <w:left w:val="none" w:sz="0" w:space="0" w:color="000000"/>
                <w:bottom w:val="none" w:sz="0" w:space="0" w:color="000000"/>
                <w:right w:val="none" w:sz="0" w:space="0" w:color="000000"/>
              </w:pBdr>
              <w:spacing w:before="60" w:after="60" w:line="240" w:lineRule="auto"/>
              <w:ind w:left="120" w:right="120"/>
              <w:jc w:val="right"/>
              <w:rPr>
                <w:rFonts w:ascii="Arial" w:eastAsia="Arial" w:hAnsi="Arial" w:cs="Arial"/>
                <w:color w:val="000000"/>
                <w:sz w:val="18"/>
                <w:szCs w:val="18"/>
              </w:rPr>
            </w:pPr>
            <w:r>
              <w:rPr>
                <w:rFonts w:ascii="Arial" w:eastAsia="Arial" w:hAnsi="Arial" w:cs="Arial"/>
                <w:color w:val="000000"/>
                <w:sz w:val="18"/>
                <w:szCs w:val="18"/>
              </w:rPr>
              <w:t>880</w:t>
            </w:r>
          </w:p>
        </w:tc>
      </w:tr>
    </w:tbl>
    <w:p w14:paraId="4D468812" w14:textId="77777777" w:rsidR="00DF443C" w:rsidRDefault="005376F7">
      <w:pPr>
        <w:pStyle w:val="Corpsdetexte"/>
      </w:pPr>
      <w:r>
        <w:t xml:space="preserve">Les rendements du maïs (médiane : 776 kg/ha, moyenne : 1200 kg/ha) sont supérieurs à ceux du mil (médiane : 471 kg/ha, moyenne : 684 kg/ha). Ces niveaux sont cohérents avec les références de la FAO pour l’Afrique de l’Ouest non irriguée, où les rendements </w:t>
      </w:r>
      <w:r>
        <w:t>du maïs pluvial se situent typiquement entre 800 et 2 500 kg/ha selon les conditions pédoclimatiques.</w:t>
      </w:r>
    </w:p>
    <w:p w14:paraId="25DEF92D" w14:textId="77777777" w:rsidR="00DF443C" w:rsidRDefault="005376F7">
      <w:pPr>
        <w:pStyle w:val="Corpsdetexte"/>
      </w:pPr>
      <w:r>
        <w:t xml:space="preserve">La forte dispersion inter-État des rendements témoigne de l’hétérogénéité des conditions agro-écologiques et des systèmes de production. Les États du </w:t>
      </w:r>
      <w:r>
        <w:rPr>
          <w:b/>
          <w:bCs/>
        </w:rPr>
        <w:t>Benu</w:t>
      </w:r>
      <w:r>
        <w:rPr>
          <w:b/>
          <w:bCs/>
        </w:rPr>
        <w:t>e</w:t>
      </w:r>
      <w:r>
        <w:t xml:space="preserve"> et du </w:t>
      </w:r>
      <w:r>
        <w:rPr>
          <w:b/>
          <w:bCs/>
        </w:rPr>
        <w:t>Kaduna</w:t>
      </w:r>
      <w:r>
        <w:t xml:space="preserve"> se distinguent pour le maïs, bénéficiant de sols ferralitiques profonds et d’une pluviométrie bimodale favorable. Pour le mil, les États du </w:t>
      </w:r>
      <w:r>
        <w:rPr>
          <w:b/>
          <w:bCs/>
        </w:rPr>
        <w:t>Katsina</w:t>
      </w:r>
      <w:r>
        <w:t xml:space="preserve"> et de </w:t>
      </w:r>
      <w:r>
        <w:rPr>
          <w:b/>
          <w:bCs/>
        </w:rPr>
        <w:t>Sokoto</w:t>
      </w:r>
      <w:r>
        <w:t xml:space="preserve"> </w:t>
      </w:r>
      <w:r>
        <w:t>dans le Nord-Ouest, caractérisés par des savanes sèches et des variétés adaptées à la sécheresse, présentent des rendements relativement stables.</w:t>
      </w:r>
    </w:p>
    <w:p w14:paraId="7609F6A1" w14:textId="77777777" w:rsidR="00DF443C" w:rsidRDefault="005376F7">
      <w:pPr>
        <w:pStyle w:val="Titre2"/>
      </w:pPr>
      <w:bookmarkStart w:id="22" w:name="X88e664220c343ac2f808deb548e7a6941dd62cf"/>
      <w:bookmarkStart w:id="23" w:name="_Toc227362196"/>
      <w:bookmarkEnd w:id="20"/>
      <w:r>
        <w:rPr>
          <w:rStyle w:val="SectionNumber"/>
        </w:rPr>
        <w:lastRenderedPageBreak/>
        <w:t>4.5</w:t>
      </w:r>
      <w:r>
        <w:tab/>
        <w:t>Tâche 5 — Effet de l’engrais chimique sur les rendements</w:t>
      </w:r>
      <w:bookmarkEnd w:id="23"/>
    </w:p>
    <w:p w14:paraId="77478309" w14:textId="77777777" w:rsidR="00DF443C" w:rsidRDefault="005376F7">
      <w:pPr>
        <w:pStyle w:val="CaptionedFigure"/>
      </w:pPr>
      <w:r>
        <w:rPr>
          <w:noProof/>
        </w:rPr>
        <w:drawing>
          <wp:inline distT="0" distB="0" distL="0" distR="0" wp14:anchorId="0CA6BAE6" wp14:editId="735CBE4D">
            <wp:extent cx="5646420" cy="3136900"/>
            <wp:effectExtent l="0" t="0" r="0" b="0"/>
            <wp:docPr id="43" name="Picture" descr="Rendements du maïs et du mil selon l’utilisation d’engrais chimique (NPK ou urée). Le losange blanc représente la moyenne. Test de Wilcoxon."/>
            <wp:cNvGraphicFramePr/>
            <a:graphic xmlns:a="http://schemas.openxmlformats.org/drawingml/2006/main">
              <a:graphicData uri="http://schemas.openxmlformats.org/drawingml/2006/picture">
                <pic:pic xmlns:pic="http://schemas.openxmlformats.org/drawingml/2006/picture">
                  <pic:nvPicPr>
                    <pic:cNvPr id="44" name="Picture" descr="D:\ENSAE\ISE1\SEMESTRE 2\Projet_Statistique\TP5_GROUPE12_LESLYE_NKWA_OUATTARA_Ousmane\rapports\rapport_files/e088a9931da8aecf53de0c16e0c79632f848a6c9.png"/>
                    <pic:cNvPicPr>
                      <a:picLocks noChangeAspect="1" noChangeArrowheads="1"/>
                    </pic:cNvPicPr>
                  </pic:nvPicPr>
                  <pic:blipFill>
                    <a:blip r:embed="rId11"/>
                    <a:stretch>
                      <a:fillRect/>
                    </a:stretch>
                  </pic:blipFill>
                  <pic:spPr bwMode="auto">
                    <a:xfrm>
                      <a:off x="0" y="0"/>
                      <a:ext cx="5646420" cy="3136900"/>
                    </a:xfrm>
                    <a:prstGeom prst="rect">
                      <a:avLst/>
                    </a:prstGeom>
                    <a:noFill/>
                    <a:ln w="9525">
                      <a:noFill/>
                      <a:headEnd/>
                      <a:tailEnd/>
                    </a:ln>
                  </pic:spPr>
                </pic:pic>
              </a:graphicData>
            </a:graphic>
          </wp:inline>
        </w:drawing>
      </w:r>
    </w:p>
    <w:p w14:paraId="0D7AD68D" w14:textId="77777777" w:rsidR="00DF443C" w:rsidRDefault="005376F7">
      <w:pPr>
        <w:pStyle w:val="ImageCaption"/>
      </w:pPr>
      <w:r>
        <w:t>Rendements du maïs et du mil selon l’utilisatio</w:t>
      </w:r>
      <w:r>
        <w:t>n d’engrais chimique (NPK ou urée). Le losange blanc représente la moyenne. Test de Wilcoxon.</w:t>
      </w:r>
    </w:p>
    <w:p w14:paraId="3C859073" w14:textId="77777777" w:rsidR="00DF443C" w:rsidRDefault="005376F7">
      <w:pPr>
        <w:pStyle w:val="Corpsdetexte"/>
      </w:pPr>
      <w:r>
        <w:t xml:space="preserve">Pour le </w:t>
      </w:r>
      <w:r>
        <w:rPr>
          <w:b/>
          <w:bCs/>
        </w:rPr>
        <w:t>maïs</w:t>
      </w:r>
      <w:r>
        <w:t xml:space="preserve">, les parcelles avec engrais chimique présentent des rendements significativement supérieurs (Wilcoxon, p = 0,008, r = 0,081, effet </w:t>
      </w:r>
      <w:r>
        <w:rPr>
          <w:b/>
          <w:bCs/>
        </w:rPr>
        <w:t>petit</w:t>
      </w:r>
      <w:r>
        <w:t xml:space="preserve">). Pour le </w:t>
      </w:r>
      <w:r>
        <w:rPr>
          <w:b/>
          <w:bCs/>
        </w:rPr>
        <w:t>mi</w:t>
      </w:r>
      <w:r>
        <w:rPr>
          <w:b/>
          <w:bCs/>
        </w:rPr>
        <w:t>l</w:t>
      </w:r>
      <w:r>
        <w:t>, la différence n’est pas statistiquement significative (p = 0,256, r = 0,052), ce qui s’explique en grande partie par le très faible nombre de parcelles sans engrais dans ce sous-échantillon (n = 2 contre 478), rendant le test peu puissant.</w:t>
      </w:r>
    </w:p>
    <w:p w14:paraId="6B037294" w14:textId="77777777" w:rsidR="00DF443C" w:rsidRDefault="005376F7">
      <w:pPr>
        <w:pStyle w:val="Corpsdetexte"/>
      </w:pPr>
      <w:r>
        <w:t>Ces résultats</w:t>
      </w:r>
      <w:r>
        <w:t xml:space="preserve"> confirment l’association positive entre engrais chimique et rendement, mais ne permettent pas d’inférer une relation causale. Les ménages utilisant des engrais ne constituent pas un échantillon aléatoire : ils tendent à être mieux dotés en capital, mieux </w:t>
      </w:r>
      <w:r>
        <w:t>connectés aux marchés des intrants et à cultiver des terres de meilleure qualité. L’écart observé capture donc un effet composite qui nécessiterait une stratégie d’identification économétrique (variable instrumentale, appariement par score de propension) p</w:t>
      </w:r>
      <w:r>
        <w:t>our être isolé causalement.</w:t>
      </w:r>
    </w:p>
    <w:p w14:paraId="7E4F79B2" w14:textId="77777777" w:rsidR="00DF443C" w:rsidRDefault="005376F7">
      <w:r>
        <w:pict w14:anchorId="47FD8B61">
          <v:rect id="_x0000_i1029" style="width:0;height:1.5pt" o:hralign="center" o:hrstd="t" o:hr="t"/>
        </w:pict>
      </w:r>
    </w:p>
    <w:p w14:paraId="49FC8B17" w14:textId="77777777" w:rsidR="00DF443C" w:rsidRDefault="005376F7">
      <w:pPr>
        <w:pStyle w:val="Titre1"/>
      </w:pPr>
      <w:bookmarkStart w:id="24" w:name="discussion"/>
      <w:bookmarkStart w:id="25" w:name="_Toc227362197"/>
      <w:bookmarkEnd w:id="12"/>
      <w:bookmarkEnd w:id="22"/>
      <w:r>
        <w:rPr>
          <w:rStyle w:val="SectionNumber"/>
        </w:rPr>
        <w:lastRenderedPageBreak/>
        <w:t>5</w:t>
      </w:r>
      <w:r>
        <w:tab/>
        <w:t>Discussion</w:t>
      </w:r>
      <w:bookmarkEnd w:id="25"/>
    </w:p>
    <w:p w14:paraId="7870BAB5" w14:textId="77777777" w:rsidR="00DF443C" w:rsidRDefault="005376F7">
      <w:pPr>
        <w:pStyle w:val="Titre2"/>
      </w:pPr>
      <w:bookmarkStart w:id="26" w:name="cohérence-avec-la-littérature"/>
      <w:bookmarkStart w:id="27" w:name="_Toc227362198"/>
      <w:r>
        <w:rPr>
          <w:rStyle w:val="SectionNumber"/>
        </w:rPr>
        <w:t>5.1</w:t>
      </w:r>
      <w:r>
        <w:tab/>
        <w:t>Cohérence avec la littérature</w:t>
      </w:r>
      <w:bookmarkEnd w:id="27"/>
    </w:p>
    <w:p w14:paraId="17B7AB4A" w14:textId="77777777" w:rsidR="00DF443C" w:rsidRDefault="005376F7">
      <w:pPr>
        <w:pStyle w:val="FirstParagraph"/>
      </w:pPr>
      <w:r>
        <w:t>Les résultats obtenus sont cohérents avec le corpus de recherche sur l’agriculture nigériane. La prédominance des céréales dans le Nord et des tubercules dans le Sud est un fait s</w:t>
      </w:r>
      <w:r>
        <w:t>tylisé bien documenté (Tittonell &amp; Giller, 2013). Les faibles taux d’adoption des engrais (&lt; 35% pour l’inorganique au plan national) confirment la persistance de contraintes structurelles d’accès — prix élevés, marchés ruraux fragmentés, crédit limité — m</w:t>
      </w:r>
      <w:r>
        <w:t>algré les politiques de subvention des gouvernements successifs. Les rendements du maïs (médiane ≈ 776 kg/ha) sont conformes aux estimations de la FAO pour l’Afrique de l’Ouest, mais restent bien en-deçà du potentiel atteignable avec des semences améliorée</w:t>
      </w:r>
      <w:r>
        <w:t>s et une fertilisation adéquate (3 000 à 5 000 kg/ha dans des conditions optimales).</w:t>
      </w:r>
    </w:p>
    <w:p w14:paraId="7C330155" w14:textId="77777777" w:rsidR="00DF443C" w:rsidRDefault="005376F7">
      <w:pPr>
        <w:pStyle w:val="Titre2"/>
      </w:pPr>
      <w:bookmarkStart w:id="28" w:name="limites-et-biais-potentiels"/>
      <w:bookmarkStart w:id="29" w:name="_Toc227362199"/>
      <w:bookmarkEnd w:id="26"/>
      <w:r>
        <w:rPr>
          <w:rStyle w:val="SectionNumber"/>
        </w:rPr>
        <w:t>5.2</w:t>
      </w:r>
      <w:r>
        <w:tab/>
        <w:t>Limites et biais potentiels</w:t>
      </w:r>
      <w:bookmarkEnd w:id="29"/>
    </w:p>
    <w:p w14:paraId="4BC716B6" w14:textId="77777777" w:rsidR="00DF443C" w:rsidRDefault="005376F7">
      <w:pPr>
        <w:pStyle w:val="FirstParagraph"/>
      </w:pPr>
      <w:r>
        <w:t xml:space="preserve">Plusieurs limites méritent d’être signalées. Premièrement, le </w:t>
      </w:r>
      <w:r>
        <w:rPr>
          <w:b/>
          <w:bCs/>
        </w:rPr>
        <w:t>biais de déclaration des quantités récoltées</w:t>
      </w:r>
      <w:r>
        <w:t xml:space="preserve"> : les exploitants peuvent sous-déclarer pour éviter une imposition perçue ou sur-déclarer pour se conformer à une norme sociale. Les facteurs de conversion fournis atténuent ce biais mais ne l’éliminent pas. Deu</w:t>
      </w:r>
      <w:r>
        <w:t xml:space="preserve">xièmement, la </w:t>
      </w:r>
      <w:r>
        <w:rPr>
          <w:b/>
          <w:bCs/>
        </w:rPr>
        <w:t>couverture partielle du GPS</w:t>
      </w:r>
      <w:r>
        <w:t xml:space="preserve"> (62% des parcelles) implique que les superficies de référence pour le calcul des rendements sont approximatives pour 38% des parcelles. Troisièmement, l’</w:t>
      </w:r>
      <w:r>
        <w:rPr>
          <w:b/>
          <w:bCs/>
        </w:rPr>
        <w:t>exclusion des zones rurales de Borno</w:t>
      </w:r>
      <w:r>
        <w:t xml:space="preserve"> (insécurité) sous-représ</w:t>
      </w:r>
      <w:r>
        <w:t xml:space="preserve">ente le North East. Quatrièmement, les </w:t>
      </w:r>
      <w:r>
        <w:rPr>
          <w:b/>
          <w:bCs/>
        </w:rPr>
        <w:t>poids wt_wave4</w:t>
      </w:r>
      <w:r>
        <w:t xml:space="preserve"> sont des poids ménage : appliqués au niveau parcelle ou culture, ils surpondèrent les ménages avec de nombreuses parcelles. Cinquièmement, l’</w:t>
      </w:r>
      <w:r>
        <w:rPr>
          <w:b/>
          <w:bCs/>
        </w:rPr>
        <w:t>endogénéité de l’adoption des engrais</w:t>
      </w:r>
      <w:r>
        <w:t xml:space="preserve"> interdit toute interpré</w:t>
      </w:r>
      <w:r>
        <w:t>tation causale de l’association rendement-engrais sans stratégie d’identification appropriée.</w:t>
      </w:r>
    </w:p>
    <w:p w14:paraId="2FBF0F46" w14:textId="77777777" w:rsidR="00DF443C" w:rsidRDefault="005376F7">
      <w:r>
        <w:pict w14:anchorId="64D8E85F">
          <v:rect id="_x0000_i1030" style="width:0;height:1.5pt" o:hralign="center" o:hrstd="t" o:hr="t"/>
        </w:pict>
      </w:r>
    </w:p>
    <w:p w14:paraId="4FB9AB06" w14:textId="77777777" w:rsidR="00DF443C" w:rsidRDefault="005376F7">
      <w:pPr>
        <w:pStyle w:val="Titre1"/>
      </w:pPr>
      <w:bookmarkStart w:id="30" w:name="conclusion"/>
      <w:bookmarkStart w:id="31" w:name="_Toc227362200"/>
      <w:bookmarkEnd w:id="24"/>
      <w:bookmarkEnd w:id="28"/>
      <w:r>
        <w:rPr>
          <w:rStyle w:val="SectionNumber"/>
        </w:rPr>
        <w:lastRenderedPageBreak/>
        <w:t>6</w:t>
      </w:r>
      <w:r>
        <w:tab/>
        <w:t>Conclusion</w:t>
      </w:r>
      <w:bookmarkEnd w:id="31"/>
    </w:p>
    <w:p w14:paraId="20E2E0AB" w14:textId="77777777" w:rsidR="00DF443C" w:rsidRDefault="005376F7">
      <w:pPr>
        <w:pStyle w:val="FirstParagraph"/>
      </w:pPr>
      <w:r>
        <w:t>Cette analyse descriptive des données GHS Panel W4 révèle trois faits stylisés sur l’agriculture nigériane. D’abord, une grande diversité culturale</w:t>
      </w:r>
      <w:r>
        <w:t xml:space="preserve"> dominée par les céréales (maïs, sorgho, mil) et les tubercules (manioc, ignames), avec une diversification plus forte en milieu rural qui traduit des stratégies de gestion des risques. Ensuite, des taux d’adoption des intrants encore modérés (NPK : 77,7%,</w:t>
      </w:r>
      <w:r>
        <w:t xml:space="preserve"> urée : 51,7%) mais fortement contrastés géographiquement, le Nord-Ouest se démarquant nettement. Enfin, des rendements maïs et mil largement en-deçà du potentiel agronomique, avec une association positive — mais non causale — avec l’utilisation des engrai</w:t>
      </w:r>
      <w:r>
        <w:t>s chimiques.</w:t>
      </w:r>
    </w:p>
    <w:p w14:paraId="3AD1D1A5" w14:textId="77777777" w:rsidR="00DF443C" w:rsidRDefault="005376F7">
      <w:pPr>
        <w:pStyle w:val="Corpsdetexte"/>
      </w:pPr>
      <w:r>
        <w:t>Ces résultats plaident pour des politiques différenciées selon les zones : renforcement des programmes d’accès aux intrants dans les régions à faible adoption, appui à la diversification culturale comme stratégie de résilience, et investisseme</w:t>
      </w:r>
      <w:r>
        <w:t>nts dans les infrastructures de marché permettant de connecter les producteurs aux fournisseurs d’intrants.</w:t>
      </w:r>
    </w:p>
    <w:p w14:paraId="1E647266" w14:textId="77777777" w:rsidR="00DF443C" w:rsidRDefault="005376F7">
      <w:r>
        <w:pict w14:anchorId="70576012">
          <v:rect id="_x0000_i1031" style="width:0;height:1.5pt" o:hralign="center" o:hrstd="t" o:hr="t"/>
        </w:pict>
      </w:r>
    </w:p>
    <w:p w14:paraId="0E856329" w14:textId="77777777" w:rsidR="00DF443C" w:rsidRDefault="005376F7">
      <w:pPr>
        <w:pStyle w:val="Titre1"/>
      </w:pPr>
      <w:bookmarkStart w:id="32" w:name="références-bibliographiques"/>
      <w:bookmarkStart w:id="33" w:name="_Toc227362201"/>
      <w:bookmarkEnd w:id="30"/>
      <w:r>
        <w:rPr>
          <w:rStyle w:val="SectionNumber"/>
        </w:rPr>
        <w:t>7</w:t>
      </w:r>
      <w:r>
        <w:tab/>
        <w:t>Références bibliographiques</w:t>
      </w:r>
      <w:bookmarkEnd w:id="33"/>
    </w:p>
    <w:p w14:paraId="2E39E6E6" w14:textId="77777777" w:rsidR="00DF443C" w:rsidRDefault="005376F7">
      <w:pPr>
        <w:numPr>
          <w:ilvl w:val="0"/>
          <w:numId w:val="16"/>
        </w:numPr>
      </w:pPr>
      <w:r>
        <w:t>Carletto, C., Gourlay, S., &amp; Winters, P. (2015). From guesstimates to GPStimates: Land area measurement and implicat</w:t>
      </w:r>
      <w:r>
        <w:t xml:space="preserve">ions for agricultural analysis. </w:t>
      </w:r>
      <w:r>
        <w:rPr>
          <w:i/>
          <w:iCs/>
        </w:rPr>
        <w:t>Journal of African Economies</w:t>
      </w:r>
      <w:r>
        <w:t>, 24(5), 593–628.</w:t>
      </w:r>
    </w:p>
    <w:p w14:paraId="7E5BD892" w14:textId="77777777" w:rsidR="00DF443C" w:rsidRDefault="005376F7">
      <w:pPr>
        <w:numPr>
          <w:ilvl w:val="0"/>
          <w:numId w:val="16"/>
        </w:numPr>
      </w:pPr>
      <w:r>
        <w:t xml:space="preserve">Cohen, J. (1988). </w:t>
      </w:r>
      <w:r>
        <w:rPr>
          <w:i/>
          <w:iCs/>
        </w:rPr>
        <w:t>Statistical Power Analysis for the Behavioral Sciences</w:t>
      </w:r>
      <w:r>
        <w:t xml:space="preserve"> (2nd ed.). Lawrence Erlbaum Associates.</w:t>
      </w:r>
    </w:p>
    <w:p w14:paraId="24906322" w14:textId="77777777" w:rsidR="00DF443C" w:rsidRDefault="005376F7">
      <w:pPr>
        <w:numPr>
          <w:ilvl w:val="0"/>
          <w:numId w:val="16"/>
        </w:numPr>
      </w:pPr>
      <w:r>
        <w:t xml:space="preserve">FAO (2022). </w:t>
      </w:r>
      <w:r>
        <w:rPr>
          <w:i/>
          <w:iCs/>
        </w:rPr>
        <w:t>FAOSTAT — Production data, Nigeria</w:t>
      </w:r>
      <w:r>
        <w:t>. Food and Agricult</w:t>
      </w:r>
      <w:r>
        <w:t>ure Organization of the United Nations.</w:t>
      </w:r>
    </w:p>
    <w:p w14:paraId="5237E033" w14:textId="77777777" w:rsidR="00DF443C" w:rsidRDefault="005376F7">
      <w:pPr>
        <w:numPr>
          <w:ilvl w:val="0"/>
          <w:numId w:val="16"/>
        </w:numPr>
      </w:pPr>
      <w:r>
        <w:t xml:space="preserve">Kilic, T., Zezza, A., Carletto, C., &amp; Savastano, S. (2017). Missing(ness) in action: Selectivity bias in GPS-based land area measurements. </w:t>
      </w:r>
      <w:r>
        <w:rPr>
          <w:i/>
          <w:iCs/>
        </w:rPr>
        <w:t>World Development</w:t>
      </w:r>
      <w:r>
        <w:t>, 92, 59–77.</w:t>
      </w:r>
    </w:p>
    <w:p w14:paraId="44A0DDFE" w14:textId="77777777" w:rsidR="00DF443C" w:rsidRDefault="005376F7">
      <w:pPr>
        <w:numPr>
          <w:ilvl w:val="0"/>
          <w:numId w:val="16"/>
        </w:numPr>
      </w:pPr>
      <w:r>
        <w:lastRenderedPageBreak/>
        <w:t>National Bureau of Statistics Nigeria &amp; World B</w:t>
      </w:r>
      <w:r>
        <w:t xml:space="preserve">ank (2019). </w:t>
      </w:r>
      <w:r>
        <w:rPr>
          <w:i/>
          <w:iCs/>
        </w:rPr>
        <w:t>Nigeria General Household Survey Panel Wave 4 (2018-2019)</w:t>
      </w:r>
      <w:r>
        <w:t>. LSMS-ISA. DOI: 10.48529/1hgw-dq47</w:t>
      </w:r>
    </w:p>
    <w:p w14:paraId="6A712E77" w14:textId="77777777" w:rsidR="00DF443C" w:rsidRDefault="005376F7">
      <w:pPr>
        <w:numPr>
          <w:ilvl w:val="0"/>
          <w:numId w:val="16"/>
        </w:numPr>
      </w:pPr>
      <w:r>
        <w:t>Tittonell, P., &amp; Giller, K. E. (2013). When yield gaps are poverty traps: The paradigm of ecological intensification in African smallholder agriculture</w:t>
      </w:r>
      <w:r>
        <w:t xml:space="preserve">. </w:t>
      </w:r>
      <w:r>
        <w:rPr>
          <w:i/>
          <w:iCs/>
        </w:rPr>
        <w:t>Field Crops Research</w:t>
      </w:r>
      <w:r>
        <w:t>, 143, 76–90.</w:t>
      </w:r>
    </w:p>
    <w:p w14:paraId="1310793A" w14:textId="77777777" w:rsidR="00DF443C" w:rsidRDefault="005376F7">
      <w:r>
        <w:pict w14:anchorId="630D9164">
          <v:rect id="_x0000_i1032" style="width:0;height:1.5pt" o:hralign="center" o:hrstd="t" o:hr="t"/>
        </w:pict>
      </w:r>
    </w:p>
    <w:p w14:paraId="7A07726B" w14:textId="77777777" w:rsidR="00DF443C" w:rsidRDefault="005376F7">
      <w:pPr>
        <w:pStyle w:val="FirstParagraph"/>
      </w:pPr>
      <w:r>
        <w:rPr>
          <w:i/>
          <w:iCs/>
        </w:rPr>
        <w:t>Superviseur : M. Aboubacar HEMA, Research Scientist, IFPRI</w:t>
      </w:r>
      <w:r>
        <w:t xml:space="preserve"> </w:t>
      </w:r>
      <w:r>
        <w:rPr>
          <w:i/>
          <w:iCs/>
        </w:rPr>
        <w:t>ENSAE Pierre NDIAYE — Projet Statistique sous R et Python 2025-2026</w:t>
      </w:r>
      <w:bookmarkEnd w:id="32"/>
    </w:p>
    <w:sectPr w:rsidR="00DF443C">
      <w:headerReference w:type="default" r:id="rId12"/>
      <w:footerReference w:type="defaul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CB77D" w14:textId="77777777" w:rsidR="005376F7" w:rsidRDefault="005376F7">
      <w:pPr>
        <w:spacing w:after="0" w:line="240" w:lineRule="auto"/>
      </w:pPr>
      <w:r>
        <w:separator/>
      </w:r>
    </w:p>
  </w:endnote>
  <w:endnote w:type="continuationSeparator" w:id="0">
    <w:p w14:paraId="7839973D" w14:textId="77777777" w:rsidR="005376F7" w:rsidRDefault="00537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F9327" w14:textId="77777777" w:rsidR="0091330B" w:rsidRDefault="0091330B" w:rsidP="0091330B">
    <w:pPr>
      <w:pStyle w:val="Pieddepage"/>
      <w:tabs>
        <w:tab w:val="clear" w:pos="4513"/>
      </w:tabs>
    </w:pPr>
    <w:r>
      <w:t>Analyse statistique avec R sur les donn</w:t>
    </w:r>
    <w:r>
      <w:rPr>
        <w:lang w:val="fr-FR"/>
      </w:rPr>
      <w:t>é</w:t>
    </w:r>
    <w:r w:rsidRPr="0091330B">
      <w:rPr>
        <w:lang w:val="fr-FR"/>
      </w:rPr>
      <w:t>e</w:t>
    </w:r>
    <w:r>
      <w:rPr>
        <w:lang w:val="fr-FR"/>
      </w:rPr>
      <w:t>s du GHS Panel Nigé</w:t>
    </w:r>
    <w:r w:rsidRPr="0091330B">
      <w:rPr>
        <w:lang w:val="fr-FR"/>
      </w:rPr>
      <w:t>r</w:t>
    </w:r>
    <w:r>
      <w:rPr>
        <w:lang w:val="fr-FR"/>
      </w:rPr>
      <w:t>ian</w:t>
    </w:r>
    <w:r>
      <w:rPr>
        <w:lang w:val="fr-FR"/>
      </w:rPr>
      <w:tab/>
    </w:r>
    <w:r w:rsidRPr="0091330B">
      <w:rPr>
        <w:lang w:val="fr-FR"/>
      </w:rPr>
      <w:t xml:space="preserve">Page </w:t>
    </w:r>
    <w:r w:rsidRPr="0091330B">
      <w:rPr>
        <w:b w:val="0"/>
        <w:bCs/>
        <w:lang w:val="fr-FR"/>
      </w:rPr>
      <w:fldChar w:fldCharType="begin"/>
    </w:r>
    <w:r w:rsidRPr="0091330B">
      <w:rPr>
        <w:b w:val="0"/>
        <w:bCs/>
        <w:lang w:val="fr-FR"/>
      </w:rPr>
      <w:instrText>PAGE  \* Arabic  \* MERGEFORMAT</w:instrText>
    </w:r>
    <w:r w:rsidRPr="0091330B">
      <w:rPr>
        <w:b w:val="0"/>
        <w:bCs/>
        <w:lang w:val="fr-FR"/>
      </w:rPr>
      <w:fldChar w:fldCharType="separate"/>
    </w:r>
    <w:r w:rsidRPr="0091330B">
      <w:rPr>
        <w:b w:val="0"/>
        <w:bCs/>
        <w:lang w:val="fr-FR"/>
      </w:rPr>
      <w:t>1</w:t>
    </w:r>
    <w:r w:rsidRPr="0091330B">
      <w:rPr>
        <w:b w:val="0"/>
        <w:bCs/>
        <w:lang w:val="fr-FR"/>
      </w:rPr>
      <w:fldChar w:fldCharType="end"/>
    </w:r>
    <w:r w:rsidRPr="0091330B">
      <w:rPr>
        <w:lang w:val="fr-FR"/>
      </w:rPr>
      <w:t xml:space="preserve"> sur </w:t>
    </w:r>
    <w:r w:rsidRPr="0091330B">
      <w:rPr>
        <w:b w:val="0"/>
        <w:bCs/>
        <w:lang w:val="fr-FR"/>
      </w:rPr>
      <w:fldChar w:fldCharType="begin"/>
    </w:r>
    <w:r w:rsidRPr="0091330B">
      <w:rPr>
        <w:b w:val="0"/>
        <w:bCs/>
        <w:lang w:val="fr-FR"/>
      </w:rPr>
      <w:instrText>NUMPAGES  \* Arabic  \* MERGEFORMAT</w:instrText>
    </w:r>
    <w:r w:rsidRPr="0091330B">
      <w:rPr>
        <w:b w:val="0"/>
        <w:bCs/>
        <w:lang w:val="fr-FR"/>
      </w:rPr>
      <w:fldChar w:fldCharType="separate"/>
    </w:r>
    <w:r w:rsidRPr="0091330B">
      <w:rPr>
        <w:b w:val="0"/>
        <w:bCs/>
        <w:lang w:val="fr-FR"/>
      </w:rPr>
      <w:t>2</w:t>
    </w:r>
    <w:r w:rsidRPr="0091330B">
      <w:rPr>
        <w:b w:val="0"/>
        <w:bCs/>
        <w:lang w:val="fr-FR"/>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8202E" w14:textId="77777777" w:rsidR="005376F7" w:rsidRDefault="005376F7">
      <w:pPr>
        <w:spacing w:after="0" w:line="240" w:lineRule="auto"/>
      </w:pPr>
      <w:r>
        <w:separator/>
      </w:r>
    </w:p>
  </w:footnote>
  <w:footnote w:type="continuationSeparator" w:id="0">
    <w:p w14:paraId="7441C4DD" w14:textId="77777777" w:rsidR="005376F7" w:rsidRDefault="005376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0D336" w14:textId="77777777" w:rsidR="0091330B" w:rsidRPr="0091330B" w:rsidRDefault="0091330B">
    <w:pPr>
      <w:pStyle w:val="En-tte"/>
      <w:rPr>
        <w:lang w:val="en-US"/>
      </w:rPr>
    </w:pPr>
    <w:r>
      <w:rPr>
        <w:lang w:val="en-US"/>
      </w:rPr>
      <w:t>T</w:t>
    </w:r>
    <w:r w:rsidR="009718CD">
      <w:rPr>
        <w:lang w:val="en-US"/>
      </w:rPr>
      <w:t>P5</w:t>
    </w:r>
    <w:r>
      <w:rPr>
        <w:lang w:val="en-US"/>
      </w:rPr>
      <w:t>. R &amp;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EE293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A2EA8A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9AF3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1F428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9846BC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E737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97647A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A6490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AD81C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FCE99A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FDC74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86AE45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AC20BF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3B76F88"/>
    <w:multiLevelType w:val="hybridMultilevel"/>
    <w:tmpl w:val="68DC2440"/>
    <w:lvl w:ilvl="0" w:tplc="71309B32">
      <w:start w:val="1"/>
      <w:numFmt w:val="lowerLetter"/>
      <w:lvlText w:val="%1)"/>
      <w:lvlJc w:val="left"/>
      <w:pPr>
        <w:ind w:left="108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97A180C"/>
    <w:multiLevelType w:val="hybridMultilevel"/>
    <w:tmpl w:val="55647124"/>
    <w:lvl w:ilvl="0" w:tplc="EE829360">
      <w:start w:val="1"/>
      <w:numFmt w:val="decimal"/>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0"/>
  </w:num>
  <w:num w:numId="2">
    <w:abstractNumId w:val="13"/>
  </w:num>
  <w:num w:numId="3">
    <w:abstractNumId w:val="14"/>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0"/>
  </w:num>
  <w:num w:numId="15">
    <w:abstractNumId w:val="11"/>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7EC"/>
    <w:rsid w:val="00013F06"/>
    <w:rsid w:val="000939D6"/>
    <w:rsid w:val="000D27E3"/>
    <w:rsid w:val="00100316"/>
    <w:rsid w:val="001277EC"/>
    <w:rsid w:val="001D0BBE"/>
    <w:rsid w:val="00314C10"/>
    <w:rsid w:val="003210E8"/>
    <w:rsid w:val="003226F8"/>
    <w:rsid w:val="00325632"/>
    <w:rsid w:val="00342B72"/>
    <w:rsid w:val="00351BAA"/>
    <w:rsid w:val="003F0EC7"/>
    <w:rsid w:val="00431909"/>
    <w:rsid w:val="005326C5"/>
    <w:rsid w:val="005376F7"/>
    <w:rsid w:val="005446BA"/>
    <w:rsid w:val="005C0D66"/>
    <w:rsid w:val="00643339"/>
    <w:rsid w:val="006B39BF"/>
    <w:rsid w:val="006E7228"/>
    <w:rsid w:val="00787345"/>
    <w:rsid w:val="00850FC0"/>
    <w:rsid w:val="0091330B"/>
    <w:rsid w:val="009718CD"/>
    <w:rsid w:val="009B188F"/>
    <w:rsid w:val="00A31F87"/>
    <w:rsid w:val="00AB6199"/>
    <w:rsid w:val="00B30A45"/>
    <w:rsid w:val="00BA68BD"/>
    <w:rsid w:val="00BE40A1"/>
    <w:rsid w:val="00C1143B"/>
    <w:rsid w:val="00C442AA"/>
    <w:rsid w:val="00C57C0F"/>
    <w:rsid w:val="00CC1C81"/>
    <w:rsid w:val="00D50879"/>
    <w:rsid w:val="00DF443C"/>
    <w:rsid w:val="00E40832"/>
    <w:rsid w:val="00E53A42"/>
    <w:rsid w:val="00E67838"/>
    <w:rsid w:val="00E77B55"/>
    <w:rsid w:val="00E90650"/>
    <w:rsid w:val="00F02665"/>
    <w:rsid w:val="00F703BB"/>
    <w:rsid w:val="00F91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824020"/>
  <w15:docId w15:val="{23F0060F-D91C-4B80-8B73-868997EDF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40A1"/>
    <w:pPr>
      <w:spacing w:line="360" w:lineRule="auto"/>
      <w:jc w:val="both"/>
    </w:pPr>
    <w:rPr>
      <w:rFonts w:ascii="Garamond" w:hAnsi="Garamond"/>
    </w:rPr>
  </w:style>
  <w:style w:type="paragraph" w:styleId="Titre1">
    <w:name w:val="heading 1"/>
    <w:basedOn w:val="Normal"/>
    <w:next w:val="Corpsdetexte"/>
    <w:uiPriority w:val="9"/>
    <w:qFormat/>
    <w:rsid w:val="003F0EC7"/>
    <w:pPr>
      <w:keepNext/>
      <w:keepLines/>
      <w:pBdr>
        <w:top w:val="dotDotDash" w:sz="8" w:space="1" w:color="2E7D32"/>
        <w:left w:val="dotDotDash" w:sz="12" w:space="4" w:color="2E7D32"/>
        <w:bottom w:val="dotDotDash" w:sz="8" w:space="1" w:color="2E7D32"/>
      </w:pBdr>
      <w:shd w:val="clear" w:color="auto" w:fill="E5F8E4"/>
      <w:spacing w:before="720" w:after="360"/>
      <w:outlineLvl w:val="0"/>
    </w:pPr>
    <w:rPr>
      <w:rFonts w:eastAsiaTheme="majorEastAsia" w:cstheme="majorBidi"/>
      <w:b/>
      <w:bCs/>
      <w:color w:val="2E7D32"/>
      <w:sz w:val="36"/>
      <w:szCs w:val="32"/>
    </w:rPr>
  </w:style>
  <w:style w:type="paragraph" w:styleId="Titre2">
    <w:name w:val="heading 2"/>
    <w:basedOn w:val="Normal"/>
    <w:next w:val="Corpsdetexte"/>
    <w:uiPriority w:val="9"/>
    <w:unhideWhenUsed/>
    <w:qFormat/>
    <w:rsid w:val="00325632"/>
    <w:pPr>
      <w:keepNext/>
      <w:keepLines/>
      <w:spacing w:before="440" w:after="240"/>
      <w:outlineLvl w:val="1"/>
    </w:pPr>
    <w:rPr>
      <w:rFonts w:eastAsiaTheme="majorEastAsia" w:cstheme="majorBidi"/>
      <w:b/>
      <w:bCs/>
      <w:color w:val="F57F17"/>
      <w:sz w:val="28"/>
      <w:szCs w:val="28"/>
      <w:u w:val="single"/>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rsid w:val="00BE40A1"/>
    <w:pPr>
      <w:spacing w:before="180" w:after="180"/>
    </w:pPr>
  </w:style>
  <w:style w:type="paragraph" w:customStyle="1" w:styleId="FirstParagraph">
    <w:name w:val="First Paragraph"/>
    <w:basedOn w:val="Corpsdetexte"/>
    <w:next w:val="Corpsdetexte"/>
    <w:qFormat/>
    <w:rsid w:val="00BE40A1"/>
  </w:style>
  <w:style w:type="paragraph" w:customStyle="1" w:styleId="Compact">
    <w:name w:val="Compact"/>
    <w:basedOn w:val="Corpsdetexte"/>
    <w:qFormat/>
    <w:pPr>
      <w:spacing w:before="36" w:after="36"/>
    </w:pPr>
  </w:style>
  <w:style w:type="paragraph" w:styleId="Titre">
    <w:name w:val="Title"/>
    <w:basedOn w:val="Normal"/>
    <w:next w:val="Corpsdetexte"/>
    <w:qFormat/>
    <w:rsid w:val="003F0EC7"/>
    <w:pPr>
      <w:keepNext/>
      <w:keepLines/>
      <w:pBdr>
        <w:top w:val="single" w:sz="12" w:space="1" w:color="auto" w:shadow="1"/>
        <w:left w:val="single" w:sz="12" w:space="4" w:color="auto" w:shadow="1"/>
        <w:bottom w:val="single" w:sz="12" w:space="1" w:color="auto" w:shadow="1"/>
        <w:right w:val="single" w:sz="12" w:space="4" w:color="auto" w:shadow="1"/>
      </w:pBdr>
      <w:shd w:val="clear" w:color="auto" w:fill="C1EEBC"/>
      <w:spacing w:before="600" w:after="360"/>
      <w:jc w:val="center"/>
    </w:pPr>
    <w:rPr>
      <w:rFonts w:eastAsiaTheme="majorEastAsia" w:cstheme="majorBidi"/>
      <w:b/>
      <w:bCs/>
      <w:color w:val="1B5E20"/>
      <w:sz w:val="48"/>
      <w:szCs w:val="36"/>
    </w:rPr>
  </w:style>
  <w:style w:type="paragraph" w:styleId="Sous-titre">
    <w:name w:val="Subtitle"/>
    <w:basedOn w:val="Titre"/>
    <w:next w:val="Corpsdetexte"/>
    <w:qFormat/>
    <w:rsid w:val="003F0EC7"/>
    <w:pPr>
      <w:pBdr>
        <w:top w:val="none" w:sz="0" w:space="0" w:color="auto"/>
        <w:left w:val="none" w:sz="0" w:space="0" w:color="auto"/>
        <w:bottom w:val="none" w:sz="0" w:space="0" w:color="auto"/>
        <w:right w:val="none" w:sz="0" w:space="0" w:color="auto"/>
      </w:pBdr>
      <w:shd w:val="clear" w:color="auto" w:fill="FFFFFF" w:themeFill="background1"/>
      <w:spacing w:before="240"/>
    </w:pPr>
    <w:rPr>
      <w:i/>
      <w:color w:val="F57F17"/>
      <w:sz w:val="30"/>
      <w:szCs w:val="30"/>
    </w:rPr>
  </w:style>
  <w:style w:type="paragraph" w:customStyle="1" w:styleId="Author">
    <w:name w:val="Author"/>
    <w:next w:val="Corpsdetexte"/>
    <w:qFormat/>
    <w:rsid w:val="000939D6"/>
    <w:pPr>
      <w:keepNext/>
      <w:keepLines/>
      <w:jc w:val="center"/>
    </w:pPr>
    <w:rPr>
      <w:rFonts w:ascii="Garamond" w:hAnsi="Garamond"/>
      <w:i/>
    </w:rPr>
  </w:style>
  <w:style w:type="paragraph" w:styleId="Date">
    <w:name w:val="Date"/>
    <w:next w:val="Corpsdetexte"/>
    <w:qFormat/>
    <w:rsid w:val="00013F06"/>
    <w:pPr>
      <w:keepNext/>
      <w:keepLines/>
      <w:jc w:val="center"/>
    </w:pPr>
    <w:rPr>
      <w:rFonts w:ascii="Bradley Hand ITC" w:hAnsi="Bradley Hand ITC"/>
      <w:sz w:val="20"/>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rsid w:val="00013F06"/>
    <w:pPr>
      <w:keepNext/>
      <w:spacing w:before="240" w:after="360"/>
    </w:pPr>
    <w:rPr>
      <w:b/>
      <w:color w:val="595959" w:themeColor="text1" w:themeTint="A6"/>
      <w:sz w:val="16"/>
    </w:rPr>
  </w:style>
  <w:style w:type="paragraph" w:customStyle="1" w:styleId="ImageCaption">
    <w:name w:val="Image Caption"/>
    <w:basedOn w:val="Lgende"/>
    <w:rsid w:val="00013F06"/>
    <w:rPr>
      <w:b/>
      <w:color w:val="808080" w:themeColor="background1" w:themeShade="80"/>
      <w:sz w:val="16"/>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sid w:val="001D0BBE"/>
    <w:rPr>
      <w:rFonts w:ascii="Garamond" w:hAnsi="Garamond"/>
      <w:color w:val="4F81BD" w:themeColor="accent1"/>
    </w:rPr>
  </w:style>
  <w:style w:type="paragraph" w:styleId="En-ttedetabledesmatires">
    <w:name w:val="TOC Heading"/>
    <w:basedOn w:val="Titre1"/>
    <w:next w:val="Corpsdetexte"/>
    <w:uiPriority w:val="39"/>
    <w:unhideWhenUsed/>
    <w:qFormat/>
    <w:rsid w:val="00325632"/>
    <w:pPr>
      <w:pBdr>
        <w:top w:val="none" w:sz="0" w:space="0" w:color="auto"/>
        <w:left w:val="none" w:sz="0" w:space="0" w:color="auto"/>
        <w:bottom w:val="dashDotStroked" w:sz="24" w:space="1" w:color="008000"/>
      </w:pBdr>
      <w:spacing w:before="240" w:line="259" w:lineRule="auto"/>
      <w:jc w:val="center"/>
      <w:outlineLvl w:val="9"/>
    </w:pPr>
    <w:rPr>
      <w:bCs w:val="0"/>
      <w:color w:val="00800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En-tte">
    <w:name w:val="header"/>
    <w:basedOn w:val="Normal"/>
    <w:link w:val="En-tteCar"/>
    <w:unhideWhenUsed/>
    <w:rsid w:val="00325632"/>
    <w:pPr>
      <w:tabs>
        <w:tab w:val="center" w:pos="4513"/>
        <w:tab w:val="right" w:pos="9026"/>
      </w:tabs>
      <w:spacing w:after="0"/>
    </w:pPr>
    <w:rPr>
      <w:b/>
      <w:color w:val="003300"/>
      <w:sz w:val="22"/>
    </w:rPr>
  </w:style>
  <w:style w:type="character" w:customStyle="1" w:styleId="En-tteCar">
    <w:name w:val="En-tête Car"/>
    <w:basedOn w:val="Policepardfaut"/>
    <w:link w:val="En-tte"/>
    <w:rsid w:val="00325632"/>
    <w:rPr>
      <w:rFonts w:ascii="Garamond" w:hAnsi="Garamond"/>
      <w:b/>
      <w:color w:val="003300"/>
      <w:sz w:val="22"/>
    </w:rPr>
  </w:style>
  <w:style w:type="paragraph" w:styleId="Pieddepage">
    <w:name w:val="footer"/>
    <w:basedOn w:val="Normal"/>
    <w:link w:val="PieddepageCar"/>
    <w:uiPriority w:val="99"/>
    <w:unhideWhenUsed/>
    <w:rsid w:val="00325632"/>
    <w:pPr>
      <w:tabs>
        <w:tab w:val="center" w:pos="4513"/>
        <w:tab w:val="right" w:pos="9026"/>
      </w:tabs>
      <w:spacing w:after="0"/>
    </w:pPr>
    <w:rPr>
      <w:b/>
      <w:color w:val="1B5E20"/>
      <w:sz w:val="22"/>
    </w:rPr>
  </w:style>
  <w:style w:type="character" w:customStyle="1" w:styleId="PieddepageCar">
    <w:name w:val="Pied de page Car"/>
    <w:basedOn w:val="Policepardfaut"/>
    <w:link w:val="Pieddepage"/>
    <w:uiPriority w:val="99"/>
    <w:rsid w:val="00325632"/>
    <w:rPr>
      <w:rFonts w:ascii="Garamond" w:hAnsi="Garamond"/>
      <w:b/>
      <w:color w:val="1B5E20"/>
      <w:sz w:val="22"/>
    </w:rPr>
  </w:style>
  <w:style w:type="paragraph" w:styleId="TM1">
    <w:name w:val="toc 1"/>
    <w:basedOn w:val="Normal"/>
    <w:next w:val="Normal"/>
    <w:autoRedefine/>
    <w:uiPriority w:val="39"/>
    <w:unhideWhenUsed/>
    <w:rsid w:val="001D0BBE"/>
    <w:pPr>
      <w:spacing w:after="100"/>
    </w:pPr>
  </w:style>
  <w:style w:type="paragraph" w:styleId="TM2">
    <w:name w:val="toc 2"/>
    <w:basedOn w:val="Normal"/>
    <w:next w:val="Normal"/>
    <w:autoRedefine/>
    <w:uiPriority w:val="39"/>
    <w:unhideWhenUsed/>
    <w:rsid w:val="001D0BBE"/>
    <w:pPr>
      <w:spacing w:after="100"/>
      <w:ind w:left="240"/>
    </w:pPr>
  </w:style>
  <w:style w:type="character" w:customStyle="1" w:styleId="CorpsdetexteCar">
    <w:name w:val="Corps de texte Car"/>
    <w:basedOn w:val="Policepardfaut"/>
    <w:link w:val="Corpsdetexte"/>
    <w:rsid w:val="00BE40A1"/>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818</TotalTime>
  <Pages>1</Pages>
  <Words>2588</Words>
  <Characters>14234</Characters>
  <Application>Microsoft Office Word</Application>
  <DocSecurity>0</DocSecurity>
  <Lines>118</Lines>
  <Paragraphs>33</Paragraphs>
  <ScaleCrop>false</ScaleCrop>
  <HeadingPairs>
    <vt:vector size="2" baseType="variant">
      <vt:variant>
        <vt:lpstr>Titre</vt:lpstr>
      </vt:variant>
      <vt:variant>
        <vt:i4>1</vt:i4>
      </vt:variant>
    </vt:vector>
  </HeadingPairs>
  <TitlesOfParts>
    <vt:vector size="1" baseType="lpstr">
      <vt:lpstr>Profil démographique des ménages nigérians</vt:lpstr>
    </vt:vector>
  </TitlesOfParts>
  <Company/>
  <LinksUpToDate>false</LinksUpToDate>
  <CharactersWithSpaces>16789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Cultures pratiquées, intrants utilisés et rendements agricoles</dc:title>
  <dc:creator>Nkwa T. Leslye &amp; Ouattara Ousmane | ENSAE ISE1 2025-2026</dc:creator>
  <cp:keywords/>
  <cp:lastModifiedBy>Ousmane OUATTARA</cp:lastModifiedBy>
  <cp:revision>3</cp:revision>
  <dcterms:created xsi:type="dcterms:W3CDTF">2026-04-17T13:22:00Z</dcterms:created>
  <dcterms:modified xsi:type="dcterms:W3CDTF">2026-04-18T00:25:00Z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 avril 2026</vt:lpwstr>
  </property>
  <property fmtid="{D5CDD505-2E9C-101B-9397-08002B2CF9AE}" pid="3" name="output">
    <vt:lpwstr/>
  </property>
  <property fmtid="{D5CDD505-2E9C-101B-9397-08002B2CF9AE}" pid="4" name="subtitle">
    <vt:lpwstr>Nigeria General Household Survey Panel — Wave 4 (2018-2019)</vt:lpwstr>
  </property>
</Properties>
</file>