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9.png" ContentType="image/png"/>
  <Override PartName="/word/media/rId35.png" ContentType="image/png"/>
  <Override PartName="/word/media/rId44.png" ContentType="image/png"/>
  <Override PartName="/word/media/rId41.png" ContentType="image/png"/>
  <Override PartName="/word/media/rId50.png" ContentType="image/png"/>
  <Override PartName="/word/media/rId56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r>
        <w:pict>
          <v:rect style="width:0;height:1.5pt" o:hralign="center" o:hrstd="t" o:hr="t"/>
        </w:pict>
      </w:r>
    </w:p>
    <w:p>
      <w:r>
        <w:br w:type="page"/>
      </w:r>
    </w:p>
    <w:p>
      <w:pPr>
        <w:pStyle w:val="FirstParagraph"/>
      </w:pPr>
      <w:r>
        <w:drawing>
          <wp:inline>
            <wp:extent cx="1221740" cy="106298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rapport/logos/ENSA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1062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1221740" cy="89421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rapport/logos/ANS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894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26" w:name="Xb43092717a24815776b9a2b43349d496f506f50"/>
    <w:p>
      <w:pPr>
        <w:pStyle w:val="Heading1"/>
      </w:pPr>
      <w:r>
        <w:t xml:space="preserve">Analyse des Cultures Pratiquées, Intrants Utilisés et Rendements Agricoles</w:t>
      </w:r>
    </w:p>
    <w:p>
      <w:pPr>
        <w:pStyle w:val="FirstParagraph"/>
      </w:pPr>
      <w:r>
        <w:rPr>
          <w:b/>
          <w:bCs/>
        </w:rPr>
        <w:t xml:space="preserve">Projet Statistique sous R et Python — TP5 - ISE 1</w:t>
      </w:r>
    </w:p>
    <w:p>
      <w:pPr>
        <w:pStyle w:val="BodyText"/>
      </w:pPr>
      <w:r>
        <w:rPr>
          <w:i/>
          <w:iCs/>
        </w:rPr>
        <w:t xml:space="preserve">Groupe 16 : DEME Safiétou &amp; TEVOEDJRE Michel</w:t>
      </w:r>
    </w:p>
    <w:p>
      <w:pPr>
        <w:pStyle w:val="BodyText"/>
      </w:pPr>
      <w:r>
        <w:rPr>
          <w:i/>
          <w:iCs/>
        </w:rPr>
        <w:t xml:space="preserve">Superviseur : M. Aboubacar HEMA</w:t>
      </w:r>
    </w:p>
    <w:p>
      <w:pPr>
        <w:pStyle w:val="BodyText"/>
      </w:pPr>
      <w:r>
        <w:rPr>
          <w:i/>
          <w:iCs/>
        </w:rPr>
        <w:t xml:space="preserve">ENSAE Pierre Ndiaye — Année académique 2025–2026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6"/>
    <w:bookmarkStart w:id="27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Ce rapport présente les résultats du Travail Pratique 5 portant sur l’analyse des pratiques agricoles au Nigeria, à partir des données du</w:t>
      </w:r>
      <w:r>
        <w:t xml:space="preserve"> </w:t>
      </w:r>
      <w:r>
        <w:rPr>
          <w:b/>
          <w:bCs/>
        </w:rPr>
        <w:t xml:space="preserve">GHS Panel Wave 4 (2018/2019)</w:t>
      </w:r>
      <w:r>
        <w:t xml:space="preserve"> </w:t>
      </w:r>
      <w:r>
        <w:t xml:space="preserve">collectées par la Banque Mondiale. L’enquête couvre 4976 ménages pondérés, représentant une population estimée à</w:t>
      </w:r>
      <w:r>
        <w:t xml:space="preserve"> </w:t>
      </w:r>
      <w:r>
        <w:rPr>
          <w:b/>
          <w:bCs/>
        </w:rPr>
        <w:t xml:space="preserve">26.96 millions d’individus</w:t>
      </w:r>
      <w:r>
        <w:t xml:space="preserve">. Parmi ces ménages,</w:t>
      </w:r>
      <w:r>
        <w:t xml:space="preserve"> </w:t>
      </w:r>
      <w:r>
        <w:rPr>
          <w:b/>
          <w:bCs/>
        </w:rPr>
        <w:t xml:space="preserve">3253 (65.4%)</w:t>
      </w:r>
      <w:r>
        <w:t xml:space="preserve"> </w:t>
      </w:r>
      <w:r>
        <w:t xml:space="preserve">pratiquent au moins une activité agricole.</w:t>
      </w:r>
    </w:p>
    <w:p>
      <w:pPr>
        <w:pStyle w:val="BodyText"/>
      </w:pPr>
      <w:r>
        <w:t xml:space="preserve">L’analyse porte sur cinq dimensions complémentaires : la diversité des cultures pratiquées, l’indice de diversification culturale, l’utilisation des intrants agricoles, la production à la parcelle pour les principales céréales, et la relation entre adoption des intrants et performance agricole. Toutes les estimations sont produites avec les</w:t>
      </w:r>
      <w:r>
        <w:t xml:space="preserve"> </w:t>
      </w:r>
      <w:r>
        <w:rPr>
          <w:b/>
          <w:bCs/>
        </w:rPr>
        <w:t xml:space="preserve">pondérations Wave 4</w:t>
      </w:r>
      <w:r>
        <w:t xml:space="preserve"> </w:t>
      </w:r>
      <w:r>
        <w:t xml:space="preserve">(</w:t>
      </w:r>
      <w:r>
        <w:rPr>
          <w:rStyle w:val="VerbatimChar"/>
        </w:rPr>
        <w:t xml:space="preserve">wt_wave4</w:t>
      </w:r>
      <w:r>
        <w:t xml:space="preserve">).</w:t>
      </w:r>
    </w:p>
    <w:p>
      <w:pPr>
        <w:pStyle w:val="BodyText"/>
      </w:pPr>
      <w:r>
        <w:t xml:space="preserve">Les fichiers mobilisés sont :</w:t>
      </w:r>
      <w:r>
        <w:t xml:space="preserve"> </w:t>
      </w:r>
      <w:r>
        <w:rPr>
          <w:rStyle w:val="VerbatimChar"/>
        </w:rPr>
        <w:t xml:space="preserve">secta_harvestw4.dta</w:t>
      </w:r>
      <w:r>
        <w:t xml:space="preserve"> </w:t>
      </w:r>
      <w:r>
        <w:t xml:space="preserve">(pondérations et géographie),</w:t>
      </w:r>
      <w:r>
        <w:t xml:space="preserve"> </w:t>
      </w:r>
      <w:r>
        <w:rPr>
          <w:rStyle w:val="VerbatimChar"/>
        </w:rPr>
        <w:t xml:space="preserve">secta3i_harvestw4.dta</w:t>
      </w:r>
      <w:r>
        <w:t xml:space="preserve"> </w:t>
      </w:r>
      <w:r>
        <w:t xml:space="preserve">(récoltes par parcelle),</w:t>
      </w:r>
      <w:r>
        <w:t xml:space="preserve"> </w:t>
      </w:r>
      <w:r>
        <w:rPr>
          <w:rStyle w:val="VerbatimChar"/>
        </w:rPr>
        <w:t xml:space="preserve">secta3ii_harvestw4.dta</w:t>
      </w:r>
      <w:r>
        <w:t xml:space="preserve"> </w:t>
      </w:r>
      <w:r>
        <w:t xml:space="preserve">(synthèse culture-ménage), et</w:t>
      </w:r>
      <w:r>
        <w:t xml:space="preserve"> </w:t>
      </w:r>
      <w:r>
        <w:rPr>
          <w:rStyle w:val="VerbatimChar"/>
        </w:rPr>
        <w:t xml:space="preserve">secta11c2_harvestw4.dta</w:t>
      </w:r>
      <w:r>
        <w:t xml:space="preserve"> </w:t>
      </w:r>
      <w:r>
        <w:t xml:space="preserve">(intrants réels utilisés par parcelle).</w:t>
      </w:r>
    </w:p>
    <w:p>
      <w:r>
        <w:pict>
          <v:rect style="width:0;height:1.5pt" o:hralign="center" o:hrstd="t" o:hr="t"/>
        </w:pict>
      </w:r>
    </w:p>
    <w:bookmarkEnd w:id="27"/>
    <w:bookmarkStart w:id="33" w:name="top-15-des-cultures-pratiqué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Top 15 des Cultures Pratiquées</w:t>
      </w:r>
    </w:p>
    <w:bookmarkStart w:id="28" w:name="méthodologi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Méthodologie</w:t>
      </w:r>
    </w:p>
    <w:p>
      <w:pPr>
        <w:pStyle w:val="FirstParagraph"/>
      </w:pPr>
      <w:r>
        <w:t xml:space="preserve">Les cultures pratiquées sont identifiées à partir de</w:t>
      </w:r>
      <w:r>
        <w:t xml:space="preserve"> </w:t>
      </w:r>
      <w:r>
        <w:rPr>
          <w:rStyle w:val="VerbatimChar"/>
        </w:rPr>
        <w:t xml:space="preserve">secta3ii_harvestw4.dta</w:t>
      </w:r>
      <w:r>
        <w:t xml:space="preserve">, qui recense pour chaque ménage l’ensemble des cultures produites durant la saison 2018/2019. La fréquence pondérée est calculée en sommant les poids de sondage (</w:t>
      </w:r>
      <w:r>
        <w:rPr>
          <w:rStyle w:val="VerbatimChar"/>
        </w:rPr>
        <w:t xml:space="preserve">wt_wave4</w:t>
      </w:r>
      <w:r>
        <w:t xml:space="preserve">) des ménages ayant cultivé chaque culture, puis rapportée à l’effectif total pondéré pour obtenir une proportion. Les cultures sont classées par type agronomique : céréale, légumineuse, tubercule, et culture de rente.</w:t>
      </w:r>
    </w:p>
    <w:bookmarkEnd w:id="28"/>
    <w:bookmarkStart w:id="32" w:name="résultat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Résultats</w:t>
      </w:r>
    </w:p>
    <w:p>
      <w:pPr>
        <w:pStyle w:val="CaptionedFigure"/>
      </w:pPr>
      <w:r>
        <w:drawing>
          <wp:inline>
            <wp:extent cx="6108700" cy="4276090"/>
            <wp:effectExtent b="0" l="0" r="0" t="0"/>
            <wp:docPr descr="Top 15 des cultures les plus fréquentes (Wave 4, pondéré)" title="" id="30" name="Picture"/>
            <a:graphic>
              <a:graphicData uri="http://schemas.openxmlformats.org/drawingml/2006/picture">
                <pic:pic>
                  <pic:nvPicPr>
                    <pic:cNvPr descr="../outputs/25_top15_culture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76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15 des cultures les plus fréquentes (Wave 4, pondéré)</w:t>
      </w:r>
    </w:p>
    <w:p>
      <w:pPr>
        <w:pStyle w:val="BodyText"/>
      </w:pPr>
      <w:r>
        <w:t xml:space="preserve">Le graphique ci-dessus présente le classement pondéré des quinze cultures les plus répandues.</w:t>
      </w:r>
      <w:r>
        <w:t xml:space="preserve"> </w:t>
      </w:r>
      <w:r>
        <w:rPr>
          <w:b/>
          <w:bCs/>
        </w:rPr>
        <w:t xml:space="preserve">Maïs</w:t>
      </w:r>
      <w:r>
        <w:t xml:space="preserve"> </w:t>
      </w:r>
      <w:r>
        <w:t xml:space="preserve">est la culture dominante (50.8% des ménages agricoles), suivi de</w:t>
      </w:r>
      <w:r>
        <w:t xml:space="preserve"> </w:t>
      </w:r>
      <w:r>
        <w:rPr>
          <w:b/>
          <w:bCs/>
        </w:rPr>
        <w:t xml:space="preserve">Sorgho</w:t>
      </w:r>
      <w:r>
        <w:t xml:space="preserve"> </w:t>
      </w:r>
      <w:r>
        <w:t xml:space="preserve">(30.7%). Cette hiérarchie reflète l’importance des</w:t>
      </w:r>
      <w:r>
        <w:t xml:space="preserve"> </w:t>
      </w:r>
      <w:r>
        <w:rPr>
          <w:b/>
          <w:bCs/>
        </w:rPr>
        <w:t xml:space="preserve">tubercules</w:t>
      </w:r>
      <w:r>
        <w:t xml:space="preserve"> </w:t>
      </w:r>
      <w:r>
        <w:t xml:space="preserve">(igname, manioc) et des</w:t>
      </w:r>
      <w:r>
        <w:t xml:space="preserve"> </w:t>
      </w:r>
      <w:r>
        <w:rPr>
          <w:b/>
          <w:bCs/>
        </w:rPr>
        <w:t xml:space="preserve">céréales</w:t>
      </w:r>
      <w:r>
        <w:t xml:space="preserve"> </w:t>
      </w:r>
      <w:r>
        <w:t xml:space="preserve">(maïs, mil, sorgho) dans les systèmes de production nigérians, où ces cultures constituent à la fois la base alimentaire et la principale source de revenus agricoles.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des cultures les plus fréquentes — GHS Panel W4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732"/>
        <w:gridCol w:w="1987"/>
        <w:gridCol w:w="2293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Culture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Ménages (brut)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 pondérée (%)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Maïs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Céréale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Sorgho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Céréale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Céréale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Niébé / Haricot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Légumineuse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Tubercule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Igname blanche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Tubercule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Arachide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Légumineuse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Céréale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Légumineuse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Plantain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Gombo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Légumineuse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Macabo / Colocase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Tubercule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Igname d'eau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Tubercule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Citrouille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diversification-culturale-par-ménag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Diversification Culturale par Ménage</w:t>
      </w:r>
    </w:p>
    <w:bookmarkStart w:id="34" w:name="méthodologie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Méthodologie</w:t>
      </w:r>
    </w:p>
    <w:p>
      <w:pPr>
        <w:pStyle w:val="FirstParagraph"/>
      </w:pPr>
      <w:r>
        <w:t xml:space="preserve">L’indice de diversification est défini comme le</w:t>
      </w:r>
      <w:r>
        <w:t xml:space="preserve"> </w:t>
      </w:r>
      <w:r>
        <w:rPr>
          <w:b/>
          <w:bCs/>
        </w:rPr>
        <w:t xml:space="preserve">nombre de cultures différentes</w:t>
      </w:r>
      <w:r>
        <w:t xml:space="preserve"> </w:t>
      </w:r>
      <w:r>
        <w:t xml:space="preserve">cultivées par un ménage durant la saison. Il est calculé en comptant les codes cultures distincts dans</w:t>
      </w:r>
      <w:r>
        <w:t xml:space="preserve"> </w:t>
      </w:r>
      <w:r>
        <w:rPr>
          <w:rStyle w:val="VerbatimChar"/>
        </w:rPr>
        <w:t xml:space="preserve">secta3ii_harvestw4.dta</w:t>
      </w:r>
      <w:r>
        <w:t xml:space="preserve">. La distribution est examinée via un histogramme pondéré. La comparaison entre zones rurales et urbaines utilise le</w:t>
      </w:r>
      <w:r>
        <w:t xml:space="preserve"> </w:t>
      </w:r>
      <w:r>
        <w:rPr>
          <w:b/>
          <w:bCs/>
        </w:rPr>
        <w:t xml:space="preserve">test de Wilcoxon-Mann-Whitney</w:t>
      </w:r>
      <w:r>
        <w:t xml:space="preserve"> </w:t>
      </w:r>
      <w:r>
        <w:t xml:space="preserve">non paramétrique, adapté à des distributions asymétriques. La taille d’effet est estimée par r = |Z| / √N.</w:t>
      </w:r>
    </w:p>
    <w:bookmarkEnd w:id="34"/>
    <w:bookmarkStart w:id="38" w:name="résultats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Résultats</w:t>
      </w:r>
    </w:p>
    <w:p>
      <w:pPr>
        <w:pStyle w:val="CaptionedFigure"/>
      </w:pPr>
      <w:r>
        <w:drawing>
          <wp:inline>
            <wp:extent cx="6108700" cy="2819400"/>
            <wp:effectExtent b="0" l="0" r="0" t="0"/>
            <wp:docPr descr="Distribution de l’indice de diversification culturale et comparaison rural/urbain" title="" id="36" name="Picture"/>
            <a:graphic>
              <a:graphicData uri="http://schemas.openxmlformats.org/drawingml/2006/picture">
                <pic:pic>
                  <pic:nvPicPr>
                    <pic:cNvPr descr="../outputs/26_diversification_cultural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de l’indice de diversification culturale et comparaison rural/urbain</w:t>
      </w:r>
    </w:p>
    <w:p>
      <w:pPr>
        <w:pStyle w:val="BodyText"/>
      </w:pPr>
      <w:r>
        <w:t xml:space="preserve">Les ménages ruraux affichent une diversification culturale pondérée moyenne de</w:t>
      </w:r>
      <w:r>
        <w:t xml:space="preserve"> </w:t>
      </w:r>
      <w:r>
        <w:rPr>
          <w:b/>
          <w:bCs/>
        </w:rPr>
        <w:t xml:space="preserve">2.72 cultures</w:t>
      </w:r>
      <w:r>
        <w:t xml:space="preserve">, contre</w:t>
      </w:r>
      <w:r>
        <w:t xml:space="preserve"> </w:t>
      </w:r>
      <w:r>
        <w:rPr>
          <w:b/>
          <w:bCs/>
        </w:rPr>
        <w:t xml:space="preserve">2.6</w:t>
      </w:r>
      <w:r>
        <w:t xml:space="preserve"> </w:t>
      </w:r>
      <w:r>
        <w:t xml:space="preserve">pour les ménages urbains, reflétant une spécialisation plus marquée en milieu urbain.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Test de Wilcoxon — Diversification culturale rural vs urbain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27"/>
        <w:gridCol w:w="1804"/>
        <w:gridCol w:w="2062"/>
        <w:gridCol w:w="1939"/>
        <w:gridCol w:w="2324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Comparaison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Statistique 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p-valeur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 de Rosenthal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Significatif (α=5%)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 vs Urbain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574,652.5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0.000000006062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Oui</w:t>
            </w:r>
          </w:p>
        </w:tc>
      </w:tr>
    </w:tbl>
    <w:p>
      <w:pPr>
        <w:pStyle w:val="BodyText"/>
      </w:pPr>
      <w:r>
        <w:t xml:space="preserve">Le test de Wilcoxon est</w:t>
      </w:r>
      <w:r>
        <w:t xml:space="preserve"> </w:t>
      </w:r>
      <w:r>
        <w:rPr>
          <w:b/>
          <w:bCs/>
        </w:rPr>
        <w:t xml:space="preserve">significatif</w:t>
      </w:r>
      <w:r>
        <w:t xml:space="preserve"> </w:t>
      </w:r>
      <w:r>
        <w:t xml:space="preserve">(W = 5.74652</w:t>
      </w:r>
      <w:r>
        <w:t xml:space="preserve">^{5}, p = 6.06</w:t>
      </w:r>
      <w:r>
        <w:t xml:space="preserve">^{-9}), confirmant que les milieux rural et urbain présentent des profils de diversification statistiquement distincts.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utilisation-des-intrants-agricole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Utilisation des Intrants Agricoles</w:t>
      </w:r>
    </w:p>
    <w:bookmarkStart w:id="40" w:name="méthodologie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Méthodologie</w:t>
      </w:r>
    </w:p>
    <w:p>
      <w:pPr>
        <w:pStyle w:val="FirstParagraph"/>
      </w:pPr>
      <w:r>
        <w:t xml:space="preserve">Les données d’intrants proviennent de</w:t>
      </w:r>
      <w:r>
        <w:t xml:space="preserve"> </w:t>
      </w:r>
      <w:r>
        <w:rPr>
          <w:rStyle w:val="VerbatimChar"/>
        </w:rPr>
        <w:t xml:space="preserve">secta11c2_harvestw4.dta</w:t>
      </w:r>
      <w:r>
        <w:t xml:space="preserve">, qui enregistre pour chaque parcelle les intrants effectivement utilisés. Six indicateurs sont construits : engrais inorganique global, NPK, urée, engrais organique, pesticide et herbicide. L’adoption est définie au niveau ménage : un ménage est déclaré adopteur si au moins une de ses parcelles utilise l’intrant. Les taux sont estimés avec IC à 95% via le plan de sondage pondéré. Un test du chi-deux évalue l’association zone géographique × utilisation d’engrais inorganique.</w:t>
      </w:r>
    </w:p>
    <w:bookmarkEnd w:id="40"/>
    <w:bookmarkStart w:id="47" w:name="résultats-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Résultats</w:t>
      </w:r>
    </w:p>
    <w:p>
      <w:pPr>
        <w:pStyle w:val="CaptionedFigure"/>
      </w:pPr>
      <w:r>
        <w:drawing>
          <wp:inline>
            <wp:extent cx="6108700" cy="3665220"/>
            <wp:effectExtent b="0" l="0" r="0" t="0"/>
            <wp:docPr descr="Taux d’adoption des intrants agricoles — Wave 4 (2018)" title="" id="42" name="Picture"/>
            <a:graphic>
              <a:graphicData uri="http://schemas.openxmlformats.org/drawingml/2006/picture">
                <pic:pic>
                  <pic:nvPicPr>
                    <pic:cNvPr descr="../outputs/27_intrants_taux_glob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665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Taux d’adoption des intrants agricoles — Wave 4 (2018)</w:t>
      </w:r>
    </w:p>
    <w:p>
      <w:pPr>
        <w:pStyle w:val="CaptionedFigure"/>
      </w:pPr>
      <w:r>
        <w:drawing>
          <wp:inline>
            <wp:extent cx="6108700" cy="3609686"/>
            <wp:effectExtent b="0" l="0" r="0" t="0"/>
            <wp:docPr descr="Adoption de l’engrais inorganique par zone et milieu — Wave 4 (2018)" title="" id="45" name="Picture"/>
            <a:graphic>
              <a:graphicData uri="http://schemas.openxmlformats.org/drawingml/2006/picture">
                <pic:pic>
                  <pic:nvPicPr>
                    <pic:cNvPr descr="../outputs/27_intrants_par_zon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609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Adoption de l’engrais inorganique par zone et milieu — Wave 4 (2018)</w:t>
      </w:r>
    </w:p>
    <w:p>
      <w:pPr>
        <w:pStyle w:val="BodyText"/>
      </w:pPr>
      <w:r>
        <w:t xml:space="preserve">À l’échelle nationale,</w:t>
      </w:r>
      <w:r>
        <w:t xml:space="preserve"> </w:t>
      </w:r>
      <w:r>
        <w:rPr>
          <w:b/>
          <w:bCs/>
        </w:rPr>
        <w:t xml:space="preserve">43%</w:t>
      </w:r>
      <w:r>
        <w:t xml:space="preserve"> </w:t>
      </w:r>
      <w:r>
        <w:t xml:space="preserve">des ménages agriculteurs utilisent un engrais inorganique, et</w:t>
      </w:r>
      <w:r>
        <w:t xml:space="preserve"> </w:t>
      </w:r>
      <w:r>
        <w:rPr>
          <w:b/>
          <w:bCs/>
        </w:rPr>
        <w:t xml:space="preserve">27.9%</w:t>
      </w:r>
      <w:r>
        <w:t xml:space="preserve"> </w:t>
      </w:r>
      <w:r>
        <w:t xml:space="preserve">un engrais organique. Des disparités importantes apparaissent entre zones : les régions du Nord présentent généralement des taux d’adoption en engrais plus élevés, liés aux programmes de subvention agricole. Le test du chi-deux confirme une association significative entre zone géographique et adoption d’engrais inorganique.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Test du chi-deux — Association zone géographique × engrais inorganique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6"/>
        <w:gridCol w:w="2196"/>
        <w:gridCol w:w="25065"/>
        <w:gridCol w:w="2324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Statistique χ²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Degrés de liberté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p-valeur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Significatif (α=5%)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924.419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0.00000000000000000000000000000000000000000000000000000000000000000000000000000000000000000000000000000000000000000000000000000000000000000000000000000000000000000000000000000000000000000000000000001381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production-maïs-et-mil-par-état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Production Maïs et Mil par État</w:t>
      </w:r>
    </w:p>
    <w:bookmarkStart w:id="49" w:name="méthodologie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Méthodologie</w:t>
      </w:r>
    </w:p>
    <w:p>
      <w:pPr>
        <w:pStyle w:val="FirstParagraph"/>
      </w:pPr>
      <w:r>
        <w:t xml:space="preserve">La production à la parcelle (en kg) est calculée à partir de</w:t>
      </w:r>
      <w:r>
        <w:t xml:space="preserve"> </w:t>
      </w:r>
      <w:r>
        <w:rPr>
          <w:rStyle w:val="VerbatimChar"/>
        </w:rPr>
        <w:t xml:space="preserve">secta3i_harvestw4.dta</w:t>
      </w:r>
      <w:r>
        <w:t xml:space="preserve"> </w:t>
      </w:r>
      <w:r>
        <w:t xml:space="preserve">: quantité récoltée × facteur de conversion (</w:t>
      </w:r>
      <w:r>
        <w:rPr>
          <w:rStyle w:val="VerbatimChar"/>
        </w:rPr>
        <w:t xml:space="preserve">sa3iq6i × sa3iq6_conv</w:t>
      </w:r>
      <w:r>
        <w:t xml:space="preserve">), pour les cultures de maïs (code 1080) et mil (code 1100), avec récolte effective (</w:t>
      </w:r>
      <w:r>
        <w:rPr>
          <w:rStyle w:val="VerbatimChar"/>
        </w:rPr>
        <w:t xml:space="preserve">sa3iq3 == 1</w:t>
      </w:r>
      <w:r>
        <w:t xml:space="preserve">). Les valeurs extrêmes sont identifiées et exclues via la règle</w:t>
      </w:r>
      <w:r>
        <w:t xml:space="preserve"> </w:t>
      </w:r>
      <w:r>
        <w:rPr>
          <w:b/>
          <w:bCs/>
        </w:rPr>
        <w:t xml:space="preserve">IQR × 3</w:t>
      </w:r>
      <w:r>
        <w:t xml:space="preserve">, appliquée indépendamment par culture. Les boxplots comparent les distributions par État. Un test de Kruskal-Wallis évalue la variation inter-États.</w:t>
      </w:r>
    </w:p>
    <w:bookmarkEnd w:id="49"/>
    <w:bookmarkStart w:id="53" w:name="résultats-3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Résultats</w:t>
      </w:r>
    </w:p>
    <w:p>
      <w:pPr>
        <w:pStyle w:val="CaptionedFigure"/>
      </w:pPr>
      <w:r>
        <w:drawing>
          <wp:inline>
            <wp:extent cx="6108700" cy="7774709"/>
            <wp:effectExtent b="0" l="0" r="0" t="0"/>
            <wp:docPr descr="Production de maïs et mil par État — Wave 4 (2018)" title="" id="51" name="Picture"/>
            <a:graphic>
              <a:graphicData uri="http://schemas.openxmlformats.org/drawingml/2006/picture">
                <pic:pic>
                  <pic:nvPicPr>
                    <pic:cNvPr descr="../outputs/28_production_par_eta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77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Production de maïs et mil par État — Wave 4 (2018)</w:t>
      </w:r>
    </w:p>
    <w:p>
      <w:pPr>
        <w:pStyle w:val="BodyText"/>
      </w:pPr>
      <w:r>
        <w:t xml:space="preserve">La production médiane de maïs s’établit à</w:t>
      </w:r>
      <w:r>
        <w:t xml:space="preserve"> </w:t>
      </w:r>
      <w:r>
        <w:rPr>
          <w:b/>
          <w:bCs/>
        </w:rPr>
        <w:t xml:space="preserve">200 kg/parcelle</w:t>
      </w:r>
      <w:r>
        <w:t xml:space="preserve"> </w:t>
      </w:r>
      <w:r>
        <w:t xml:space="preserve">et celle du mil à</w:t>
      </w:r>
      <w:r>
        <w:t xml:space="preserve"> </w:t>
      </w:r>
      <w:r>
        <w:rPr>
          <w:b/>
          <w:bCs/>
        </w:rPr>
        <w:t xml:space="preserve">300 kg/parcelle</w:t>
      </w:r>
      <w:r>
        <w:t xml:space="preserve">. Le test de Kruskal-Wallis révèle une variation inter-États hautement significative (H = 1512.1, p &lt; 0,001), reflétant les fortes inégalités agro-climatiques et infrastructurelles entre États nigérians.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Statistiques descriptives de la production (kg/parcelle) — Maïs et Mil, W4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1585"/>
        <w:gridCol w:w="1829"/>
        <w:gridCol w:w="1755"/>
        <w:gridCol w:w="1487"/>
        <w:gridCol w:w="778"/>
        <w:gridCol w:w="778"/>
      </w:tblGrid>
      <w:tr>
        <w:trPr>
          <w:trHeight w:val="65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Culture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parcelles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Moyenne (kg)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Médiane (kg)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Maïs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engrais-inorganique-et-product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Engrais Inorganique et Production</w:t>
      </w:r>
    </w:p>
    <w:bookmarkStart w:id="55" w:name="méthodologie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Méthodologie</w:t>
      </w:r>
    </w:p>
    <w:p>
      <w:pPr>
        <w:pStyle w:val="FirstParagraph"/>
      </w:pPr>
      <w:r>
        <w:t xml:space="preserve">La relation entre utilisation d’engrais inorganique et production est testée via un</w:t>
      </w:r>
      <w:r>
        <w:t xml:space="preserve"> </w:t>
      </w:r>
      <w:r>
        <w:rPr>
          <w:b/>
          <w:bCs/>
        </w:rPr>
        <w:t xml:space="preserve">test de Wilcoxon-Mann-Whitney</w:t>
      </w:r>
      <w:r>
        <w:t xml:space="preserve"> </w:t>
      </w:r>
      <w:r>
        <w:t xml:space="preserve">comparant les parcelles avec et sans engrais inorganique, pour le maïs et le mil séparément. L’intrant est identifié dans</w:t>
      </w:r>
      <w:r>
        <w:t xml:space="preserve"> </w:t>
      </w:r>
      <w:r>
        <w:rPr>
          <w:rStyle w:val="VerbatimChar"/>
        </w:rPr>
        <w:t xml:space="preserve">secta11c2_harvestw4.dta</w:t>
      </w:r>
      <w:r>
        <w:t xml:space="preserve"> </w:t>
      </w:r>
      <w:r>
        <w:t xml:space="preserve">et joint à la table de production au niveau parcelle. La</w:t>
      </w:r>
      <w:r>
        <w:t xml:space="preserve"> </w:t>
      </w:r>
      <w:r>
        <w:rPr>
          <w:b/>
          <w:bCs/>
        </w:rPr>
        <w:t xml:space="preserve">taille d’effet</w:t>
      </w:r>
      <w:r>
        <w:t xml:space="preserve"> </w:t>
      </w:r>
      <w:r>
        <w:t xml:space="preserve">est estimée par r = |Z| / √N. Des graphiques combinés (violin + boxplot) visualisent les distributions conditionnelles.</w:t>
      </w:r>
    </w:p>
    <w:bookmarkEnd w:id="55"/>
    <w:bookmarkStart w:id="59" w:name="résultats-4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Résultats</w:t>
      </w:r>
    </w:p>
    <w:p>
      <w:pPr>
        <w:pStyle w:val="CaptionedFigure"/>
      </w:pPr>
      <w:r>
        <w:drawing>
          <wp:inline>
            <wp:extent cx="6108700" cy="3665220"/>
            <wp:effectExtent b="0" l="0" r="0" t="0"/>
            <wp:docPr descr="Production selon l’utilisation d’engrais inorganique — Wave 4 (2018)" title="" id="57" name="Picture"/>
            <a:graphic>
              <a:graphicData uri="http://schemas.openxmlformats.org/drawingml/2006/picture">
                <pic:pic>
                  <pic:nvPicPr>
                    <pic:cNvPr descr="../outputs/29_effet_engrai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665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Production selon l’utilisation d’engrais inorganique — Wave 4 (2018)</w:t>
      </w:r>
    </w:p>
    <w:p>
      <w:pPr>
        <w:pStyle w:val="BodyText"/>
      </w:pPr>
      <w:r>
        <w:t xml:space="preserve">Pour le maïs, le test de Wilcoxon révèle une différence</w:t>
      </w:r>
      <w:r>
        <w:t xml:space="preserve"> </w:t>
      </w:r>
      <w:r>
        <w:rPr>
          <w:b/>
          <w:bCs/>
        </w:rPr>
        <w:t xml:space="preserve">significative</w:t>
      </w:r>
      <w:r>
        <w:t xml:space="preserve"> </w:t>
      </w:r>
      <w:r>
        <w:t xml:space="preserve">(p = 6.34</w:t>
      </w:r>
      <w:r>
        <w:t xml:space="preserve">^{-63}) entre parcelles avec et sans engrais inorganique. La taille d’effet r =</w:t>
      </w:r>
      <w:r>
        <w:t xml:space="preserve"> </w:t>
      </w:r>
      <w:r>
        <w:rPr>
          <w:b/>
          <w:bCs/>
        </w:rPr>
        <w:t xml:space="preserve">0.34</w:t>
      </w:r>
      <w:r>
        <w:t xml:space="preserve"> </w:t>
      </w:r>
      <w:r>
        <w:t xml:space="preserve">indique un effet substantiel.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Production (kg/parcelle) selon l'usage d'engrais inorganique — W4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2306"/>
        <w:gridCol w:w="1585"/>
        <w:gridCol w:w="1755"/>
        <w:gridCol w:w="1829"/>
        <w:gridCol w:w="961"/>
        <w:gridCol w:w="1145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Culture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parcelles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Médiane (kg)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Moyenne (kg)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Maïs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Avec engrais inorg.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1,000.0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Maïs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Sans engrais inorg.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337.5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Avec engrais inorg.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600.0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Sans engrais inorg.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500.0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Tests de Wilcoxon — Production avec vs sans engrais inorganique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1206"/>
        <w:gridCol w:w="1279"/>
        <w:gridCol w:w="1621"/>
        <w:gridCol w:w="1499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Culture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Stat. 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p-valeur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 Rosenthal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Taille effet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Maïs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436,112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6.34e-63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107,547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1.77e-01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</w:t>
      </w:r>
    </w:p>
    <w:p>
      <w:pPr>
        <w:pStyle w:val="FirstParagraph"/>
      </w:pPr>
      <w:r>
        <w:t xml:space="preserve">Ce travail pratique a permis d’analyser les pratiques agricoles nigérianes à travers cinq axes complémentaires, en s’appuyant sur les pondérations Wave 4 pour produire des estimations représentatives au niveau national.</w:t>
      </w:r>
    </w:p>
    <w:p>
      <w:pPr>
        <w:pStyle w:val="BodyText"/>
      </w:pPr>
      <w:r>
        <w:t xml:space="preserve">Les principaux résultats sont les suivants. La</w:t>
      </w:r>
      <w:r>
        <w:t xml:space="preserve"> </w:t>
      </w:r>
      <w:r>
        <w:rPr>
          <w:b/>
          <w:bCs/>
        </w:rPr>
        <w:t xml:space="preserve">diversité culturale</w:t>
      </w:r>
      <w:r>
        <w:t xml:space="preserve"> </w:t>
      </w:r>
      <w:r>
        <w:t xml:space="preserve">est dominée par les tubercules (igname, manioc) et les céréales (maïs, mil, sorgho), avec une forte concentration sur quelques espèces. La</w:t>
      </w:r>
      <w:r>
        <w:t xml:space="preserve"> </w:t>
      </w:r>
      <w:r>
        <w:rPr>
          <w:b/>
          <w:bCs/>
        </w:rPr>
        <w:t xml:space="preserve">diversification par ménage</w:t>
      </w:r>
      <w:r>
        <w:t xml:space="preserve"> </w:t>
      </w:r>
      <w:r>
        <w:t xml:space="preserve">est significativement plus élevée en milieu rural qu’urbain. Les</w:t>
      </w:r>
      <w:r>
        <w:t xml:space="preserve"> </w:t>
      </w:r>
      <w:r>
        <w:rPr>
          <w:b/>
          <w:bCs/>
        </w:rPr>
        <w:t xml:space="preserve">intrants agricoles</w:t>
      </w:r>
      <w:r>
        <w:t xml:space="preserve"> </w:t>
      </w:r>
      <w:r>
        <w:t xml:space="preserve">(engrais inorganique, organique, pesticides) restent peu diffusés à l’échelle nationale, avec des disparités géographiques marquées et significatives selon le test du chi-deux. Les</w:t>
      </w:r>
      <w:r>
        <w:t xml:space="preserve"> </w:t>
      </w:r>
      <w:r>
        <w:rPr>
          <w:b/>
          <w:bCs/>
        </w:rPr>
        <w:t xml:space="preserve">productions</w:t>
      </w:r>
      <w:r>
        <w:t xml:space="preserve"> </w:t>
      </w:r>
      <w:r>
        <w:t xml:space="preserve">sont fortement variables entre États, reflétant les inégalités agro-climatiques du Nigeria. Enfin, l’utilisation d’engrais inorganique est associée à des différences statistiquement significatives de production pour le maïs, avec une taille d’effet substantielle.</w:t>
      </w:r>
    </w:p>
    <w:p>
      <w:pPr>
        <w:pStyle w:val="BodyText"/>
      </w:pPr>
      <w:r>
        <w:t xml:space="preserve">Ces résultats militent en faveur de politiques de diffusion des intrants dans les zones à faibles niveaux d’adoption, afin d’améliorer durablement la productivité agricole et la sécurité alimentaire au Nigeria.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Rapport généré avec R Markdown — GHS Panel Wave 4, Nigeria 2018/2019</w:t>
      </w:r>
    </w:p>
    <w:bookmarkEnd w:id="61"/>
    <w:sectPr>
      <w:headerReference r:id="rId9" w:type="default"/>
      <w:footerReference r:id="rId10" w:type="default"/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7BB6" w:sz="4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GHS Panel Wave 4 | Nigeria 2018/2019</w:t>
    </w:r>
    <w: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7BB6" w:sz="4" w:space="2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TP5 — Cultures, Intrants et Rendements Agricoles</w:t>
    </w:r>
    <w:r>
      <w:t xml:space="preserve">	</w:t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ENSAE Pierre Ndiaye | Groupe 16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  <w:rPr>
        <w:rFonts w:ascii="Symbol" w:cs="Symbol" w:eastAsia="Symbol" w:hAnsi="Symbol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497D"/>
      <w:sz w:val="28"/>
      <w:szCs w:val="28"/>
    </w:rPr>
  </w:style>
  <w:style w:styleId="Heading2" w:type="paragraph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C7BB6"/>
      <w:sz w:val="24"/>
      <w:szCs w:val="24"/>
    </w:rPr>
  </w:style>
  <w:style w:styleId="Heading3" w:type="paragraph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2C7BB6" w:space="4" w:sz="6" w:val="single"/>
      </w:pBdr>
      <w:spacing w:after="120" w:before="320"/>
      <w:outlineLvl w:val="0"/>
    </w:pPr>
    <w:rPr>
      <w:rFonts w:ascii="Calibri" w:cs="Calibri" w:eastAsia="Calibri" w:hAnsi="Calibri"/>
      <w:b/>
      <w:bCs/>
      <w:color w:val="1F497D"/>
      <w:sz w:val="28"/>
      <w:szCs w:val="28"/>
    </w:rPr>
  </w:style>
  <w:style w:styleId="Heading2" w:type="paragraph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C7BB6"/>
      <w:sz w:val="24"/>
      <w:szCs w:val="24"/>
    </w:rPr>
  </w:style>
  <w:style w:styleId="Heading3" w:type="paragraph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  <w:style w:styleId="Normal" w:type="paragraph">
    <w:name w:val="Normal"/>
    <w:qFormat/>
    <w:pPr>
      <w:spacing w:after="120" w:before="0" w:line="276"/>
    </w:pPr>
    <w:rPr>
      <w:rFonts w:ascii="Calibri" w:cs="Calibri" w:eastAsia="Calibri" w:hAnsi="Calibri"/>
      <w:color w:val="000000"/>
      <w:sz w:val="22"/>
      <w:szCs w:val="22"/>
    </w:rPr>
  </w:style>
  <w:style w:styleId="Caption" w:type="paragraph">
    <w:name w:val="Caption"/>
    <w:basedOn w:val="Normal"/>
    <w:pPr>
      <w:spacing w:after="120" w:before="60"/>
    </w:pPr>
    <w:rPr>
      <w:rFonts w:ascii="Calibri" w:cs="Calibri" w:eastAsia="Calibri" w:hAnsi="Calibri"/>
      <w:i/>
      <w:iCs/>
      <w:color w:val="595959"/>
      <w:sz w:val="18"/>
      <w:szCs w:val="18"/>
    </w:rPr>
  </w:style>
  <w:style w:styleId="TableHeading" w:type="paragraph">
    <w:name w:val="Table Heading"/>
    <w:basedOn w:val="Normal"/>
    <w:pPr>
      <w:spacing w:after="60" w:before="60"/>
      <w:jc w:val="center"/>
    </w:pPr>
    <w:rPr>
      <w:rFonts w:ascii="Calibri" w:cs="Calibri" w:eastAsia="Calibri" w:hAnsi="Calibri"/>
      <w:b/>
      <w:bCs/>
      <w:color w:val="FFFFFF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2026-04-18T19:03:51Z</dcterms:created>
  <dcterms:modified xsi:type="dcterms:W3CDTF">2026-04-18T19:03:51Z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