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2.png" ContentType="image/png"/>
  <Override PartName="/word/media/rId26.png" ContentType="image/png"/>
  <Override PartName="/word/media/rId3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 de l’Éducation et de l’Alphabétisation au sein des Ménages Nigérians</w:t>
      </w:r>
    </w:p>
    <w:p>
      <w:pPr>
        <w:pStyle w:val="Subtitle"/>
      </w:pPr>
      <w:r>
        <w:t xml:space="preserve">Exploitation des données GHS-W4 2018 — Rapport d’analyse | Groupe 7 | Herman YAMAHA — Bourama DIALLO | Sous la supervision de M. Aboubacar HEMA.</w:t>
      </w:r>
    </w:p>
    <w:p>
      <w:pPr>
        <w:pStyle w:val="Date"/>
      </w:pPr>
      <w:r>
        <w:t xml:space="preserve">24 mars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bookmarkStart w:id="20" w:name="introduction"/>
    <w:p>
      <w:pPr>
        <w:pStyle w:val="Heading1"/>
      </w:pPr>
      <w:r>
        <w:rPr>
          <w:rStyle w:val="SectionNumber"/>
        </w:rPr>
        <w:t xml:space="preserve">1</w:t>
      </w:r>
      <w:r>
        <w:tab/>
      </w:r>
      <w:r>
        <w:t xml:space="preserve">Introduction</w:t>
      </w:r>
    </w:p>
    <w:p>
      <w:pPr>
        <w:pStyle w:val="FirstParagraph"/>
      </w:pPr>
      <w:r>
        <w:t xml:space="preserve">Ce rapport présente une analyse synthétique du</w:t>
      </w:r>
      <w:r>
        <w:t xml:space="preserve"> </w:t>
      </w:r>
      <w:r>
        <w:rPr>
          <w:b/>
          <w:bCs/>
        </w:rPr>
        <w:t xml:space="preserve">niveau d’instruction</w:t>
      </w:r>
      <w:r>
        <w:t xml:space="preserve"> </w:t>
      </w:r>
      <w:r>
        <w:t xml:space="preserve">et de la</w:t>
      </w:r>
      <w:r>
        <w:t xml:space="preserve"> </w:t>
      </w:r>
      <w:r>
        <w:rPr>
          <w:b/>
          <w:bCs/>
        </w:rPr>
        <w:t xml:space="preserve">scolarisation</w:t>
      </w:r>
      <w:r>
        <w:t xml:space="preserve"> </w:t>
      </w:r>
      <w:r>
        <w:t xml:space="preserve">au sein des ménages nigérians à partir des données de la</w:t>
      </w:r>
      <w:r>
        <w:t xml:space="preserve"> </w:t>
      </w:r>
      <w:r>
        <w:rPr>
          <w:b/>
          <w:bCs/>
        </w:rPr>
        <w:t xml:space="preserve">General Household Survey, vague 4 (2018)</w:t>
      </w:r>
      <w:r>
        <w:t xml:space="preserve">. L’objectif est de décrire la situation éducative des individus et de mettre en évidence les principales disparités selon le</w:t>
      </w:r>
      <w:r>
        <w:t xml:space="preserve"> </w:t>
      </w:r>
      <w:r>
        <w:rPr>
          <w:b/>
          <w:bCs/>
        </w:rPr>
        <w:t xml:space="preserve">genre</w:t>
      </w:r>
      <w:r>
        <w:t xml:space="preserve">, la</w:t>
      </w:r>
      <w:r>
        <w:t xml:space="preserve"> </w:t>
      </w:r>
      <w:r>
        <w:rPr>
          <w:b/>
          <w:bCs/>
        </w:rPr>
        <w:t xml:space="preserve">classe d’âge</w:t>
      </w:r>
      <w:r>
        <w:t xml:space="preserve">, le</w:t>
      </w:r>
      <w:r>
        <w:t xml:space="preserve"> </w:t>
      </w:r>
      <w:r>
        <w:rPr>
          <w:b/>
          <w:bCs/>
        </w:rPr>
        <w:t xml:space="preserve">milieu de résidence</w:t>
      </w:r>
      <w:r>
        <w:t xml:space="preserve"> </w:t>
      </w:r>
      <w:r>
        <w:t xml:space="preserve">et l’</w:t>
      </w:r>
      <w:r>
        <w:rPr>
          <w:b/>
          <w:bCs/>
        </w:rPr>
        <w:t xml:space="preserve">État fédéré</w:t>
      </w:r>
      <w:r>
        <w:t xml:space="preserve">.</w:t>
      </w:r>
    </w:p>
    <w:p>
      <w:pPr>
        <w:pStyle w:val="BodyText"/>
      </w:pPr>
      <w:r>
        <w:t xml:space="preserve">Toutes les estimations sont calculées avec les</w:t>
      </w:r>
      <w:r>
        <w:t xml:space="preserve"> </w:t>
      </w:r>
      <w:r>
        <w:rPr>
          <w:b/>
          <w:bCs/>
        </w:rPr>
        <w:t xml:space="preserve">pondérations transversales</w:t>
      </w:r>
      <w:r>
        <w:rPr>
          <w:b/>
          <w:bCs/>
        </w:rPr>
        <w:t xml:space="preserve"> </w:t>
      </w:r>
      <w:r>
        <w:rPr>
          <w:rStyle w:val="VerbatimChar"/>
          <w:b/>
          <w:bCs/>
        </w:rPr>
        <w:t xml:space="preserve">wt_wave4</w:t>
      </w:r>
      <w:r>
        <w:t xml:space="preserve"> </w:t>
      </w:r>
      <w:r>
        <w:t xml:space="preserve">issues du fichier</w:t>
      </w:r>
      <w:r>
        <w:t xml:space="preserve"> </w:t>
      </w:r>
      <w:r>
        <w:rPr>
          <w:rStyle w:val="VerbatimChar"/>
        </w:rPr>
        <w:t xml:space="preserve">secta_harvestw4.dta</w:t>
      </w:r>
      <w:r>
        <w:t xml:space="preserve">, ce qui permet de généraliser les résultats à la population nigériane et non simplement de décrire l’échantillon.</w:t>
      </w:r>
    </w:p>
    <w:bookmarkEnd w:id="20"/>
    <w:bookmarkStart w:id="21" w:name="données-et-démarche-danalyse"/>
    <w:p>
      <w:pPr>
        <w:pStyle w:val="Heading1"/>
      </w:pPr>
      <w:r>
        <w:rPr>
          <w:rStyle w:val="SectionNumber"/>
        </w:rPr>
        <w:t xml:space="preserve">2</w:t>
      </w:r>
      <w:r>
        <w:tab/>
      </w:r>
      <w:r>
        <w:t xml:space="preserve">Données et démarche d’analyse</w:t>
      </w:r>
    </w:p>
    <w:p>
      <w:pPr>
        <w:pStyle w:val="FirstParagraph"/>
      </w:pPr>
      <w:r>
        <w:t xml:space="preserve">Les traitements mobilisent trois fichiers issus de la GHS-W4 : un fichier décrivant les caractéristiques individuelles (</w:t>
      </w:r>
      <w:r>
        <w:rPr>
          <w:rStyle w:val="VerbatimChar"/>
        </w:rPr>
        <w:t xml:space="preserve">sect1</w:t>
      </w:r>
      <w:r>
        <w:t xml:space="preserve">), un fichier éducatif (</w:t>
      </w:r>
      <w:r>
        <w:rPr>
          <w:rStyle w:val="VerbatimChar"/>
        </w:rPr>
        <w:t xml:space="preserve">sect2</w:t>
      </w:r>
      <w:r>
        <w:t xml:space="preserve">) et un fichier de pondération (</w:t>
      </w:r>
      <w:r>
        <w:rPr>
          <w:rStyle w:val="VerbatimChar"/>
        </w:rPr>
        <w:t xml:space="preserve">secta</w:t>
      </w:r>
      <w:r>
        <w:t xml:space="preserve">). Après appariement des données individuelles, une variable synthétique de</w:t>
      </w:r>
      <w:r>
        <w:t xml:space="preserve"> </w:t>
      </w:r>
      <w:r>
        <w:rPr>
          <w:b/>
          <w:bCs/>
        </w:rPr>
        <w:t xml:space="preserve">niveau d’instruction</w:t>
      </w:r>
      <w:r>
        <w:t xml:space="preserve"> </w:t>
      </w:r>
      <w:r>
        <w:t xml:space="preserve">a été construite en cinq modalités ordonnées :</w:t>
      </w:r>
      <w:r>
        <w:t xml:space="preserve"> </w:t>
      </w:r>
      <w:r>
        <w:rPr>
          <w:b/>
          <w:bCs/>
        </w:rPr>
        <w:t xml:space="preserve">Aucun</w:t>
      </w:r>
      <w:r>
        <w:t xml:space="preserve">,</w:t>
      </w:r>
      <w:r>
        <w:t xml:space="preserve"> </w:t>
      </w:r>
      <w:r>
        <w:rPr>
          <w:b/>
          <w:bCs/>
        </w:rPr>
        <w:t xml:space="preserve">Primaire</w:t>
      </w:r>
      <w:r>
        <w:t xml:space="preserve">,</w:t>
      </w:r>
      <w:r>
        <w:t xml:space="preserve"> </w:t>
      </w:r>
      <w:r>
        <w:rPr>
          <w:b/>
          <w:bCs/>
        </w:rPr>
        <w:t xml:space="preserve">Junior Secondary</w:t>
      </w:r>
      <w:r>
        <w:t xml:space="preserve">,</w:t>
      </w:r>
      <w:r>
        <w:t xml:space="preserve"> </w:t>
      </w:r>
      <w:r>
        <w:rPr>
          <w:b/>
          <w:bCs/>
        </w:rPr>
        <w:t xml:space="preserve">Senior Secondary</w:t>
      </w:r>
      <w:r>
        <w:t xml:space="preserve">,</w:t>
      </w:r>
      <w:r>
        <w:t xml:space="preserve"> </w:t>
      </w:r>
      <w:r>
        <w:rPr>
          <w:b/>
          <w:bCs/>
        </w:rPr>
        <w:t xml:space="preserve">Tertiaire</w:t>
      </w:r>
      <w:r>
        <w:t xml:space="preserve">.</w:t>
      </w:r>
    </w:p>
    <w:p>
      <w:pPr>
        <w:pStyle w:val="BodyText"/>
      </w:pPr>
      <w:r>
        <w:t xml:space="preserve">L’analyse est conduite sur deux sous-populations : les</w:t>
      </w:r>
      <w:r>
        <w:t xml:space="preserve"> </w:t>
      </w:r>
      <w:r>
        <w:rPr>
          <w:b/>
          <w:bCs/>
        </w:rPr>
        <w:t xml:space="preserve">adultes de 18 ans et plus</w:t>
      </w:r>
      <w:r>
        <w:t xml:space="preserve"> </w:t>
      </w:r>
      <w:r>
        <w:t xml:space="preserve">pour le niveau d’instruction, et les</w:t>
      </w:r>
      <w:r>
        <w:t xml:space="preserve"> </w:t>
      </w:r>
      <w:r>
        <w:rPr>
          <w:b/>
          <w:bCs/>
        </w:rPr>
        <w:t xml:space="preserve">enfants et adolescents de 6 à 17 ans</w:t>
      </w:r>
      <w:r>
        <w:t xml:space="preserve"> </w:t>
      </w:r>
      <w:r>
        <w:t xml:space="preserve">pour la scolarisation.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Sources mobilisées pour l'analyse — GHS Panel W4.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Fichier .dta</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Variables clés</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Rôle</w:t>
            </w:r>
          </w:p>
        </w:tc>
      </w:tr>
      <w:tr>
        <w:trPr>
          <w:trHeight w:val="617"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sect2_harvestw4.dta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s2aq13 (scolarisé), s2aq9 (classe), s2aq15 (niveau), s2aq10 (diplôme)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Données éducatives</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sect1_harvestw4.dta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s1q2 (sexe), s1q4 (âge), sector (milieu)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Démographie individuelle</w:t>
            </w:r>
          </w:p>
        </w:tc>
      </w:tr>
      <w:tr>
        <w:trPr>
          <w:trHeight w:val="617"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secta_harvestw4.dta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hhid, wt_wave4 (pondérations)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Pondérations</w:t>
            </w:r>
          </w:p>
        </w:tc>
      </w:tr>
    </w:tbl>
    <w:bookmarkEnd w:id="21"/>
    <w:bookmarkStart w:id="25" w:name="portrait-global-du-niveau-dinstruction"/>
    <w:p>
      <w:pPr>
        <w:pStyle w:val="Heading1"/>
      </w:pPr>
      <w:r>
        <w:rPr>
          <w:rStyle w:val="SectionNumber"/>
        </w:rPr>
        <w:t xml:space="preserve">3</w:t>
      </w:r>
      <w:r>
        <w:tab/>
      </w:r>
      <w:r>
        <w:t xml:space="preserve">Portrait global du niveau d’instruction</w:t>
      </w:r>
    </w:p>
    <w:p>
      <w:pPr>
        <w:pStyle w:val="FirstParagraph"/>
      </w:pPr>
      <w:r>
        <w:t xml:space="preserve">La structure éducative des adultes nigérians est fortement déséquilibrée. Avec</w:t>
      </w:r>
      <w:r>
        <w:t xml:space="preserve"> </w:t>
      </w:r>
      <w:r>
        <w:rPr>
          <w:b/>
          <w:bCs/>
        </w:rPr>
        <w:t xml:space="preserve">90.7%</w:t>
      </w:r>
      <w:r>
        <w:t xml:space="preserve"> </w:t>
      </w:r>
      <w:r>
        <w:t xml:space="preserve">des adultes sans aucun niveau d’instruction, le capital humain reste très limité dans une grande partie de la population. L’enseignement supérieur ne concerne que</w:t>
      </w:r>
      <w:r>
        <w:t xml:space="preserve"> </w:t>
      </w:r>
      <w:r>
        <w:rPr>
          <w:b/>
          <w:bCs/>
        </w:rPr>
        <w:t xml:space="preserve">3.8%</w:t>
      </w:r>
      <w:r>
        <w:t xml:space="preserve"> </w:t>
      </w:r>
      <w:r>
        <w:t xml:space="preserve">des adultes.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Répartition du niveau d'instruction chez les adultes de 18 ans et plus — GHS-W4.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17"/>
        <w:gridCol w:w="1242"/>
        <w:gridCol w:w="1523"/>
        <w:gridCol w:w="164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Niveau d'instruction</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Part (%)</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IC inf. 95%</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IC sup. 95%</w:t>
            </w:r>
          </w:p>
        </w:tc>
      </w:tr>
      <w:tr>
        <w:trPr>
          <w:trHeight w:val="571" w:hRule="auto"/>
        </w:trPr>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Aucun</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90.7</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89.9</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91.6</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Primaire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Junior Secondary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Senior Secondary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r>
      <w:tr>
        <w:trPr>
          <w:trHeight w:val="57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Tertiaire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r>
    </w:tbl>
    <w:p>
      <w:pPr>
        <w:pStyle w:val="CaptionedFigure"/>
      </w:pPr>
      <w:r>
        <w:drawing>
          <wp:inline>
            <wp:extent cx="5334000" cy="3867149"/>
            <wp:effectExtent b="0" l="0" r="0" t="0"/>
            <wp:docPr descr="Répartition du niveau d’instruction des adultes (18 ans et +). Barres d’erreur : IC 95%. Source : GHS-W4, Nigeria 2018." title="" id="23" name="Picture"/>
            <a:graphic>
              <a:graphicData uri="http://schemas.openxmlformats.org/drawingml/2006/picture">
                <pic:pic>
                  <pic:nvPicPr>
                    <pic:cNvPr descr="Rapport_educ_alphabetisation_menages_files/figure-docx/fig_barplot-1.png" id="24" name="Picture"/>
                    <pic:cNvPicPr>
                      <a:picLocks noChangeArrowheads="1" noChangeAspect="1"/>
                    </pic:cNvPicPr>
                  </pic:nvPicPr>
                  <pic:blipFill>
                    <a:blip r:embed="rId22"/>
                    <a:stretch>
                      <a:fillRect/>
                    </a:stretch>
                  </pic:blipFill>
                  <pic:spPr bwMode="auto">
                    <a:xfrm>
                      <a:off x="0" y="0"/>
                      <a:ext cx="5334000" cy="3867149"/>
                    </a:xfrm>
                    <a:prstGeom prst="rect">
                      <a:avLst/>
                    </a:prstGeom>
                    <a:noFill/>
                    <a:ln w="9525">
                      <a:noFill/>
                      <a:headEnd/>
                      <a:tailEnd/>
                    </a:ln>
                  </pic:spPr>
                </pic:pic>
              </a:graphicData>
            </a:graphic>
          </wp:inline>
        </w:drawing>
      </w:r>
    </w:p>
    <w:p>
      <w:pPr>
        <w:pStyle w:val="ImageCaption"/>
      </w:pPr>
      <w:r>
        <w:t xml:space="preserve">Répartition du niveau d’instruction des adultes (18 ans et +). Barres d’erreur : IC 95%. Source : GHS-W4, Nigeria 2018.</w:t>
      </w:r>
    </w:p>
    <w:p>
      <w:pPr>
        <w:pStyle w:val="BodyText"/>
      </w:pPr>
      <w:r>
        <w:t xml:space="preserve">L’histogramme met en évidence une hiérarchie éducative marquée, avec la catégorie</w:t>
      </w:r>
      <w:r>
        <w:t xml:space="preserve"> </w:t>
      </w:r>
      <w:r>
        <w:rPr>
          <w:b/>
          <w:bCs/>
        </w:rPr>
        <w:t xml:space="preserve">Aucun</w:t>
      </w:r>
      <w:r>
        <w:t xml:space="preserve"> </w:t>
      </w:r>
      <w:r>
        <w:t xml:space="preserve">largement dominante. Ce résultat traduit un accès historiquement inégal à l’éducation et confirme que l’amélioration de la scolarisation récente n’a pas encore transformé la structure éducative des générations adultes.</w:t>
      </w:r>
    </w:p>
    <w:bookmarkEnd w:id="25"/>
    <w:bookmarkStart w:id="29" w:name="inégalités-éducatives-selon-le-genre"/>
    <w:p>
      <w:pPr>
        <w:pStyle w:val="Heading1"/>
      </w:pPr>
      <w:r>
        <w:rPr>
          <w:rStyle w:val="SectionNumber"/>
        </w:rPr>
        <w:t xml:space="preserve">4</w:t>
      </w:r>
      <w:r>
        <w:tab/>
      </w:r>
      <w:r>
        <w:t xml:space="preserve">Inégalités éducatives selon le genre</w:t>
      </w:r>
    </w:p>
    <w:p>
      <w:pPr>
        <w:pStyle w:val="CaptionedFigure"/>
      </w:pPr>
      <w:r>
        <w:drawing>
          <wp:inline>
            <wp:extent cx="5334000" cy="3867149"/>
            <wp:effectExtent b="0" l="0" r="0" t="0"/>
            <wp:docPr descr="Structure du niveau d’instruction selon le genre — adultes 18+. Source : GHS-W4, Nigeria 2018." title="" id="27" name="Picture"/>
            <a:graphic>
              <a:graphicData uri="http://schemas.openxmlformats.org/drawingml/2006/picture">
                <pic:pic>
                  <pic:nvPicPr>
                    <pic:cNvPr descr="Rapport_educ_alphabetisation_menages_files/figure-docx/fig_genre-1.png" id="28" name="Picture"/>
                    <pic:cNvPicPr>
                      <a:picLocks noChangeArrowheads="1" noChangeAspect="1"/>
                    </pic:cNvPicPr>
                  </pic:nvPicPr>
                  <pic:blipFill>
                    <a:blip r:embed="rId26"/>
                    <a:stretch>
                      <a:fillRect/>
                    </a:stretch>
                  </pic:blipFill>
                  <pic:spPr bwMode="auto">
                    <a:xfrm>
                      <a:off x="0" y="0"/>
                      <a:ext cx="5334000" cy="3867149"/>
                    </a:xfrm>
                    <a:prstGeom prst="rect">
                      <a:avLst/>
                    </a:prstGeom>
                    <a:noFill/>
                    <a:ln w="9525">
                      <a:noFill/>
                      <a:headEnd/>
                      <a:tailEnd/>
                    </a:ln>
                  </pic:spPr>
                </pic:pic>
              </a:graphicData>
            </a:graphic>
          </wp:inline>
        </w:drawing>
      </w:r>
    </w:p>
    <w:p>
      <w:pPr>
        <w:pStyle w:val="ImageCaption"/>
      </w:pPr>
      <w:r>
        <w:t xml:space="preserve">Structure du niveau d’instruction selon le genre — adultes 18+. Source : GHS-W4, Nigeria 2018.</w:t>
      </w:r>
    </w:p>
    <w:p>
      <w:pPr>
        <w:pStyle w:val="BodyText"/>
      </w:pPr>
      <w:r>
        <w:t xml:space="preserve">Le test du</w:t>
      </w:r>
      <w:r>
        <w:t xml:space="preserve"> </w:t>
      </w:r>
      <w:r>
        <w:rPr>
          <w:b/>
          <w:bCs/>
        </w:rPr>
        <w:t xml:space="preserve">Chi-deux</w:t>
      </w:r>
      <w:r>
        <w:t xml:space="preserve"> </w:t>
      </w:r>
      <w:r>
        <w:t xml:space="preserve">confirme que la relation entre genre et niveau d’instruction est statistiquement significative. Le</w:t>
      </w:r>
      <w:r>
        <w:t xml:space="preserve"> </w:t>
      </w:r>
      <w:r>
        <w:rPr>
          <w:b/>
          <w:bCs/>
        </w:rPr>
        <w:t xml:space="preserve">V de Cramer</w:t>
      </w:r>
      <w:r>
        <w:t xml:space="preserve"> </w:t>
      </w:r>
      <w:r>
        <w:t xml:space="preserve">indique une intensité modérée de l’association.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Association entre genre et niveau d'instruction — GHS-W4.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85"/>
        <w:gridCol w:w="1151"/>
      </w:tblGrid>
      <w:tr>
        <w:trPr>
          <w:trHeight w:val="571"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Indicateur</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Valeur</w:t>
            </w:r>
          </w:p>
        </w:tc>
      </w:tr>
      <w:tr>
        <w:trPr>
          <w:trHeight w:val="615"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Statistique du Chi-deux</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79.76</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p-valeur</w:t>
            </w:r>
          </w:p>
        </w:tc>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0,001</w:t>
            </w:r>
          </w:p>
        </w:tc>
      </w:tr>
      <w:tr>
        <w:trPr>
          <w:trHeight w:val="57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 de Cramer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r>
    </w:tbl>
    <w:p>
      <w:pPr>
        <w:pStyle w:val="BodyText"/>
      </w:pPr>
      <w:r>
        <w:t xml:space="preserve">Les femmes sont relativement plus nombreuses dans les faibles niveaux d’instruction, tandis que les hommes sont davantage représentés dans les catégories supérieures. Ce résultat suggère que les femmes ont été historiquement plus exposées aux contraintes d’accès à l’école.</w:t>
      </w:r>
    </w:p>
    <w:bookmarkEnd w:id="29"/>
    <w:bookmarkStart w:id="33" w:name="X8383e51a59b72f08ebb42c8e986e19839d245e9"/>
    <w:p>
      <w:pPr>
        <w:pStyle w:val="Heading1"/>
      </w:pPr>
      <w:r>
        <w:rPr>
          <w:rStyle w:val="SectionNumber"/>
        </w:rPr>
        <w:t xml:space="preserve">5</w:t>
      </w:r>
      <w:r>
        <w:tab/>
      </w:r>
      <w:r>
        <w:t xml:space="preserve">Effet de l’âge et dynamique générationnelle</w:t>
      </w:r>
    </w:p>
    <w:p>
      <w:pPr>
        <w:pStyle w:val="CaptionedFigure"/>
      </w:pPr>
      <w:r>
        <w:drawing>
          <wp:inline>
            <wp:extent cx="5334000" cy="3867149"/>
            <wp:effectExtent b="0" l="0" r="0" t="0"/>
            <wp:docPr descr="Niveau d’instruction par tranche d’âge — adultes 18+. Source : GHS-W4, Nigeria 2018." title="" id="31" name="Picture"/>
            <a:graphic>
              <a:graphicData uri="http://schemas.openxmlformats.org/drawingml/2006/picture">
                <pic:pic>
                  <pic:nvPicPr>
                    <pic:cNvPr descr="Rapport_educ_alphabetisation_menages_files/figure-docx/fig_age-1.png" id="32" name="Picture"/>
                    <pic:cNvPicPr>
                      <a:picLocks noChangeArrowheads="1" noChangeAspect="1"/>
                    </pic:cNvPicPr>
                  </pic:nvPicPr>
                  <pic:blipFill>
                    <a:blip r:embed="rId30"/>
                    <a:stretch>
                      <a:fillRect/>
                    </a:stretch>
                  </pic:blipFill>
                  <pic:spPr bwMode="auto">
                    <a:xfrm>
                      <a:off x="0" y="0"/>
                      <a:ext cx="5334000" cy="3867149"/>
                    </a:xfrm>
                    <a:prstGeom prst="rect">
                      <a:avLst/>
                    </a:prstGeom>
                    <a:noFill/>
                    <a:ln w="9525">
                      <a:noFill/>
                      <a:headEnd/>
                      <a:tailEnd/>
                    </a:ln>
                  </pic:spPr>
                </pic:pic>
              </a:graphicData>
            </a:graphic>
          </wp:inline>
        </w:drawing>
      </w:r>
    </w:p>
    <w:p>
      <w:pPr>
        <w:pStyle w:val="ImageCaption"/>
      </w:pPr>
      <w:r>
        <w:t xml:space="preserve">Niveau d’instruction par tranche d’âge — adultes 18+. Source : GHS-W4, Nigeria 2018.</w:t>
      </w:r>
    </w:p>
    <w:p>
      <w:pPr>
        <w:pStyle w:val="BodyText"/>
      </w:pPr>
      <w:r>
        <w:t xml:space="preserve">Le test de</w:t>
      </w:r>
      <w:r>
        <w:t xml:space="preserve"> </w:t>
      </w:r>
      <w:r>
        <w:rPr>
          <w:b/>
          <w:bCs/>
        </w:rPr>
        <w:t xml:space="preserve">Kruskal-Wallis</w:t>
      </w:r>
      <w:r>
        <w:t xml:space="preserve"> </w:t>
      </w:r>
      <w:r>
        <w:t xml:space="preserve">montre des différences significatives entre les groupes d’âge (H = 1304.8, p &lt; 0,001). Les comparaisons post-hoc de Dunn confirment que les jeunes adultes se distinguent de leurs aînés par un niveau d’instruction plus élevé, signe d’une expansion progressive de la scolarisation.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Comparaisons multiples entre groupes d'âge (test de Dunn, correction Bonferroni).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76"/>
        <w:gridCol w:w="1376"/>
        <w:gridCol w:w="1242"/>
        <w:gridCol w:w="1731"/>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Groupe 1</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Groupe 2</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 ajusté</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Signification</w:t>
            </w:r>
          </w:p>
        </w:tc>
      </w:tr>
      <w:tr>
        <w:trPr>
          <w:trHeight w:val="572" w:hRule="auto"/>
        </w:trPr>
        <w:tc>
          <w:tcPr>
            <w:tcBorders>
              <w:bottom w:val="single" w:sz="6" w:space="0" w:color="666666"/>
              <w:top w:val="single" w:sz="12"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18-30</w:t>
            </w:r>
          </w:p>
        </w:tc>
        <w:tc>
          <w:tcPr>
            <w:tcBorders>
              <w:bottom w:val="single" w:sz="6" w:space="0" w:color="666666"/>
              <w:top w:val="single" w:sz="12"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31-45</w:t>
            </w:r>
          </w:p>
        </w:tc>
        <w:tc>
          <w:tcPr>
            <w:tcBorders>
              <w:bottom w:val="single" w:sz="6" w:space="0" w:color="666666"/>
              <w:top w:val="single" w:sz="12"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0.0000</w:t>
            </w:r>
          </w:p>
        </w:tc>
        <w:tc>
          <w:tcPr>
            <w:tcBorders>
              <w:bottom w:val="single" w:sz="6" w:space="0" w:color="666666"/>
              <w:top w:val="single" w:sz="12"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18-30</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46-60</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0.0000</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18-30</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0.0000</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ns</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ns</w:t>
            </w:r>
          </w:p>
        </w:tc>
      </w:tr>
      <w:tr>
        <w:trPr>
          <w:trHeight w:val="571"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46-60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ns</w:t>
            </w:r>
          </w:p>
        </w:tc>
      </w:tr>
    </w:tbl>
    <w:bookmarkEnd w:id="33"/>
    <w:bookmarkStart w:id="37" w:name="X8295bcdb399a1b9a9442117df0a079e48d56e13"/>
    <w:p>
      <w:pPr>
        <w:pStyle w:val="Heading1"/>
      </w:pPr>
      <w:r>
        <w:rPr>
          <w:rStyle w:val="SectionNumber"/>
        </w:rPr>
        <w:t xml:space="preserve">6</w:t>
      </w:r>
      <w:r>
        <w:tab/>
      </w:r>
      <w:r>
        <w:t xml:space="preserve">Scolarisation des 6-17 ans selon le milieu de résidence</w:t>
      </w:r>
    </w:p>
    <w:p>
      <w:pPr>
        <w:pStyle w:val="CaptionedFigure"/>
      </w:pPr>
      <w:r>
        <w:drawing>
          <wp:inline>
            <wp:extent cx="5334000" cy="4000500"/>
            <wp:effectExtent b="0" l="0" r="0" t="0"/>
            <wp:docPr descr="Taux de scolarisation des 6-17 ans selon le milieu de résidence. IC 95%. Source : GHS-W4, Nigeria 2018." title="" id="35" name="Picture"/>
            <a:graphic>
              <a:graphicData uri="http://schemas.openxmlformats.org/drawingml/2006/picture">
                <pic:pic>
                  <pic:nvPicPr>
                    <pic:cNvPr descr="Rapport_educ_alphabetisation_menages_files/figure-docx/fig_scol-1.pn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Taux de scolarisation des 6-17 ans selon le milieu de résidence. IC 95%. Source : GHS-W4, Nigeria 2018.</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Taux de scolarisation des 6-17 ans par milieu de résidence — GHS-W4.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59"/>
        <w:gridCol w:w="1327"/>
        <w:gridCol w:w="1523"/>
        <w:gridCol w:w="164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Milieu</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Taux (%)</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IC inf. 95%</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IC sup. 95%</w:t>
            </w:r>
          </w:p>
        </w:tc>
      </w:tr>
      <w:tr>
        <w:trPr>
          <w:trHeight w:val="571"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Rural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91.4</w:t>
            </w:r>
          </w:p>
        </w:tc>
      </w:tr>
      <w:tr>
        <w:trPr>
          <w:trHeight w:val="57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Urbain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95.0</w:t>
            </w:r>
          </w:p>
        </w:tc>
      </w:tr>
    </w:tbl>
    <w:p>
      <w:pPr>
        <w:pStyle w:val="BodyText"/>
      </w:pPr>
      <w:r>
        <w:t xml:space="preserve">Le taux de scolarisation urbain (</w:t>
      </w:r>
      <w:r>
        <w:rPr>
          <w:b/>
          <w:bCs/>
        </w:rPr>
        <w:t xml:space="preserve">93.1%</w:t>
      </w:r>
      <w:r>
        <w:t xml:space="preserve">) dépasse nettement celui des zones rurales (</w:t>
      </w:r>
      <w:r>
        <w:rPr>
          <w:b/>
          <w:bCs/>
        </w:rPr>
        <w:t xml:space="preserve">90.2%</w:t>
      </w:r>
      <w:r>
        <w:t xml:space="preserve">). L’écart est statistiquement significatif (p &lt; 0,001) et reflète une densité plus forte de l’offre scolaire en milieu urbain, des coûts d’accès moindres et une moindre concurrence entre temps scolaire et activités économiques familiales. Ces inégalités se forment dès l’enfance et alimentent la reproduction des disparités entre générations.</w:t>
      </w:r>
    </w:p>
    <w:bookmarkEnd w:id="37"/>
    <w:bookmarkStart w:id="41" w:name="X0e2635bf18808004b5f71805ebec5683a2d7098"/>
    <w:p>
      <w:pPr>
        <w:pStyle w:val="Heading1"/>
      </w:pPr>
      <w:r>
        <w:rPr>
          <w:rStyle w:val="SectionNumber"/>
        </w:rPr>
        <w:t xml:space="preserve">7</w:t>
      </w:r>
      <w:r>
        <w:tab/>
      </w:r>
      <w:r>
        <w:t xml:space="preserve">Disparités territoriales entre États fédérés</w:t>
      </w:r>
    </w:p>
    <w:p>
      <w:pPr>
        <w:pStyle w:val="CaptionedFigure"/>
      </w:pPr>
      <w:r>
        <w:drawing>
          <wp:inline>
            <wp:extent cx="4267200" cy="6982690"/>
            <wp:effectExtent b="0" l="0" r="0" t="0"/>
            <wp:docPr descr="Proportion d’adultes sans instruction par État — GHS Wave 4, 2018." title="" id="39" name="Picture"/>
            <a:graphic>
              <a:graphicData uri="http://schemas.openxmlformats.org/drawingml/2006/picture">
                <pic:pic>
                  <pic:nvPicPr>
                    <pic:cNvPr descr="Rapport_educ_alphabetisation_menages_files/figure-docx/fig_heatmap1-1.png" id="40" name="Picture"/>
                    <pic:cNvPicPr>
                      <a:picLocks noChangeArrowheads="1" noChangeAspect="1"/>
                    </pic:cNvPicPr>
                  </pic:nvPicPr>
                  <pic:blipFill>
                    <a:blip r:embed="rId38"/>
                    <a:stretch>
                      <a:fillRect/>
                    </a:stretch>
                  </pic:blipFill>
                  <pic:spPr bwMode="auto">
                    <a:xfrm>
                      <a:off x="0" y="0"/>
                      <a:ext cx="4267200" cy="6982690"/>
                    </a:xfrm>
                    <a:prstGeom prst="rect">
                      <a:avLst/>
                    </a:prstGeom>
                    <a:noFill/>
                    <a:ln w="9525">
                      <a:noFill/>
                      <a:headEnd/>
                      <a:tailEnd/>
                    </a:ln>
                  </pic:spPr>
                </pic:pic>
              </a:graphicData>
            </a:graphic>
          </wp:inline>
        </w:drawing>
      </w:r>
    </w:p>
    <w:p>
      <w:pPr>
        <w:pStyle w:val="ImageCaption"/>
      </w:pPr>
      <w:r>
        <w:t xml:space="preserve">Proportion d’adultes sans instruction par État — GHS Wave 4, 2018.</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Dix États les plus touchés par la non-instruction des adultes.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30"/>
        <w:gridCol w:w="2367"/>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État</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 sans instruction</w:t>
            </w:r>
          </w:p>
        </w:tc>
      </w:tr>
      <w:tr>
        <w:trPr>
          <w:trHeight w:val="571" w:hRule="auto"/>
        </w:trPr>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Kebbi</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98.2</w:t>
            </w:r>
          </w:p>
        </w:tc>
      </w:tr>
      <w:tr>
        <w:trPr>
          <w:trHeight w:val="573" w:hRule="auto"/>
        </w:trPr>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Zamfara</w:t>
            </w:r>
          </w:p>
        </w:tc>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97.0</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Sokoto</w:t>
            </w:r>
          </w:p>
        </w:tc>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96.2</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Ekiti</w:t>
            </w:r>
          </w:p>
        </w:tc>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95.3</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Ogun</w:t>
            </w:r>
          </w:p>
        </w:tc>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95.1</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Oyo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94.8</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Borno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94.7</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Bayelsa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94.6</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Lagos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94.2</w:t>
            </w:r>
          </w:p>
        </w:tc>
      </w:tr>
      <w:tr>
        <w:trPr>
          <w:trHeight w:val="571"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Bauchi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94.0</w:t>
            </w:r>
          </w:p>
        </w:tc>
      </w:tr>
    </w:tbl>
    <w:p>
      <w:pPr>
        <w:pStyle w:val="BodyText"/>
      </w:pPr>
      <w:r>
        <w:t xml:space="preserve">Un clivage territorial marqué oppose les États du Nord, globalement les plus touchés par la non-instruction, aux États du Sud et du centre-sud qui présentent des profils plus favorables. Ce contraste met en évidence que la question éducative est aussi une question de développement régional.</w:t>
      </w:r>
    </w:p>
    <w:p>
      <w:pPr>
        <w:pStyle w:val="BodyText"/>
      </w:pPr>
      <w:r>
        <w:t xml:space="preserve">La ventilation complète du niveau d’instruction pour chacun des 37 États nigérians (5 niveaux, proportions pondérées) est disponible dans la feuille</w:t>
      </w:r>
      <w:r>
        <w:t xml:space="preserve"> </w:t>
      </w:r>
      <w:r>
        <w:rPr>
          <w:b/>
          <w:bCs/>
        </w:rPr>
        <w:t xml:space="preserve">Niveaux_par_Etat</w:t>
      </w:r>
      <w:r>
        <w:t xml:space="preserve"> </w:t>
      </w:r>
      <w:r>
        <w:t xml:space="preserve">du fichier</w:t>
      </w:r>
      <w:r>
        <w:t xml:space="preserve"> </w:t>
      </w:r>
      <w:r>
        <w:rPr>
          <w:rStyle w:val="VerbatimChar"/>
        </w:rPr>
        <w:t xml:space="preserve">outputs/tableau_gtsummary.xlsx</w:t>
      </w:r>
      <w:r>
        <w:t xml:space="preserve">.</w:t>
      </w:r>
    </w:p>
    <w:bookmarkEnd w:id="41"/>
    <w:bookmarkStart w:id="42" w:name="conclusion-générale"/>
    <w:p>
      <w:pPr>
        <w:pStyle w:val="Heading1"/>
      </w:pPr>
      <w:r>
        <w:rPr>
          <w:rStyle w:val="SectionNumber"/>
        </w:rPr>
        <w:t xml:space="preserve">8</w:t>
      </w:r>
      <w:r>
        <w:tab/>
      </w:r>
      <w:r>
        <w:t xml:space="preserve">Conclusion générale</w:t>
      </w:r>
    </w:p>
    <w:p>
      <w:pPr>
        <w:pStyle w:val="FirstParagraph"/>
      </w:pPr>
      <w:r>
        <w:t xml:space="preserve">L’analyse met en évidence quatre enseignements majeurs. Premièrement, le</w:t>
      </w:r>
      <w:r>
        <w:t xml:space="preserve"> </w:t>
      </w:r>
      <w:r>
        <w:rPr>
          <w:b/>
          <w:bCs/>
        </w:rPr>
        <w:t xml:space="preserve">niveau d’instruction des adultes reste globalement faible</w:t>
      </w:r>
      <w:r>
        <w:t xml:space="preserve">, avec 90.7% sans aucune instruction. Deuxièmement, des</w:t>
      </w:r>
      <w:r>
        <w:t xml:space="preserve"> </w:t>
      </w:r>
      <w:r>
        <w:rPr>
          <w:b/>
          <w:bCs/>
        </w:rPr>
        <w:t xml:space="preserve">inégalités de genre</w:t>
      </w:r>
      <w:r>
        <w:t xml:space="preserve"> </w:t>
      </w:r>
      <w:r>
        <w:t xml:space="preserve">persistent, au détriment des femmes. Troisièmement, les</w:t>
      </w:r>
      <w:r>
        <w:t xml:space="preserve"> </w:t>
      </w:r>
      <w:r>
        <w:rPr>
          <w:b/>
          <w:bCs/>
        </w:rPr>
        <w:t xml:space="preserve">jeunes générations apparaissent mieux instruites</w:t>
      </w:r>
      <w:r>
        <w:t xml:space="preserve">, signe d’une expansion progressive de la scolarisation. Quatrièmement, les écarts les plus nets se lisent dans l’espace : le</w:t>
      </w:r>
      <w:r>
        <w:t xml:space="preserve"> </w:t>
      </w:r>
      <w:r>
        <w:rPr>
          <w:b/>
          <w:bCs/>
        </w:rPr>
        <w:t xml:space="preserve">milieu rural</w:t>
      </w:r>
      <w:r>
        <w:t xml:space="preserve"> </w:t>
      </w:r>
      <w:r>
        <w:t xml:space="preserve">et plusieurs</w:t>
      </w:r>
      <w:r>
        <w:t xml:space="preserve"> </w:t>
      </w:r>
      <w:r>
        <w:rPr>
          <w:b/>
          <w:bCs/>
        </w:rPr>
        <w:t xml:space="preserve">États du Nord</w:t>
      </w:r>
      <w:r>
        <w:t xml:space="preserve"> </w:t>
      </w:r>
      <w:r>
        <w:t xml:space="preserve">cumulent les situations les plus défavorables.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Résumé des principaux résultats — GHS-W4, Nigeria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38"/>
        <w:gridCol w:w="5229"/>
      </w:tblGrid>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Dimension</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Résultat</w:t>
            </w:r>
          </w:p>
        </w:tc>
      </w:tr>
      <w:tr>
        <w:trPr>
          <w:trHeight w:val="577"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Portrait national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90.7% des adultes sans instruction</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Genre</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Association significative (V de Cramer = 0.077)</w:t>
            </w:r>
          </w:p>
        </w:tc>
      </w:tr>
      <w:tr>
        <w:trPr>
          <w:trHeight w:val="65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Âge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 = 1304.8 — les 18-30 ans sont mieux instruits</w:t>
            </w:r>
          </w:p>
        </w:tc>
      </w:tr>
      <w:tr>
        <w:trPr>
          <w:trHeight w:val="577"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Milieu de résidence</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Scolarisation : 93.1% en urbain vs 90.2% en rural</w:t>
            </w:r>
          </w:p>
        </w:tc>
      </w:tr>
      <w:tr>
        <w:trPr>
          <w:trHeight w:val="65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Disparités territoriales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Écarts très marqués (Nord vs Sud)</w:t>
            </w:r>
          </w:p>
        </w:tc>
      </w:tr>
    </w:tbl>
    <w:bookmarkEnd w:id="42"/>
    <w:bookmarkStart w:id="43" w:name="références"/>
    <w:p>
      <w:pPr>
        <w:pStyle w:val="Heading1"/>
      </w:pPr>
      <w:r>
        <w:t xml:space="preserve">Références</w:t>
      </w:r>
    </w:p>
    <w:p>
      <w:pPr>
        <w:pStyle w:val="Compact"/>
        <w:numPr>
          <w:ilvl w:val="0"/>
          <w:numId w:val="1001"/>
        </w:numPr>
      </w:pPr>
      <w:r>
        <w:t xml:space="preserve">World Bank (2019).</w:t>
      </w:r>
      <w:r>
        <w:t xml:space="preserve"> </w:t>
      </w:r>
      <w:r>
        <w:rPr>
          <w:i/>
          <w:iCs/>
        </w:rPr>
        <w:t xml:space="preserve">Nigeria General Household Survey Panel 2018-2019, Wave 4</w:t>
      </w:r>
      <w:r>
        <w:t xml:space="preserve">. LSMS-ISA. Washington DC : The World Bank.</w:t>
      </w:r>
    </w:p>
    <w:p>
      <w:pPr>
        <w:pStyle w:val="Compact"/>
        <w:numPr>
          <w:ilvl w:val="0"/>
          <w:numId w:val="1001"/>
        </w:numPr>
      </w:pPr>
      <w:r>
        <w:t xml:space="preserve">Lumley, T. (2010).</w:t>
      </w:r>
      <w:r>
        <w:t xml:space="preserve"> </w:t>
      </w:r>
      <w:r>
        <w:rPr>
          <w:i/>
          <w:iCs/>
        </w:rPr>
        <w:t xml:space="preserve">Complex Surveys: A Guide to Analysis Using R</w:t>
      </w:r>
      <w:r>
        <w:t xml:space="preserve">. Hoboken : Wiley.</w:t>
      </w:r>
    </w:p>
    <w:p>
      <w:pPr>
        <w:pStyle w:val="Compact"/>
        <w:numPr>
          <w:ilvl w:val="0"/>
          <w:numId w:val="1001"/>
        </w:numPr>
      </w:pPr>
      <w:r>
        <w:t xml:space="preserve">Dunn, O. J. (1964). Multiple comparisons using rank sums.</w:t>
      </w:r>
      <w:r>
        <w:t xml:space="preserve"> </w:t>
      </w:r>
      <w:r>
        <w:rPr>
          <w:i/>
          <w:iCs/>
        </w:rPr>
        <w:t xml:space="preserve">Technometrics</w:t>
      </w:r>
      <w:r>
        <w:t xml:space="preserve">, 6(3), 241-252.</w:t>
      </w:r>
    </w:p>
    <w:p>
      <w:pPr>
        <w:pStyle w:val="Compact"/>
        <w:numPr>
          <w:ilvl w:val="0"/>
          <w:numId w:val="1001"/>
        </w:numPr>
      </w:pPr>
      <w:r>
        <w:t xml:space="preserve">Cramér, H. (1946).</w:t>
      </w:r>
      <w:r>
        <w:t xml:space="preserve"> </w:t>
      </w:r>
      <w:r>
        <w:rPr>
          <w:i/>
          <w:iCs/>
        </w:rPr>
        <w:t xml:space="preserve">Mathematical Methods of Statistics</w:t>
      </w:r>
      <w:r>
        <w:t xml:space="preserve">. Princeton University Press.</w:t>
      </w:r>
    </w:p>
    <w:p>
      <w:r>
        <w:pict>
          <v:rect style="width:0;height:1.5pt" o:hralign="center" o:hrstd="t" o:hr="t"/>
        </w:pict>
      </w:r>
    </w:p>
    <w:p>
      <w:pPr>
        <w:pStyle w:val="FirstParagraph"/>
      </w:pPr>
      <w:r>
        <w:rPr>
          <w:i/>
          <w:iCs/>
        </w:rPr>
        <w:t xml:space="preserve">Rapport produit avec R Markdown dans le cadre du cours de Projet Statistique sous R et Python — ENSAE Pierre Ndiaye, 2025-2026.</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 l’Éducation et de l’Alphabétisation au sein des Ménages Nigérians</dc:title>
  <dc:creator/>
  <cp:keywords/>
  <dcterms:created xsi:type="dcterms:W3CDTF">2026-03-24T11:47:43Z</dcterms:created>
  <dcterms:modified xsi:type="dcterms:W3CDTF">2026-03-24T11:47:43Z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Exploitation des données GHS-W4 2018 — Rapport d’analyse | Groupe 7 | Herman YAMAHA — Bourama DIALLO | Sous la supervision de M. Aboubacar HEMA.</vt:lpwstr>
  </property>
</Properties>
</file>