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7B0000"/>
          <w:sz w:val="52"/>
          <w:szCs w:val="52"/>
        </w:rPr>
        <w:t xml:space="preserve">Bases de données sur les violences politiques</w:t>
      </w:r>
    </w:p>
    <w:p>
      <w:pPr>
        <w:spacing w:before="0" w:after="200"/>
        <w:jc w:val="center"/>
      </w:pPr>
      <w:r>
        <w:rPr>
          <w:rFonts w:ascii="Arial" w:cs="Arial" w:eastAsia="Arial" w:hAnsi="Arial"/>
          <w:b/>
          <w:bCs/>
          <w:color w:val="7B0000"/>
          <w:sz w:val="48"/>
          <w:szCs w:val="48"/>
        </w:rPr>
        <w:t xml:space="preserve">en Afrique subsaharienne</w:t>
      </w:r>
    </w:p>
    <w:p>
      <w:pPr>
        <w:spacing w:before="200" w:after="200"/>
        <w:jc w:val="center"/>
      </w:pPr>
      <w:r>
        <w:rPr>
          <w:rFonts w:ascii="Arial" w:cs="Arial" w:eastAsia="Arial" w:hAnsi="Arial"/>
          <w:i/>
          <w:iCs/>
          <w:color w:val="555555"/>
          <w:sz w:val="26"/>
          <w:szCs w:val="26"/>
        </w:rPr>
        <w:t xml:space="preserve">Description, sections couvertes, sources et liens de téléchargement</w:t>
      </w:r>
    </w:p>
    <w:p>
      <w:pPr>
        <w:spacing w:before="200" w:after="1440"/>
        <w:jc w:val="center"/>
      </w:pPr>
      <w:r>
        <w:rPr>
          <w:rFonts w:ascii="Arial" w:cs="Arial" w:eastAsia="Arial" w:hAnsi="Arial"/>
          <w:color w:val="777777"/>
          <w:sz w:val="22"/>
          <w:szCs w:val="22"/>
        </w:rPr>
        <w:t xml:space="preserve">Février 2026</w:t>
      </w:r>
    </w:p>
    <w:p>
      <w:r>
        <w:br w:type="page"/>
      </w:r>
    </w:p>
    <w:p>
      <w:pPr>
        <w:pStyle w:val="Heading1"/>
        <w:spacing w:before="400" w:after="200"/>
      </w:pPr>
      <w:r>
        <w:rPr>
          <w:rFonts w:ascii="Arial" w:cs="Arial" w:eastAsia="Arial" w:hAnsi="Arial"/>
          <w:b/>
          <w:bCs/>
          <w:color w:val="7B0000"/>
          <w:sz w:val="32"/>
          <w:szCs w:val="32"/>
        </w:rPr>
        <w:t xml:space="preserve">Introduction</w:t>
      </w:r>
    </w:p>
    <w:p>
      <w:pPr>
        <w:spacing w:before="60" w:after="60"/>
      </w:pPr>
      <w:r>
        <w:rPr>
          <w:rFonts w:ascii="Arial" w:cs="Arial" w:eastAsia="Arial" w:hAnsi="Arial"/>
          <w:sz w:val="22"/>
          <w:szCs w:val="22"/>
        </w:rPr>
        <w:t xml:space="preserve">Les violences politiques en Afrique subsaharienne recouvrent un spectre très large de phénomènes : conflits armés interétatiques et intraétatiques, violences contre les civils perpétrées par des forces gouvernementales ou des groupes armés non étatiques, conflits intercommunautaires, terrorisme et insurrection djihadiste, violences électorales, coups d'État, répression politique, émeutes et protestations violentes. La mesure systématique et comparée de ces phénomènes est un défi méthodologique majeur, notamment en raison des biais de couverture médiatique, des difficultés d'accès aux zones de conflit et de la diversité des définitions retenues selon les organisations.</w:t>
      </w:r>
    </w:p>
    <w:p>
      <w:pPr>
        <w:spacing w:before="60" w:after="60"/>
      </w:pPr>
      <w:r>
        <w:rPr>
          <w:rFonts w:ascii="Arial" w:cs="Arial" w:eastAsia="Arial" w:hAnsi="Arial"/>
          <w:sz w:val="22"/>
          <w:szCs w:val="22"/>
        </w:rPr>
        <w:t xml:space="preserve">Ce document présente les principales bases de données quantitatives disponibles pour l'étude des violences politiques en Afrique subsaharienne. Elles sont organisées en cinq catégories : les bases d'événements de conflit géoréférencés (niveau micro), les bases de conflits armés agrégés (niveau macro), les bases sur le terrorisme et les attentats, les données sur les régimes politiques et la répression, et les bases thématiques sur l'ethnicité et les conflits.</w:t>
      </w:r>
    </w:p>
    <w:p>
      <w:pPr>
        <w:pStyle w:val="Heading2"/>
        <w:spacing w:before="300" w:after="150"/>
      </w:pPr>
      <w:r>
        <w:rPr>
          <w:rFonts w:ascii="Arial" w:cs="Arial" w:eastAsia="Arial" w:hAnsi="Arial"/>
          <w:b/>
          <w:bCs/>
          <w:color w:val="C0392B"/>
          <w:sz w:val="26"/>
          <w:szCs w:val="26"/>
        </w:rPr>
        <w:t xml:space="preserve">Principales typologies de violences politiques dans les bases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Type de violence</w:t>
            </w:r>
          </w:p>
        </w:tc>
        <w:tc>
          <w:tcPr>
            <w:tcW w:type="dxa" w:w="616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r>
              <w:rPr>
                <w:rFonts w:ascii="Arial" w:cs="Arial" w:eastAsia="Arial" w:hAnsi="Arial"/>
                <w:b/>
                <w:bCs/>
                <w:color w:val="FFFFFF"/>
                <w:sz w:val="20"/>
                <w:szCs w:val="20"/>
              </w:rPr>
              <w:t xml:space="preserve">Définition / Exemples</w:t>
            </w:r>
          </w:p>
        </w:tc>
      </w:tr>
      <w:tr>
        <w:tc>
          <w:tcPr>
            <w:tcW w:type="dxa" w:w="32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b/>
                <w:bCs/>
                <w:sz w:val="19"/>
                <w:szCs w:val="19"/>
              </w:rPr>
              <w:t xml:space="preserve">Conflit armé inter-étatique</w:t>
            </w:r>
          </w:p>
        </w:tc>
        <w:tc>
          <w:tcPr>
            <w:tcW w:type="dxa" w:w="616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sz w:val="19"/>
                <w:szCs w:val="19"/>
              </w:rPr>
              <w:t xml:space="preserve">Usage de la force armée entre deux États souverains (ex. : guerre Éthiopie-Érythrée 1998-2000)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Conflit armé intra-étatique (guerre civile)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Combat entre un gouvernement et un groupe rebelle au sein d'un même pays, avec au moins 25 morts liés aux combats par an (seuil UCDP)</w:t>
            </w:r>
          </w:p>
        </w:tc>
      </w:tr>
      <w:tr>
        <w:tc>
          <w:tcPr>
            <w:tcW w:type="dxa" w:w="32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b/>
                <w:bCs/>
                <w:sz w:val="19"/>
                <w:szCs w:val="19"/>
              </w:rPr>
              <w:t xml:space="preserve">Conflit armé non étatique (non-state)</w:t>
            </w:r>
          </w:p>
        </w:tc>
        <w:tc>
          <w:tcPr>
            <w:tcW w:type="dxa" w:w="616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sz w:val="19"/>
                <w:szCs w:val="19"/>
              </w:rPr>
              <w:t xml:space="preserve">Combat entre deux groupes armés organisés dont aucun n'est un gouvernement (ex. : conflits intercommunautaires au Soudan du Sud)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Violence unilatérale (one-sided violence)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Attaques délibérées d'un gouvernement ou d'un groupe armé organisé contre des civils non armés (ex. : massacres, génocide)</w:t>
            </w:r>
          </w:p>
        </w:tc>
      </w:tr>
      <w:tr>
        <w:tc>
          <w:tcPr>
            <w:tcW w:type="dxa" w:w="32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b/>
                <w:bCs/>
                <w:sz w:val="19"/>
                <w:szCs w:val="19"/>
              </w:rPr>
              <w:t xml:space="preserve">Terrorisme</w:t>
            </w:r>
          </w:p>
        </w:tc>
        <w:tc>
          <w:tcPr>
            <w:tcW w:type="dxa" w:w="616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sz w:val="19"/>
                <w:szCs w:val="19"/>
              </w:rPr>
              <w:t xml:space="preserve">Usage de la violence par un acteur non étatique pour atteindre un objectif politique ou idéologique par la peur et la coercivité sur des cibles civiles ou militaires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Violence électorale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Violence liée aux processus électoraux : période pré-électorale, campagne, jour du scrutin, contestation des résultats</w:t>
            </w:r>
          </w:p>
        </w:tc>
      </w:tr>
      <w:tr>
        <w:tc>
          <w:tcPr>
            <w:tcW w:type="dxa" w:w="32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b/>
                <w:bCs/>
                <w:sz w:val="19"/>
                <w:szCs w:val="19"/>
              </w:rPr>
              <w:t xml:space="preserve">Répression politique</w:t>
            </w:r>
          </w:p>
        </w:tc>
        <w:tc>
          <w:tcPr>
            <w:tcW w:type="dxa" w:w="616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sz w:val="19"/>
                <w:szCs w:val="19"/>
              </w:rPr>
              <w:t xml:space="preserve">Recours à la force par un gouvernement contre des opposants, manifestants ou population civile perçue comme menaçante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Émeutes et protestations violentes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Manifestations publiques avec recours à la violence par les participants et/ou les forces de l'ordre</w:t>
            </w:r>
          </w:p>
        </w:tc>
      </w:tr>
      <w:tr>
        <w:tc>
          <w:tcPr>
            <w:tcW w:type="dxa" w:w="320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b/>
                <w:bCs/>
                <w:sz w:val="19"/>
                <w:szCs w:val="19"/>
              </w:rPr>
              <w:t xml:space="preserve">Coups d'État</w:t>
            </w:r>
          </w:p>
        </w:tc>
        <w:tc>
          <w:tcPr>
            <w:tcW w:type="dxa" w:w="6160"/>
            <w:tcBorders>
              <w:top w:val="single" w:color="CCCCCC" w:sz="1"/>
              <w:left w:val="single" w:color="CCCCCC" w:sz="1"/>
              <w:bottom w:val="single" w:color="CCCCCC" w:sz="1"/>
              <w:right w:val="single" w:color="CCCCCC" w:sz="1"/>
            </w:tcBorders>
            <w:shd w:fill="F9EBEA" w:val="clear"/>
            <w:tcMar>
              <w:top w:type="dxa" w:w="80"/>
              <w:left w:type="dxa" w:w="120"/>
              <w:bottom w:type="dxa" w:w="80"/>
              <w:right w:type="dxa" w:w="120"/>
            </w:tcMar>
          </w:tcPr>
          <w:p>
            <w:r>
              <w:rPr>
                <w:rFonts w:ascii="Arial" w:cs="Arial" w:eastAsia="Arial" w:hAnsi="Arial"/>
                <w:sz w:val="19"/>
                <w:szCs w:val="19"/>
              </w:rPr>
              <w:t xml:space="preserve">Prise de pouvoir inconstitutionnelle par un groupe militaire ou politique, réussie ou tentée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Conflit pastoral / intercommunautaire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Violence entre communautés, souvent liée aux ressources (terres, eau, bétail), sans implication nécessaire d'acteurs étatiques</w:t>
            </w:r>
          </w:p>
        </w:tc>
      </w:tr>
    </w:tbl>
    <w:p>
      <w:r>
        <w:br w:type="page"/>
      </w:r>
    </w:p>
    <w:p>
      <w:pPr>
        <w:pStyle w:val="Heading1"/>
        <w:spacing w:before="400" w:after="200"/>
      </w:pPr>
      <w:r>
        <w:rPr>
          <w:rFonts w:ascii="Arial" w:cs="Arial" w:eastAsia="Arial" w:hAnsi="Arial"/>
          <w:b/>
          <w:bCs/>
          <w:color w:val="7B0000"/>
          <w:sz w:val="32"/>
          <w:szCs w:val="32"/>
        </w:rPr>
        <w:t xml:space="preserve">I. Bases d'événements de violence politique géoréférencés</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 ACLED — Armed Conflict Location and Event Data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 couverture Afrique depuis 1997 (la plus longue et la plus complète)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 1997 – présent (temps réel, mis à jour hebdomadairement) ; monde : 2016 – présent</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ACLED (organisation indépendante à but non lucratif, basée aux USA et en Belgique)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Fondateurs / Citation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Raleigh, Linke, Hegre &amp; Karlsen (2010), Journal of Peace Research 47(5)</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inscription gratuite sur le portail ACLED)</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ACLED est la source de données de référence mondiale sur la violence politique et les protestations, la plus utilisée par les chercheurs, journalistes, ONG et gouvernements. Elle collecte et code des données sur chaque événement de violence politique ou de protestation à partir de sources ouvertes : agences de presse internationales (AFP, Reuters, AP), médias locaux, rapports d'ONG, sources gouvernementales et organisations humanitaires. Pour l'Afrique subsaharienne, ACLED dispose de la couverture temporelle la plus longue (depuis 1997) et de l'équipe de codeurs locaux la plus étoffée, ce qui en fait la source la plus exhaustive sur les dynamiques de conflit actuelles au Sahel, dans la Corne de l'Afrique, en RDC et en Afrique centrale.</w:t>
      </w:r>
    </w:p>
    <w:p>
      <w:pPr>
        <w:spacing w:before="200" w:after="80"/>
      </w:pPr>
      <w:r>
        <w:rPr>
          <w:rFonts w:ascii="Arial" w:cs="Arial" w:eastAsia="Arial" w:hAnsi="Arial"/>
          <w:b/>
          <w:bCs/>
          <w:color w:val="444444"/>
          <w:sz w:val="24"/>
          <w:szCs w:val="24"/>
        </w:rPr>
        <w:t xml:space="preserve">Types d'événements couverts</w:t>
      </w:r>
    </w:p>
    <w:p>
      <w:pPr>
        <w:spacing w:before="60" w:after="60"/>
      </w:pPr>
      <w:r>
        <w:rPr>
          <w:rFonts w:ascii="Arial" w:cs="Arial" w:eastAsia="Arial" w:hAnsi="Arial"/>
          <w:sz w:val="22"/>
          <w:szCs w:val="22"/>
        </w:rPr>
        <w:t xml:space="preserve">Batailles (entre acteurs armés, avec ou sans changement de contrôle territorial), violence contre les civils (attaques délibérées par des acteurs armés organisés), explosions et attaques à distance (frappes aériennes, tirs de missiles, IED, attentats-suicides), émeutes (violence collective non organisée), protestations (manifestations pacifiques ou violentes), développements stratégiques (positionnement d'acteurs, patrouilles, opérations non violentes).</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Date précise et localisation géoréférencée (latitude/longitude), pays et unités administratives (Admin 1 et 2), type d'événement (codebook structuré), acteurs impliqués (avec base de données des acteurs armés — plus de 80 000 acteurs codés), nombre de morts (fourchettes haute/basse), sources utilisées.</w:t>
      </w:r>
    </w:p>
    <w:p>
      <w:pPr>
        <w:spacing w:before="200" w:after="80"/>
      </w:pPr>
      <w:r>
        <w:rPr>
          <w:rFonts w:ascii="Arial" w:cs="Arial" w:eastAsia="Arial" w:hAnsi="Arial"/>
          <w:b/>
          <w:bCs/>
          <w:color w:val="444444"/>
          <w:sz w:val="24"/>
          <w:szCs w:val="24"/>
        </w:rPr>
        <w:t xml:space="preserve">Outils et ressources associés</w:t>
      </w:r>
    </w:p>
    <w:p>
      <w:pPr>
        <w:spacing w:before="60" w:after="60"/>
      </w:pPr>
      <w:r>
        <w:rPr>
          <w:rFonts w:ascii="Arial" w:cs="Arial" w:eastAsia="Arial" w:hAnsi="Arial"/>
          <w:sz w:val="22"/>
          <w:szCs w:val="22"/>
        </w:rPr>
        <w:t xml:space="preserve">ACLED Conflict Index : indice annuel de violence politique pour tous les pays du monde. ACLED Conflict Watchlist : projections pour l'année suivante. Mozambique Conflict Monitor (ex-Cabo Ligado) : observatoire spécifique sur le Mozambique. Nigeria Security Tracker (CFR) et Sub-Saharan Security Tracker (CFR) : visualisations basées sur ACLED. API disponible pour accès automatisé aux données.</w:t>
      </w:r>
    </w:p>
    <w:p>
      <w:pPr>
        <w:spacing w:before="60" w:after="60"/>
      </w:pPr>
      <w:r>
        <w:rPr>
          <w:rFonts w:ascii="Arial" w:cs="Arial" w:eastAsia="Arial" w:hAnsi="Arial"/>
          <w:b/>
          <w:bCs/>
          <w:sz w:val="22"/>
          <w:szCs w:val="22"/>
        </w:rPr>
        <w:t xml:space="preserve">Portail ACLED (inscription et téléchargement) : </w:t>
      </w:r>
      <w:hyperlink w:history="1" r:id="rIdiiwok-dzo8mlhacird2zg">
        <w:r>
          <w:rPr>
            <w:rFonts w:ascii="Arial" w:cs="Arial" w:eastAsia="Arial" w:hAnsi="Arial"/>
            <w:color w:val="0563C1"/>
            <w:sz w:val="22"/>
            <w:szCs w:val="22"/>
            <w:u w:val="single"/>
          </w:rPr>
          <w:t xml:space="preserve">https://acleddata.com/</w:t>
        </w:r>
      </w:hyperlink>
    </w:p>
    <w:p>
      <w:pPr>
        <w:spacing w:before="60" w:after="60"/>
      </w:pPr>
      <w:r>
        <w:rPr>
          <w:rFonts w:ascii="Arial" w:cs="Arial" w:eastAsia="Arial" w:hAnsi="Arial"/>
          <w:b/>
          <w:bCs/>
          <w:sz w:val="22"/>
          <w:szCs w:val="22"/>
        </w:rPr>
        <w:t xml:space="preserve">Outil d'export de données : </w:t>
      </w:r>
      <w:hyperlink w:history="1" r:id="rIdpgotepslnfidcqzk-lgwd">
        <w:r>
          <w:rPr>
            <w:rFonts w:ascii="Arial" w:cs="Arial" w:eastAsia="Arial" w:hAnsi="Arial"/>
            <w:color w:val="0563C1"/>
            <w:sz w:val="22"/>
            <w:szCs w:val="22"/>
            <w:u w:val="single"/>
          </w:rPr>
          <w:t xml:space="preserve">https://acleddata.com/data-export-tool/</w:t>
        </w:r>
      </w:hyperlink>
    </w:p>
    <w:p>
      <w:pPr>
        <w:spacing w:before="60" w:after="60"/>
      </w:pPr>
      <w:r>
        <w:rPr>
          <w:rFonts w:ascii="Arial" w:cs="Arial" w:eastAsia="Arial" w:hAnsi="Arial"/>
          <w:b/>
          <w:bCs/>
          <w:sz w:val="22"/>
          <w:szCs w:val="22"/>
        </w:rPr>
        <w:t xml:space="preserve">API ACLED : </w:t>
      </w:r>
      <w:hyperlink w:history="1" r:id="rIdiiwz_m4tnczuhhvhghfts">
        <w:r>
          <w:rPr>
            <w:rFonts w:ascii="Arial" w:cs="Arial" w:eastAsia="Arial" w:hAnsi="Arial"/>
            <w:color w:val="0563C1"/>
            <w:sz w:val="22"/>
            <w:szCs w:val="22"/>
            <w:u w:val="single"/>
          </w:rPr>
          <w:t xml:space="preserve">https://acleddata.com/acleddatanew/wp-content/uploads/2021/11/ACLED_API-User-Guide_2021.pdf</w:t>
        </w:r>
      </w:hyperlink>
    </w:p>
    <w:p>
      <w:pPr>
        <w:spacing w:before="60" w:after="60"/>
      </w:pPr>
      <w:r>
        <w:rPr>
          <w:rFonts w:ascii="Arial" w:cs="Arial" w:eastAsia="Arial" w:hAnsi="Arial"/>
          <w:b/>
          <w:bCs/>
          <w:sz w:val="22"/>
          <w:szCs w:val="22"/>
        </w:rPr>
        <w:t xml:space="preserve">ACLED Conflict Index 2025 : </w:t>
      </w:r>
      <w:hyperlink w:history="1" r:id="rIddwqrj2imlyn_hr_zt3vvt">
        <w:r>
          <w:rPr>
            <w:rFonts w:ascii="Arial" w:cs="Arial" w:eastAsia="Arial" w:hAnsi="Arial"/>
            <w:color w:val="0563C1"/>
            <w:sz w:val="22"/>
            <w:szCs w:val="22"/>
            <w:u w:val="single"/>
          </w:rPr>
          <w:t xml:space="preserve">https://acleddata.com/conflict-index/</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2. UCDP GED — Uppsala Conflict Data Program Georeferenced Event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toute l'Afrique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1989 – 2024 (version annuelle 25.1) ; données préliminaires pour l'Afrique publiées mensuellement</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Uppsala Conflict Data Program (UCDP) — Département de recherche sur la paix et les conflits, Université d'Uppsala (Suède)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Citation principale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Davies, Pettersson, Sollenberg &amp; Öberg (2025), Journal of Peace Research 62(4)</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UCDP est le programme de recherche sur la violence organisée le plus ancien du monde, avec plus de 40 ans d'histoire de collecte de données. Son Georeferenced Event Dataset (GED) est la base de données d'événements de référence académique, offrant une couverture mondiale depuis 1989 avec des variables géoréférencées, des estimations de fatalités et une taxonomie stricte de trois types de violence organisée mutuellement exclusifs, permettant des analyses sans double comptage. La définition de conflit armé de l'UCDP est devenue le standard mondial en études de la paix et des conflits.</w:t>
      </w:r>
    </w:p>
    <w:p>
      <w:pPr>
        <w:spacing w:before="200" w:after="80"/>
      </w:pPr>
      <w:r>
        <w:rPr>
          <w:rFonts w:ascii="Arial" w:cs="Arial" w:eastAsia="Arial" w:hAnsi="Arial"/>
          <w:b/>
          <w:bCs/>
          <w:color w:val="444444"/>
          <w:sz w:val="24"/>
          <w:szCs w:val="24"/>
        </w:rPr>
        <w:t xml:space="preserve">Les trois types de violence organisée UCDP</w:t>
      </w:r>
    </w:p>
    <w:p>
      <w:pPr>
        <w:spacing w:before="60" w:after="60"/>
      </w:pPr>
      <w:r>
        <w:rPr>
          <w:rFonts w:ascii="Arial" w:cs="Arial" w:eastAsia="Arial" w:hAnsi="Arial"/>
          <w:sz w:val="22"/>
          <w:szCs w:val="22"/>
        </w:rPr>
        <w:t xml:space="preserve">Conflit armé basé sur un État (state-based) : au moins 25 morts liés aux combats par an entre deux acteurs, dont au moins un est un gouvernement. Conflit armé non étatique (non-state) : au moins 25 morts par an entre deux groupes organisés, aucun n'étant un gouvernement. Violence unilatérale (one-sided) : au moins 25 morts civils par an infligés délibérément par un gouvernement ou un groupe armé organisé à des civils non armés.</w:t>
      </w:r>
    </w:p>
    <w:p>
      <w:pPr>
        <w:spacing w:before="200" w:after="80"/>
      </w:pPr>
      <w:r>
        <w:rPr>
          <w:rFonts w:ascii="Arial" w:cs="Arial" w:eastAsia="Arial" w:hAnsi="Arial"/>
          <w:b/>
          <w:bCs/>
          <w:color w:val="444444"/>
          <w:sz w:val="24"/>
          <w:szCs w:val="24"/>
        </w:rPr>
        <w:t xml:space="preserve">Variables clés du GED</w:t>
      </w:r>
    </w:p>
    <w:p>
      <w:pPr>
        <w:spacing w:before="60" w:after="60"/>
      </w:pPr>
      <w:r>
        <w:rPr>
          <w:rFonts w:ascii="Arial" w:cs="Arial" w:eastAsia="Arial" w:hAnsi="Arial"/>
          <w:sz w:val="22"/>
          <w:szCs w:val="22"/>
        </w:rPr>
        <w:t xml:space="preserve">Date précise de chaque événement, localisation géoréférencée avec estimations basse/haute d'incertitude, identifiant du conflit et de la dyade (permettant la jointure avec les autres datasets UCDP), type de violence organisée, acteurs impliqués avec base de données des acteurs (Actor Dataset), estimations de fatalités (low, best, high), sources utilisées, indicateur de fiabilité des coordonnées géographiques.</w:t>
      </w:r>
    </w:p>
    <w:p>
      <w:pPr>
        <w:spacing w:before="200" w:after="80"/>
      </w:pPr>
      <w:r>
        <w:rPr>
          <w:rFonts w:ascii="Arial" w:cs="Arial" w:eastAsia="Arial" w:hAnsi="Arial"/>
          <w:b/>
          <w:bCs/>
          <w:color w:val="444444"/>
          <w:sz w:val="24"/>
          <w:szCs w:val="24"/>
        </w:rPr>
        <w:t xml:space="preserve">Autres datasets UCDP disponibles</w:t>
      </w:r>
    </w:p>
    <w:p>
      <w:pPr>
        <w:spacing w:before="60" w:after="60"/>
      </w:pPr>
      <w:r>
        <w:rPr>
          <w:rFonts w:ascii="Arial" w:cs="Arial" w:eastAsia="Arial" w:hAnsi="Arial"/>
          <w:sz w:val="22"/>
          <w:szCs w:val="22"/>
        </w:rPr>
        <w:t xml:space="preserve">UCDP/PRIO Armed Conflict Dataset (1946-2024) : données conflits armés en format pays-année et dyade-année. UCDP Battle-Related Deaths Dataset : estimations de morts liés aux combats. UCDP One-sided Violence Dataset : violence contre les civils. UCDP Non-State Conflict Dataset : conflits entre acteurs non étatiques. UCDP Violent Political Protest Dataset (1989-2019). Deadly Electoral Conflict Dataset (DECO). Ethnic One-Sided Violence Dataset (EOSV). UCDP Peacemakers at Risk Dataset : violences contre les Casques bleus en Afrique subsaharienne. UCDP Peace Agreement Dataset (1975-2021).</w:t>
      </w:r>
    </w:p>
    <w:p>
      <w:pPr>
        <w:spacing w:before="60" w:after="60"/>
      </w:pPr>
      <w:r>
        <w:rPr>
          <w:rFonts w:ascii="Arial" w:cs="Arial" w:eastAsia="Arial" w:hAnsi="Arial"/>
          <w:b/>
          <w:bCs/>
          <w:sz w:val="22"/>
          <w:szCs w:val="22"/>
        </w:rPr>
        <w:t xml:space="preserve">Centre de téléchargement UCDP : </w:t>
      </w:r>
      <w:hyperlink w:history="1" r:id="rIdohu-57ggdiz78chmw5mqi">
        <w:r>
          <w:rPr>
            <w:rFonts w:ascii="Arial" w:cs="Arial" w:eastAsia="Arial" w:hAnsi="Arial"/>
            <w:color w:val="0563C1"/>
            <w:sz w:val="22"/>
            <w:szCs w:val="22"/>
            <w:u w:val="single"/>
          </w:rPr>
          <w:t xml:space="preserve">https://ucdp.uu.se/downloads/</w:t>
        </w:r>
      </w:hyperlink>
    </w:p>
    <w:p>
      <w:pPr>
        <w:spacing w:before="60" w:after="60"/>
      </w:pPr>
      <w:r>
        <w:rPr>
          <w:rFonts w:ascii="Arial" w:cs="Arial" w:eastAsia="Arial" w:hAnsi="Arial"/>
          <w:b/>
          <w:bCs/>
          <w:sz w:val="22"/>
          <w:szCs w:val="22"/>
        </w:rPr>
        <w:t xml:space="preserve">API UCDP (données en temps réel) : </w:t>
      </w:r>
      <w:hyperlink w:history="1" r:id="rId6_elq1psddoxdddr_jexe">
        <w:r>
          <w:rPr>
            <w:rFonts w:ascii="Arial" w:cs="Arial" w:eastAsia="Arial" w:hAnsi="Arial"/>
            <w:color w:val="0563C1"/>
            <w:sz w:val="22"/>
            <w:szCs w:val="22"/>
            <w:u w:val="single"/>
          </w:rPr>
          <w:t xml:space="preserve">https://ucdp.uu.se/apidocs/</w:t>
        </w:r>
      </w:hyperlink>
    </w:p>
    <w:p>
      <w:pPr>
        <w:spacing w:before="60" w:after="60"/>
      </w:pPr>
      <w:r>
        <w:rPr>
          <w:rFonts w:ascii="Arial" w:cs="Arial" w:eastAsia="Arial" w:hAnsi="Arial"/>
          <w:b/>
          <w:bCs/>
          <w:sz w:val="22"/>
          <w:szCs w:val="22"/>
        </w:rPr>
        <w:t xml:space="preserve">Encyclopédie des conflits UCDP (interactive) : </w:t>
      </w:r>
      <w:hyperlink w:history="1" r:id="rIdv1lgmfldwlxeaby1czslw">
        <w:r>
          <w:rPr>
            <w:rFonts w:ascii="Arial" w:cs="Arial" w:eastAsia="Arial" w:hAnsi="Arial"/>
            <w:color w:val="0563C1"/>
            <w:sz w:val="22"/>
            <w:szCs w:val="22"/>
            <w:u w:val="single"/>
          </w:rPr>
          <w:t xml:space="preserve">https://ucdp.uu.se/encyclopedia</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3. SCAD — Social Conflict Analysis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pays africains (et sélection de pays d'Amérique latine)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 – 2017</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Cullen Hendrix (Josef Korbel School, Université de Denver) &amp; Idean Salehyan (Université du Texas), dans le cadre du projet CCAPS (UT-Austin)</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Citation principale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Hendrix &amp; Salehyan (2012), International Interactions 38(4)</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(prix J. David Singer 2017 de l'APSA pour l'innovation en données)</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SCAD est conçue pour combler une lacune majeure des bases de données traditionnelles sur les conflits, qui se concentrent sur les guerres civiles de grande échelle. Elle catalogue au contraire les formes plus courantes de désordre social et politique : protestations, émeutes, grèves, répression gouvernementale et violences intercommunautaires. Elle compile plus de 20 000 événements de conflit social en Afrique sur la période 1990-2017, à partir des dépêches des agences Associated Press (AP) et Agence France-Presse (AFP). Chaque événement est codé comme unique sur la base des acteurs principaux, de la cible et de l'enjeu.</w:t>
      </w:r>
    </w:p>
    <w:p>
      <w:pPr>
        <w:spacing w:before="200" w:after="80"/>
      </w:pPr>
      <w:r>
        <w:rPr>
          <w:rFonts w:ascii="Arial" w:cs="Arial" w:eastAsia="Arial" w:hAnsi="Arial"/>
          <w:b/>
          <w:bCs/>
          <w:color w:val="444444"/>
          <w:sz w:val="24"/>
          <w:szCs w:val="24"/>
        </w:rPr>
        <w:t xml:space="preserve">Types d'événements couverts</w:t>
      </w:r>
    </w:p>
    <w:p>
      <w:pPr>
        <w:spacing w:before="60" w:after="60"/>
      </w:pPr>
      <w:r>
        <w:rPr>
          <w:rFonts w:ascii="Arial" w:cs="Arial" w:eastAsia="Arial" w:hAnsi="Arial"/>
          <w:sz w:val="22"/>
          <w:szCs w:val="22"/>
        </w:rPr>
        <w:t xml:space="preserve">Protestations (pacifiques ou violentes), émeutes, grèves et actions industrielles, répression gouvernementale contre des civils, violences intercommunautaires, manifestations pro-gouvernementales, rébellions et insurrections de faible intensité.</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Date et localisation géoréférencée (latitude/longitude), type d'événement (10 sous-catégories), acteur(s) principal(aux) et cible(s), problème ou revendication à l'origine du conflit (15 catégories : élections, économie, alimentation/eau, discrimination ethnique, religion, éducation, droits humains, etc.), létalité (nombre de morts si disponible), durée de l'événement, taille estimée du groupe mobilisé, réponse gouvernementale.</w:t>
      </w:r>
    </w:p>
    <w:p>
      <w:pPr>
        <w:spacing w:before="60" w:after="60"/>
      </w:pPr>
      <w:r>
        <w:rPr>
          <w:rFonts w:ascii="Arial" w:cs="Arial" w:eastAsia="Arial" w:hAnsi="Arial"/>
          <w:b/>
          <w:bCs/>
          <w:sz w:val="22"/>
          <w:szCs w:val="22"/>
        </w:rPr>
        <w:t xml:space="preserve">Portail SCAD (Josef Korbel School) : </w:t>
      </w:r>
      <w:hyperlink w:history="1" r:id="rIdqywdq_1vmuyle84d9fyls">
        <w:r>
          <w:rPr>
            <w:rFonts w:ascii="Arial" w:cs="Arial" w:eastAsia="Arial" w:hAnsi="Arial"/>
            <w:color w:val="0563C1"/>
            <w:sz w:val="22"/>
            <w:szCs w:val="22"/>
            <w:u w:val="single"/>
          </w:rPr>
          <w:t xml:space="preserve">https://korbel.du.edu/sie/content/social-conflict-analysis-database</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4. GTD — Global Terrorism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toute l'Afrique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1970 – 2020 (données 1993 partielles) ; plus de 200 000 attentats recensés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 National Consortium for the Study of Terrorism and Responses to Terrorism, Université du Maryland (USAID/DHS)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Accès sur demande (inscription et justification requises) depuis 2025</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GTD est la base de données d'attentats terroristes la plus complète au monde en accès ouvert. Elle définit un attentat terroriste comme le recours ou la menace de recours à la violence illégale par un acteur non étatique pour atteindre un objectif politique, économique, religieux ou social par la peur, la coercition ou l'intimidation. Elle couvre à la fois le terrorisme international et domestique. Pour l'Afrique subsaharienne, la GTD est particulièrement utilisée pour étudier la progression des groupes djihadistes (Boko Haram, Al-Shabaab, JNIM, État islamique au Sahel) depuis les années 2000. Les données pour 1993 sont partiellement manquantes suite à une perte d'archives lors d'un déménagement de l'organisation Pinkerton (collecteur initial).</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Date, pays et ville de l'attentat, coordonnées géographiques (latitude/longitude), type d'attentat (explosion/attentat-suicide, fusillade, assassinat, prise d'otages, etc.), arme utilisée, cible visée (militaire, civile, gouvernementale, transport, etc.), organisation revendiquante (plus de 2 000 nommées), nombre de morts et de blessés (perpétrateurs et victimes), succès ou échec de l'attentat, critères de certitude (incertitude sur le caractère terroriste de l'événement codée).</w:t>
      </w:r>
    </w:p>
    <w:p>
      <w:pPr>
        <w:spacing w:before="200" w:after="80"/>
      </w:pPr>
      <w:r>
        <w:rPr>
          <w:rFonts w:ascii="Arial" w:cs="Arial" w:eastAsia="Arial" w:hAnsi="Arial"/>
          <w:b/>
          <w:bCs/>
          <w:color w:val="444444"/>
          <w:sz w:val="24"/>
          <w:szCs w:val="24"/>
        </w:rPr>
        <w:t xml:space="preserve">Indicateur dérivé : Global Terrorism Index (GTI)</w:t>
      </w:r>
    </w:p>
    <w:p>
      <w:pPr>
        <w:spacing w:before="60" w:after="60"/>
      </w:pPr>
      <w:r>
        <w:rPr>
          <w:rFonts w:ascii="Arial" w:cs="Arial" w:eastAsia="Arial" w:hAnsi="Arial"/>
          <w:sz w:val="22"/>
          <w:szCs w:val="22"/>
        </w:rPr>
        <w:t xml:space="preserve">L'Institute for Economics and Peace (IEP) publie chaque année le Global Terrorism Index (GTI), un indice composite calculé à partir des données GTD, mesurant l'impact du terrorisme dans 163 pays. Les pays d'Afrique subsaharienne — notamment le Burkina Faso, le Mali, le Niger, la Somalie et le Nigeria — figurent régulièrement parmi les plus affectés selon cet indice.</w:t>
      </w:r>
    </w:p>
    <w:p>
      <w:pPr>
        <w:spacing w:before="60" w:after="60"/>
      </w:pPr>
      <w:r>
        <w:rPr>
          <w:rFonts w:ascii="Arial" w:cs="Arial" w:eastAsia="Arial" w:hAnsi="Arial"/>
          <w:b/>
          <w:bCs/>
          <w:sz w:val="22"/>
          <w:szCs w:val="22"/>
        </w:rPr>
        <w:t xml:space="preserve">GTD (inscription requise depuis 2025) : </w:t>
      </w:r>
      <w:hyperlink w:history="1" r:id="rIdceifqkszv59o15hl9x56w">
        <w:r>
          <w:rPr>
            <w:rFonts w:ascii="Arial" w:cs="Arial" w:eastAsia="Arial" w:hAnsi="Arial"/>
            <w:color w:val="0563C1"/>
            <w:sz w:val="22"/>
            <w:szCs w:val="22"/>
            <w:u w:val="single"/>
          </w:rPr>
          <w:t xml:space="preserve">https://www.start.umd.edu/gtd/</w:t>
        </w:r>
      </w:hyperlink>
    </w:p>
    <w:p>
      <w:pPr>
        <w:spacing w:before="60" w:after="60"/>
      </w:pPr>
      <w:r>
        <w:rPr>
          <w:rFonts w:ascii="Arial" w:cs="Arial" w:eastAsia="Arial" w:hAnsi="Arial"/>
          <w:b/>
          <w:bCs/>
          <w:sz w:val="22"/>
          <w:szCs w:val="22"/>
        </w:rPr>
        <w:t xml:space="preserve">Global Terrorism Index (IEP) : </w:t>
      </w:r>
      <w:hyperlink w:history="1" r:id="rId4foc6xw9c4awpil-i3ob1">
        <w:r>
          <w:rPr>
            <w:rFonts w:ascii="Arial" w:cs="Arial" w:eastAsia="Arial" w:hAnsi="Arial"/>
            <w:color w:val="0563C1"/>
            <w:sz w:val="22"/>
            <w:szCs w:val="22"/>
            <w:u w:val="single"/>
          </w:rPr>
          <w:t xml:space="preserve">https://www.visionofhumanity.org/global-terrorism-index/</w:t>
        </w:r>
      </w:hyperlink>
    </w:p>
    <w:p>
      <w:r>
        <w:br w:type="page"/>
      </w:r>
    </w:p>
    <w:p>
      <w:pPr>
        <w:pStyle w:val="Heading1"/>
        <w:spacing w:before="400" w:after="200"/>
      </w:pPr>
      <w:r>
        <w:rPr>
          <w:rFonts w:ascii="Arial" w:cs="Arial" w:eastAsia="Arial" w:hAnsi="Arial"/>
          <w:b/>
          <w:bCs/>
          <w:color w:val="7B0000"/>
          <w:sz w:val="32"/>
          <w:szCs w:val="32"/>
        </w:rPr>
        <w:t xml:space="preserve">II. Bases de données sur les conflits armés (niveau agrégé)</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5. UCDP/PRIO Armed Conflict Dataset (ACD)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(167 pays) — couverture complète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1946 – 2024 (version 25.1, annuelle)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Uppsala Conflict Data Program (UCDP) / Peace Research Institute Oslo (PRIO)</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Citation principale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Gleditsch, Wallensteen, Eriksson, Sollenberg &amp; Strand (2002), Journal of Peace Research 39(5)</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UCDP/PRIO Armed Conflict Dataset est la base de données de référence internationale pour les conflits armés agrégés depuis 1946. Il est construit à partir du GED (données événements) et agrégé en format pays-année et dyade-année. Sa définition de conflit armé — incompatibilité contestée entre deux acteurs, dont au moins un est un État, avec au moins 25 morts liés aux combats par an — est devenue le standard mondial en sciences de la paix. Il distingue les conflits mineurs (25-999 morts/an) des guerres (1 000+ morts/an). Les données sont utilisées par l'ONU, la Banque Mondiale, l'OMS et intégrées dans les World Development Indicators.</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Conflits actifs par an et par pays (format pays-année), dyades belligérantes actives (format dyade-année), type de conflit (interstate, intrastate, internationalized intrastate, extrasystemic), incompatibilité (territoire ou gouvernement), intensité (conflit mineur vs guerre), dates de début et de fin, acteurs principaux (gouvernement, groupe rebelle). Compatible et interconnectable avec le GED, le Battle-Related Deaths Dataset, et l'EPR pour les analyses ethniques.</w:t>
      </w:r>
    </w:p>
    <w:p>
      <w:pPr>
        <w:spacing w:before="60" w:after="60"/>
      </w:pPr>
      <w:r>
        <w:rPr>
          <w:rFonts w:ascii="Arial" w:cs="Arial" w:eastAsia="Arial" w:hAnsi="Arial"/>
          <w:b/>
          <w:bCs/>
          <w:sz w:val="22"/>
          <w:szCs w:val="22"/>
        </w:rPr>
        <w:t xml:space="preserve">Téléchargement UCDP/PRIO ACD : </w:t>
      </w:r>
      <w:hyperlink w:history="1" r:id="rIdvdpx28uhca6alm-w4plpi">
        <w:r>
          <w:rPr>
            <w:rFonts w:ascii="Arial" w:cs="Arial" w:eastAsia="Arial" w:hAnsi="Arial"/>
            <w:color w:val="0563C1"/>
            <w:sz w:val="22"/>
            <w:szCs w:val="22"/>
            <w:u w:val="single"/>
          </w:rPr>
          <w:t xml:space="preserve">https://ucdp.uu.se/downloads/</w:t>
        </w:r>
      </w:hyperlink>
    </w:p>
    <w:p>
      <w:pPr>
        <w:spacing w:before="60" w:after="60"/>
      </w:pPr>
      <w:r>
        <w:rPr>
          <w:rFonts w:ascii="Arial" w:cs="Arial" w:eastAsia="Arial" w:hAnsi="Arial"/>
          <w:b/>
          <w:bCs/>
          <w:sz w:val="22"/>
          <w:szCs w:val="22"/>
        </w:rPr>
        <w:t xml:space="preserve">PRIO (versions historiques) : </w:t>
      </w:r>
      <w:hyperlink w:history="1" r:id="rIdkdyjwthmgdob4cqfwftrk">
        <w:r>
          <w:rPr>
            <w:rFonts w:ascii="Arial" w:cs="Arial" w:eastAsia="Arial" w:hAnsi="Arial"/>
            <w:color w:val="0563C1"/>
            <w:sz w:val="22"/>
            <w:szCs w:val="22"/>
            <w:u w:val="single"/>
          </w:rPr>
          <w:t xml:space="preserve">https://www.prio.org/data/4</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6. COW — Correlates of War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1816 – 2007 (selon les datasets ; mises à jour variables)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Correlates of War Project (fondé par J. David Singer, Université du Michigan) — maintenu par Penn State University</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projet COW (Correlates of War) est le programme de collecte de données sur la guerre le plus ancien des sciences sociales, lancé en 1963. Il produit de multiples bases de données interconnectées couvrant les guerres, les alliances militaires, les capacités nationales et les relations commerciales depuis 1816. Pour l'Afrique subsaharienne, les bases COW sont surtout utiles pour les analyses historiques longues des guerres civiles et des guerres inter-étatiques post-indépendance (depuis les années 1960). Sa définition de la guerre exige un seuil de 1 000 morts militaires par an, ce qui la rend plus restrictive que l'UCDP (25 morts).</w:t>
      </w:r>
    </w:p>
    <w:p>
      <w:pPr>
        <w:spacing w:before="200" w:after="80"/>
      </w:pPr>
      <w:r>
        <w:rPr>
          <w:rFonts w:ascii="Arial" w:cs="Arial" w:eastAsia="Arial" w:hAnsi="Arial"/>
          <w:b/>
          <w:bCs/>
          <w:color w:val="444444"/>
          <w:sz w:val="24"/>
          <w:szCs w:val="24"/>
        </w:rPr>
        <w:t xml:space="preserve">Principales bases de données COW</w:t>
      </w:r>
    </w:p>
    <w:p>
      <w:pPr>
        <w:spacing w:before="60" w:after="60"/>
      </w:pPr>
      <w:r>
        <w:rPr>
          <w:rFonts w:ascii="Arial" w:cs="Arial" w:eastAsia="Arial" w:hAnsi="Arial"/>
          <w:sz w:val="22"/>
          <w:szCs w:val="22"/>
        </w:rPr>
        <w:t xml:space="preserve">MID (Militarized Interstate Disputes Dataset) : différends militarisés entre États 1816-2014, incluant les confrontations sans combat. Inter-State War Dataset : guerres entre États 1816-2007. Intra-State War Dataset : guerres civiles, guerres d'indépendance et interventions étrangères 1816-2007. Extra-State War Dataset : guerres coloniales et impériales 1816-1997. National Capabilities Dataset (NMC) : indicateurs de puissance nationale (effectifs militaires, dépenses, production industrielle, population), utilisé pour construire l'indice CINC (Composite Index of National Capability).</w:t>
      </w:r>
    </w:p>
    <w:p>
      <w:pPr>
        <w:spacing w:before="60" w:after="60"/>
      </w:pPr>
      <w:r>
        <w:rPr>
          <w:rFonts w:ascii="Arial" w:cs="Arial" w:eastAsia="Arial" w:hAnsi="Arial"/>
          <w:b/>
          <w:bCs/>
          <w:sz w:val="22"/>
          <w:szCs w:val="22"/>
        </w:rPr>
        <w:t xml:space="preserve">Portail COW : </w:t>
      </w:r>
      <w:hyperlink w:history="1" r:id="rIdv-2nyv82g_icp8t1iwku0">
        <w:r>
          <w:rPr>
            <w:rFonts w:ascii="Arial" w:cs="Arial" w:eastAsia="Arial" w:hAnsi="Arial"/>
            <w:color w:val="0563C1"/>
            <w:sz w:val="22"/>
            <w:szCs w:val="22"/>
            <w:u w:val="single"/>
          </w:rPr>
          <w:t xml:space="preserve">https://correlatesofwar.org/</w:t>
        </w:r>
      </w:hyperlink>
    </w:p>
    <w:p>
      <w:pPr>
        <w:spacing w:before="60" w:after="60"/>
      </w:pPr>
      <w:r>
        <w:rPr>
          <w:rFonts w:ascii="Arial" w:cs="Arial" w:eastAsia="Arial" w:hAnsi="Arial"/>
          <w:b/>
          <w:bCs/>
          <w:sz w:val="22"/>
          <w:szCs w:val="22"/>
        </w:rPr>
        <w:t xml:space="preserve">Téléchargement des données COW : </w:t>
      </w:r>
      <w:hyperlink w:history="1" r:id="rIddfbkrb0genqvgmhuyagtx">
        <w:r>
          <w:rPr>
            <w:rFonts w:ascii="Arial" w:cs="Arial" w:eastAsia="Arial" w:hAnsi="Arial"/>
            <w:color w:val="0563C1"/>
            <w:sz w:val="22"/>
            <w:szCs w:val="22"/>
            <w:u w:val="single"/>
          </w:rPr>
          <w:t xml:space="preserve">https://correlatesofwar.org/data-sets/</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7. CSP / Polity5 — Center for Systemic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167 pays (dont tous les pays d'Afrique subsaharienne avec une population &gt; 500 000 hab.)</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Polity5 : 1800-2018. Épisodes de violence : 1946-2018. Coups d'État : 1946-2021</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for Systemic Peace (CSP) — Monty G. Marshall &amp; Ted Robert Gurr</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(page INSCR Data)</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Center for Systemic Peace produit plusieurs bases de données interconnectées sur la violence politique et les régimes politiques. Le projet Polity — le plus utilisé au monde pour mesurer les caractéristiques des régimes — code les autorités politiques sur une échelle de -10 (autocratie pleine) à +10 (démocratie pleine). Sa capacité à capturer les régimes mixtes (anocracies, régimes factionaux) est particulièrement utile pour l'Afrique subsaharienne où de nombreux pays traversent des périodes de transition. Le CSP produit également une base de données sur les coups d'État (réussis, tentés, complotés et allégués) depuis 1946, très utilisée pour étudier l'instabilité politique africaine.</w:t>
      </w:r>
    </w:p>
    <w:p>
      <w:pPr>
        <w:spacing w:before="200" w:after="80"/>
      </w:pPr>
      <w:r>
        <w:rPr>
          <w:rFonts w:ascii="Arial" w:cs="Arial" w:eastAsia="Arial" w:hAnsi="Arial"/>
          <w:b/>
          <w:bCs/>
          <w:color w:val="444444"/>
          <w:sz w:val="24"/>
          <w:szCs w:val="24"/>
        </w:rPr>
        <w:t xml:space="preserve">Principales bases de données CSP disponibles</w:t>
      </w:r>
    </w:p>
    <w:p>
      <w:pPr>
        <w:spacing w:before="60" w:after="60"/>
      </w:pPr>
      <w:r>
        <w:rPr>
          <w:rFonts w:ascii="Arial" w:cs="Arial" w:eastAsia="Arial" w:hAnsi="Arial"/>
          <w:sz w:val="22"/>
          <w:szCs w:val="22"/>
        </w:rPr>
        <w:t xml:space="preserve">Polity5 (1800-2018) : indicateurs d'autorité politique (scores de démocratie, d'autocratie, d'institutionnalisation, de compétition politique, de contrainte sur l'exécutif), transitions de régime, périodes d'interruption et d'interrègne. Major Episodes of Political Violence (MEPV, 1946-2018) : épisodes de violence politique (guerres civiles, guerres ethniques, guerres révolutionnaires, génocides), avec scores d'ampleur annuels. State Failure / Political Instability Task Force Problem Set (PITF) : cas d'instabilité politique (guerres ethniques, guerres révolutionnaires, changements de régime adversariaux, génocides/politicides). Coups d'État 1946-2021 : liste événementielle des coups (réussis, tentés, complotés, allégués).</w:t>
      </w:r>
    </w:p>
    <w:p>
      <w:pPr>
        <w:spacing w:before="60" w:after="60"/>
      </w:pPr>
      <w:r>
        <w:rPr>
          <w:rFonts w:ascii="Arial" w:cs="Arial" w:eastAsia="Arial" w:hAnsi="Arial"/>
          <w:b/>
          <w:bCs/>
          <w:sz w:val="22"/>
          <w:szCs w:val="22"/>
        </w:rPr>
        <w:t xml:space="preserve">Page INSCR Data (tous les datasets CSP) : </w:t>
      </w:r>
      <w:hyperlink w:history="1" r:id="rIdydtqmegkxyhcpxrttijqa">
        <w:r>
          <w:rPr>
            <w:rFonts w:ascii="Arial" w:cs="Arial" w:eastAsia="Arial" w:hAnsi="Arial"/>
            <w:color w:val="0563C1"/>
            <w:sz w:val="22"/>
            <w:szCs w:val="22"/>
            <w:u w:val="single"/>
          </w:rPr>
          <w:t xml:space="preserve">https://www.systemicpeace.org/inscrdata.html</w:t>
        </w:r>
      </w:hyperlink>
    </w:p>
    <w:p>
      <w:pPr>
        <w:spacing w:before="60" w:after="60"/>
      </w:pPr>
      <w:r>
        <w:rPr>
          <w:rFonts w:ascii="Arial" w:cs="Arial" w:eastAsia="Arial" w:hAnsi="Arial"/>
          <w:b/>
          <w:bCs/>
          <w:sz w:val="22"/>
          <w:szCs w:val="22"/>
        </w:rPr>
        <w:t xml:space="preserve">Polity5 Project : </w:t>
      </w:r>
      <w:hyperlink w:history="1" r:id="rIdy3yzzwfhjuxwhtzjz0vjv">
        <w:r>
          <w:rPr>
            <w:rFonts w:ascii="Arial" w:cs="Arial" w:eastAsia="Arial" w:hAnsi="Arial"/>
            <w:color w:val="0563C1"/>
            <w:sz w:val="22"/>
            <w:szCs w:val="22"/>
            <w:u w:val="single"/>
          </w:rPr>
          <w:t xml:space="preserve">https://www.systemicpeace.org/polityproject.html</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8. V-Dem — Varieties of Democracy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 pays — couverture complète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1789 – 2025 (version 15, publiée en 2025 ; données annuelles pays-année et pays-date)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V-Dem Institute — Université de Göteborg (Suède), co-fondé par Michael Coppedge, John Gerring, Staffan Lindberg et al.</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(package R 'vdemdata' disponible)</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projet V-Dem fournit les données de démocratie les plus complètes et les plus désagrégées au monde. Contrairement à Polity qui code une variable résumée, V-Dem mobilise plus de 3 500 experts pays (dont une proportion importante en Afrique subsaharienne) pour coder plus de 500 indicateurs sur les institutions démocratiques, les libertés civiles et les pratiques de gouvernance. Les indicateurs de violence politique et de répression inclus dans V-Dem sont particulièrement utiles pour l'étude des dynamiques autoritaires africaines : tortures, arrestations politiques, violence électorale, répression des médias et de la société civile.</w:t>
      </w:r>
    </w:p>
    <w:p>
      <w:pPr>
        <w:spacing w:before="200" w:after="80"/>
      </w:pPr>
      <w:r>
        <w:rPr>
          <w:rFonts w:ascii="Arial" w:cs="Arial" w:eastAsia="Arial" w:hAnsi="Arial"/>
          <w:b/>
          <w:bCs/>
          <w:color w:val="444444"/>
          <w:sz w:val="24"/>
          <w:szCs w:val="24"/>
        </w:rPr>
        <w:t xml:space="preserve">Variables pertinentes pour l'étude des violences politiques</w:t>
      </w:r>
    </w:p>
    <w:p>
      <w:pPr>
        <w:spacing w:before="60" w:after="60"/>
      </w:pPr>
      <w:r>
        <w:rPr>
          <w:rFonts w:ascii="Arial" w:cs="Arial" w:eastAsia="Arial" w:hAnsi="Arial"/>
          <w:sz w:val="22"/>
          <w:szCs w:val="22"/>
        </w:rPr>
        <w:t xml:space="preserve">Violence électorale (v2elviolpre : violence pré-électorale ; v2elviopost : violence post-électorale), tortures pratiquées par le gouvernement (v2cltort), exécutions extrajudiciaires (v2clkill), liberté de rassemblement (v2csreprss), violence gouvernementale contre les partis d'opposition (v2psoppaut), répression des médias, liberté des ONG (v2csreprss), usage des réseaux sociaux pour organiser des violences hors ligne (v2smonpol). Cinq grands indices synthétiques de démocratie : Electoral Democracy Index, Liberal Democracy Index, Participatory Democracy Index, Deliberative Democracy Index, Egalitarian Democracy Index.</w:t>
      </w:r>
    </w:p>
    <w:p>
      <w:pPr>
        <w:spacing w:before="60" w:after="60"/>
      </w:pPr>
      <w:r>
        <w:rPr>
          <w:rFonts w:ascii="Arial" w:cs="Arial" w:eastAsia="Arial" w:hAnsi="Arial"/>
          <w:b/>
          <w:bCs/>
          <w:sz w:val="22"/>
          <w:szCs w:val="22"/>
        </w:rPr>
        <w:t xml:space="preserve">Portail V-Dem et téléchargement : </w:t>
      </w:r>
      <w:hyperlink w:history="1" r:id="rIdigqadbwxlbto3lg9sjtcb">
        <w:r>
          <w:rPr>
            <w:rFonts w:ascii="Arial" w:cs="Arial" w:eastAsia="Arial" w:hAnsi="Arial"/>
            <w:color w:val="0563C1"/>
            <w:sz w:val="22"/>
            <w:szCs w:val="22"/>
            <w:u w:val="single"/>
          </w:rPr>
          <w:t xml:space="preserve">https://www.v-dem.net/data/the-v-dem-dataset/</w:t>
        </w:r>
      </w:hyperlink>
    </w:p>
    <w:p>
      <w:pPr>
        <w:spacing w:before="60" w:after="60"/>
      </w:pPr>
      <w:r>
        <w:rPr>
          <w:rFonts w:ascii="Arial" w:cs="Arial" w:eastAsia="Arial" w:hAnsi="Arial"/>
          <w:b/>
          <w:bCs/>
          <w:sz w:val="22"/>
          <w:szCs w:val="22"/>
        </w:rPr>
        <w:t xml:space="preserve">Outil de visualisation V-Dem : </w:t>
      </w:r>
      <w:hyperlink w:history="1" r:id="rIdsqwg-8kpdzfhcwugvmirj">
        <w:r>
          <w:rPr>
            <w:rFonts w:ascii="Arial" w:cs="Arial" w:eastAsia="Arial" w:hAnsi="Arial"/>
            <w:color w:val="0563C1"/>
            <w:sz w:val="22"/>
            <w:szCs w:val="22"/>
            <w:u w:val="single"/>
          </w:rPr>
          <w:t xml:space="preserve">https://www.v-dem.net/data_analysis/VariableGraph/</w:t>
        </w:r>
      </w:hyperlink>
    </w:p>
    <w:p>
      <w:pPr>
        <w:spacing w:before="60" w:after="60"/>
      </w:pPr>
      <w:r>
        <w:rPr>
          <w:rFonts w:ascii="Arial" w:cs="Arial" w:eastAsia="Arial" w:hAnsi="Arial"/>
          <w:b/>
          <w:bCs/>
          <w:sz w:val="22"/>
          <w:szCs w:val="22"/>
        </w:rPr>
        <w:t xml:space="preserve">Package R vdemdata (GitHub) : </w:t>
      </w:r>
      <w:hyperlink w:history="1" r:id="rIdmzj0ykfebwlsdmxqi-i6c">
        <w:r>
          <w:rPr>
            <w:rFonts w:ascii="Arial" w:cs="Arial" w:eastAsia="Arial" w:hAnsi="Arial"/>
            <w:color w:val="0563C1"/>
            <w:sz w:val="22"/>
            <w:szCs w:val="22"/>
            <w:u w:val="single"/>
          </w:rPr>
          <w:t xml:space="preserve">https://github.com/vdeminstitute/vdemdata</w:t>
        </w:r>
      </w:hyperlink>
    </w:p>
    <w:p>
      <w:r>
        <w:br w:type="page"/>
      </w:r>
    </w:p>
    <w:p>
      <w:pPr>
        <w:pStyle w:val="Heading1"/>
        <w:spacing w:before="400" w:after="200"/>
      </w:pPr>
      <w:r>
        <w:rPr>
          <w:rFonts w:ascii="Arial" w:cs="Arial" w:eastAsia="Arial" w:hAnsi="Arial"/>
          <w:b/>
          <w:bCs/>
          <w:color w:val="7B0000"/>
          <w:sz w:val="32"/>
          <w:szCs w:val="32"/>
        </w:rPr>
        <w:t xml:space="preserve">III. Bases de données sur le terrorisme et l'insurrection djihadiste</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9. CPOST-SAD — Chicago Project on Security and Threats: Suicide Attack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 Afrique couverte dès la montée de Boko Haram et Al-Shabaab</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1974 – 2019</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CPOST (Chicago Project on Security and Threats) — Université de Chicago (Robert Pape)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base de données CPOST-SAD est la plus complète au monde sur les attentats-suicides, définis comme des actes de violence délibérée dans lesquels l'attaquant meurt lors de l'attaque. Chaque incident doit être vérifié par au moins deux sources indépendantes publiques. En Afrique subsaharienne, CPOST documente notamment la montée en puissance des attentats-suicides de Boko Haram (Nigeria, Tchad, Niger, Cameroun) et des Shebab (Somalie, Kenya). CPOST utilise également des sites militants, des vidéos de martyrs et des réseaux sociaux pour trouver des revendications d'attentats et des informations complémentaires.</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Date et localisation précise de l'attentat, pays et ville, organisation revendiquante, type de cible visée, nombre de morts (attaquant inclus) et de blessés, type d'armement (véhicule piégé, gilet explosif, etc.), vérification par au moins deux sources indépendantes.</w:t>
      </w:r>
    </w:p>
    <w:p>
      <w:pPr>
        <w:spacing w:before="60" w:after="60"/>
      </w:pPr>
      <w:r>
        <w:rPr>
          <w:rFonts w:ascii="Arial" w:cs="Arial" w:eastAsia="Arial" w:hAnsi="Arial"/>
          <w:b/>
          <w:bCs/>
          <w:sz w:val="22"/>
          <w:szCs w:val="22"/>
        </w:rPr>
        <w:t xml:space="preserve">CPOST-SAD (Université de Chicago) : </w:t>
      </w:r>
      <w:hyperlink w:history="1" r:id="rIddwhaj2do7liiegevsxo2y">
        <w:r>
          <w:rPr>
            <w:rFonts w:ascii="Arial" w:cs="Arial" w:eastAsia="Arial" w:hAnsi="Arial"/>
            <w:color w:val="0563C1"/>
            <w:sz w:val="22"/>
            <w:szCs w:val="22"/>
            <w:u w:val="single"/>
          </w:rPr>
          <w:t xml:space="preserve">https://cpost.uchicago.edu/data/</w:t>
        </w:r>
      </w:hyperlink>
    </w:p>
    <w:p>
      <w:pPr>
        <w:spacing w:before="60" w:after="60"/>
      </w:pPr>
      <w:r>
        <w:rPr>
          <w:rFonts w:ascii="Arial" w:cs="Arial" w:eastAsia="Arial" w:hAnsi="Arial"/>
          <w:b/>
          <w:bCs/>
          <w:sz w:val="22"/>
          <w:szCs w:val="22"/>
        </w:rPr>
        <w:t xml:space="preserve">GHDx — CPOST-SAD : </w:t>
      </w:r>
      <w:hyperlink w:history="1" r:id="rIdpxu2xxsdit5lt70jwhosa">
        <w:r>
          <w:rPr>
            <w:rFonts w:ascii="Arial" w:cs="Arial" w:eastAsia="Arial" w:hAnsi="Arial"/>
            <w:color w:val="0563C1"/>
            <w:sz w:val="22"/>
            <w:szCs w:val="22"/>
            <w:u w:val="single"/>
          </w:rPr>
          <w:t xml:space="preserve">https://ghdx.healthdata.org/record/chicago-project-security-and-terrorism-suicide-attack-database</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10. Africa Center for Strategic Studies — Militant Islamist Violence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(toutes les régions, avec focus fort Sahel, Corne, Afrique de l'Est)</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 – présent (actualisé régulièrement)</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Africa Center for Strategic Studies (ACSS) — Département de la Défense des États-Unis (DoD)</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L'Africa Center for Strategic Studies publie un suivi des violences liées aux groupes islamistes militants en Afrique, qui constitue une des rares sources agrégées spécialisées sur ce phénomène. Ses données sont basées principalement sur ACLED et complétées par des sources gouvernementales et humanitaires. L'ACSS publie également des rapports thématiques annuels sur les menaces des groupes militants (Boko Haram / ISWAP, Al-Shabaab, JNIM, État islamique au Grand Sahara, ADF-NALU en RDC, etc.) et des cartes des conflits actifs en Afrique.</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Événements violents attribués à des groupes islamistes militants par pays et région, tendances annuelles de la violence militante islamiste en Afrique, cartographie des zones d'opération des principaux groupes (Boko Haram/ISWAP, Al-Shabaab, JNIM, GSIM, ADF), analyse des réseaux djihadistes africains et de leurs connexions transnationales.</w:t>
      </w:r>
    </w:p>
    <w:p>
      <w:pPr>
        <w:spacing w:before="60" w:after="60"/>
      </w:pPr>
      <w:r>
        <w:rPr>
          <w:rFonts w:ascii="Arial" w:cs="Arial" w:eastAsia="Arial" w:hAnsi="Arial"/>
          <w:b/>
          <w:bCs/>
          <w:sz w:val="22"/>
          <w:szCs w:val="22"/>
        </w:rPr>
        <w:t xml:space="preserve">Africa Center for Strategic Studies — Data : </w:t>
      </w:r>
      <w:hyperlink w:history="1" r:id="rId_0jepf0xdtj6doiotwryn">
        <w:r>
          <w:rPr>
            <w:rFonts w:ascii="Arial" w:cs="Arial" w:eastAsia="Arial" w:hAnsi="Arial"/>
            <w:color w:val="0563C1"/>
            <w:sz w:val="22"/>
            <w:szCs w:val="22"/>
            <w:u w:val="single"/>
          </w:rPr>
          <w:t xml:space="preserve">https://africacenter.org/spotlight/africa-militant-islamist-group-data/</w:t>
        </w:r>
      </w:hyperlink>
    </w:p>
    <w:p>
      <w:pPr>
        <w:spacing w:before="60" w:after="60"/>
      </w:pPr>
      <w:r>
        <w:rPr>
          <w:rFonts w:ascii="Arial" w:cs="Arial" w:eastAsia="Arial" w:hAnsi="Arial"/>
          <w:b/>
          <w:bCs/>
          <w:sz w:val="22"/>
          <w:szCs w:val="22"/>
        </w:rPr>
        <w:t xml:space="preserve">Sahel Tracker (ACSS) : </w:t>
      </w:r>
      <w:hyperlink w:history="1" r:id="rIdbofc7z57oyaxfctyhyxjn">
        <w:r>
          <w:rPr>
            <w:rFonts w:ascii="Arial" w:cs="Arial" w:eastAsia="Arial" w:hAnsi="Arial"/>
            <w:color w:val="0563C1"/>
            <w:sz w:val="22"/>
            <w:szCs w:val="22"/>
            <w:u w:val="single"/>
          </w:rPr>
          <w:t xml:space="preserve">https://africacenter.org/spotlight/sahel-tracker/</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11. GTI — Global Terrorism Index (Institute for Economics and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 pays (dont toute l'Afrique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 annuel depuis 2012 ; données GTD sous-jacentes depuis 2000</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Institute for Economics and Peace (IEP) — données GTD (START/Univ. du Maryland)</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(rapport PDF et données en ligne)</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Global Terrorism Index (GTI) est un indice composite annuel mesurant l'impact du terrorisme sur 163 pays, calculé à partir des données de la GTD. Le score GTI (0-10) est une moyenne pondérée de quatre indicateurs sur les cinq dernières années : nombre d'attentats, nombre de morts, nombre de blessés et atteintes aux biens. L'Afrique subsaharienne concentre une part croissante des violences terroristes mondiales : selon le GTI 2024, le Burkina Faso, le Mali, le Niger, la Somalie et le Nigeria figurent parmi les dix pays les plus affectés au monde par le terrorisme.</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Score GTI par pays (0-10) pour l'année en cours, tendances depuis 2000, évolution par région, analyse des groupes terroristes les plus meurtriers (classement par fatalités), coût économique du terrorisme, profils pays détaillés, analyse des conflits et de l'extrémisme violent par région africaine.</w:t>
      </w:r>
    </w:p>
    <w:p>
      <w:pPr>
        <w:spacing w:before="60" w:after="60"/>
      </w:pPr>
      <w:r>
        <w:rPr>
          <w:rFonts w:ascii="Arial" w:cs="Arial" w:eastAsia="Arial" w:hAnsi="Arial"/>
          <w:b/>
          <w:bCs/>
          <w:sz w:val="22"/>
          <w:szCs w:val="22"/>
        </w:rPr>
        <w:t xml:space="preserve">Portail GTI (IEP) : </w:t>
      </w:r>
      <w:hyperlink w:history="1" r:id="rIdybcxqkbfdf0tqtravw3ww">
        <w:r>
          <w:rPr>
            <w:rFonts w:ascii="Arial" w:cs="Arial" w:eastAsia="Arial" w:hAnsi="Arial"/>
            <w:color w:val="0563C1"/>
            <w:sz w:val="22"/>
            <w:szCs w:val="22"/>
            <w:u w:val="single"/>
          </w:rPr>
          <w:t xml:space="preserve">https://www.visionofhumanity.org/global-terrorism-index/</w:t>
        </w:r>
      </w:hyperlink>
    </w:p>
    <w:p>
      <w:r>
        <w:br w:type="page"/>
      </w:r>
    </w:p>
    <w:p>
      <w:pPr>
        <w:pStyle w:val="Heading1"/>
        <w:spacing w:before="400" w:after="200"/>
      </w:pPr>
      <w:r>
        <w:rPr>
          <w:rFonts w:ascii="Arial" w:cs="Arial" w:eastAsia="Arial" w:hAnsi="Arial"/>
          <w:b/>
          <w:bCs/>
          <w:color w:val="7B0000"/>
          <w:sz w:val="32"/>
          <w:szCs w:val="32"/>
        </w:rPr>
        <w:t xml:space="preserve">IV. Données sur les régimes politiques et la répression</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12. NAVCO — Nonviolent and Violent Campaigns and Outcomes Data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1900 – 2019 (version 3.0)</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Erica Chenoweth (Harvard Kennedy School) &amp; Maria Stephan ; maintenu par l'Université de Denver</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projet NAVCO est la base de données de référence sur les campagnes de résistance civile et de rébellion armée, permettant de comparer systématiquement les résultats des campagnes non violentes et violentes. La version 3.0 identifie plus de 600 campagnes maximales de résistance (cherchant à renverser un gouvernement, mettre fin à une occupation ou obtenir l'indépendance). Elle offre des données sur les tactiques utilisées (grèves, boycotts, sit-in, manifestations ; vs attaques armées, bombardements, guérilla), la participation de la population, la répression gouvernementale et les résultats des campagnes.</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Identification et codage des campagnes maximales de résistance, type de campagne (principalement non violente ou principalement violente), objectif de la campagne (renversement du régime, indépendance, expulsion d'occupant), résultat de la campagne (succès partiel, succès total, échec), ampleur de la participation populaire, réponse gouvernementale (répression violente, accommodements, concessions), soutien extérieur (étatique, non étatique), données pays-année sur les campagnes actives.</w:t>
      </w:r>
    </w:p>
    <w:p>
      <w:pPr>
        <w:spacing w:before="60" w:after="60"/>
      </w:pPr>
      <w:r>
        <w:rPr>
          <w:rFonts w:ascii="Arial" w:cs="Arial" w:eastAsia="Arial" w:hAnsi="Arial"/>
          <w:b/>
          <w:bCs/>
          <w:sz w:val="22"/>
          <w:szCs w:val="22"/>
        </w:rPr>
        <w:t xml:space="preserve">NAVCO Data Project : </w:t>
      </w:r>
      <w:hyperlink w:history="1" r:id="rIduwi_avd2xf1-oz9mrfrvn">
        <w:r>
          <w:rPr>
            <w:rFonts w:ascii="Arial" w:cs="Arial" w:eastAsia="Arial" w:hAnsi="Arial"/>
            <w:color w:val="0563C1"/>
            <w:sz w:val="22"/>
            <w:szCs w:val="22"/>
            <w:u w:val="single"/>
          </w:rPr>
          <w:t xml:space="preserve">https://dataverse.harvard.edu/dataverse/navco</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13. PTS — Political Terror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toute l'Afrique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Annuel depuis 1976</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Gibney (Université de Caroline du Nord Asheville) et collaborateurs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Sources sous-jacentes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Rapports annuels d'Amnesty International (AI) et du Département d'État américain (US State Department)</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Le Political Terror Scale (PTS) mesure le niveau de violations des droits humains physiques (torture, emprisonnement politique, disparitions forcées, exécutions extrajudiciaires) dans chaque pays, sur une échelle de 1 (violations minimales) à 5 (violations généralisées et extrêmes). Il est construit indépendamment à partir de deux sources : les rapports annuels d'Amnesty International et les Country Reports on Human Rights Practices du Département d'État américain. La convergence ou divergence entre les deux codages est un indicateur de fiabilité. Le PTS est largement utilisé comme variable de contrôle ou dépendante dans les études sur les droits humains, les conflits et les migrations forcées en Afrique.</w:t>
      </w:r>
    </w:p>
    <w:p>
      <w:pPr>
        <w:spacing w:before="200" w:after="80"/>
      </w:pPr>
      <w:r>
        <w:rPr>
          <w:rFonts w:ascii="Arial" w:cs="Arial" w:eastAsia="Arial" w:hAnsi="Arial"/>
          <w:b/>
          <w:bCs/>
          <w:color w:val="444444"/>
          <w:sz w:val="24"/>
          <w:szCs w:val="24"/>
        </w:rPr>
        <w:t xml:space="preserve">Niveaux de l'échelle PTS</w:t>
      </w:r>
    </w:p>
    <w:p>
      <w:pPr>
        <w:spacing w:before="60" w:after="60"/>
      </w:pPr>
      <w:r>
        <w:rPr>
          <w:rFonts w:ascii="Arial" w:cs="Arial" w:eastAsia="Arial" w:hAnsi="Arial"/>
          <w:sz w:val="22"/>
          <w:szCs w:val="22"/>
        </w:rPr>
        <w:t xml:space="preserve">Niveau 1 : pays sûrs, sans emprisonnement politique ni torture. Niveau 2 : emprisonnements limités pour des motifs politiques. Niveau 3 : emprisonnements politiques étendus, tortures fréquentes. Niveau 4 : violations généralisées, populations entières sous la menace de la répression. Niveau 5 : terreur s'étendant à toute la population, les morts politiques sont dans les milliers.</w:t>
      </w:r>
    </w:p>
    <w:p>
      <w:pPr>
        <w:spacing w:before="60" w:after="60"/>
      </w:pPr>
      <w:r>
        <w:rPr>
          <w:rFonts w:ascii="Arial" w:cs="Arial" w:eastAsia="Arial" w:hAnsi="Arial"/>
          <w:b/>
          <w:bCs/>
          <w:sz w:val="22"/>
          <w:szCs w:val="22"/>
        </w:rPr>
        <w:t xml:space="preserve">Political Terror Scale : </w:t>
      </w:r>
      <w:hyperlink w:history="1" r:id="rId2nnk4cbtgpcjwn0xwtt0z">
        <w:r>
          <w:rPr>
            <w:rFonts w:ascii="Arial" w:cs="Arial" w:eastAsia="Arial" w:hAnsi="Arial"/>
            <w:color w:val="0563C1"/>
            <w:sz w:val="22"/>
            <w:szCs w:val="22"/>
            <w:u w:val="single"/>
          </w:rPr>
          <w:t xml:space="preserve">https://www.politicalterrorscale.org/</w:t>
        </w:r>
      </w:hyperlink>
    </w:p>
    <w:p>
      <w:pPr>
        <w:spacing w:before="60" w:after="60"/>
      </w:pPr>
      <w:r>
        <w:rPr>
          <w:rFonts w:ascii="Arial" w:cs="Arial" w:eastAsia="Arial" w:hAnsi="Arial"/>
          <w:b/>
          <w:bCs/>
          <w:sz w:val="22"/>
          <w:szCs w:val="22"/>
        </w:rPr>
        <w:t xml:space="preserve">Téléchargement des données PTS : </w:t>
      </w:r>
      <w:hyperlink w:history="1" r:id="rId2ocz5pjrjqnc6rfczjwdl">
        <w:r>
          <w:rPr>
            <w:rFonts w:ascii="Arial" w:cs="Arial" w:eastAsia="Arial" w:hAnsi="Arial"/>
            <w:color w:val="0563C1"/>
            <w:sz w:val="22"/>
            <w:szCs w:val="22"/>
            <w:u w:val="single"/>
          </w:rPr>
          <w:t xml:space="preserve">https://www.politicalterrorscale.org/Data/Download.html</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14. Freedom House — Freedom in the World / Freedom of the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 pays et territoires (dont toute l'Afrique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Annuel depuis 1973 (Freedom in the World) ; 1980 (Freedom of the Press)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Freedom House (ONG américaine, Washington DC), financée en partie par USAID</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Freedom House publie deux évaluations annuelles de référence sur les libertés politiques et civiles à travers le monde. Freedom in the World est une évaluation annuelle des droits politiques (processus électoraux, pluralisme politique, fonctionnement du gouvernement) et des libertés civiles (liberté d'expression, de rassemblement, d'association, État de droit, autonomie personnelle). Chaque pays reçoit un score global de 0 (moins libre) à 100 (plus libre) et une classification en trois catégories : Libre, Partiellement Libre, Non Libre. En 2024, sur les 49 pays d'Afrique subsaharienne évalués, moins d'un tiers sont classés Libres.</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Scores de droits politiques (0-40) et de libertés civiles (0-60) par pays et par an, sous-scores détaillés pour chacun des indicateurs (A1 à A3 pour les droits politiques, B1 à G4 pour les libertés civiles), catégorie de liberté (Libre/Partiellement Libre/Non Libre), tendances par rapport aux années précédentes, rapports narratifs par pays (Pourquoi ce score ?). Freedom of the Press / Freedom on the Net : évaluations complémentaires sur la liberté de la presse et la liberté d'internet.</w:t>
      </w:r>
    </w:p>
    <w:p>
      <w:pPr>
        <w:spacing w:before="60" w:after="60"/>
      </w:pPr>
      <w:r>
        <w:rPr>
          <w:rFonts w:ascii="Arial" w:cs="Arial" w:eastAsia="Arial" w:hAnsi="Arial"/>
          <w:b/>
          <w:bCs/>
          <w:sz w:val="22"/>
          <w:szCs w:val="22"/>
        </w:rPr>
        <w:t xml:space="preserve">Freedom in the World (données et rapports) : </w:t>
      </w:r>
      <w:hyperlink w:history="1" r:id="rId9guekyynmqjzdxmh2tkhr">
        <w:r>
          <w:rPr>
            <w:rFonts w:ascii="Arial" w:cs="Arial" w:eastAsia="Arial" w:hAnsi="Arial"/>
            <w:color w:val="0563C1"/>
            <w:sz w:val="22"/>
            <w:szCs w:val="22"/>
            <w:u w:val="single"/>
          </w:rPr>
          <w:t xml:space="preserve">https://freedomhouse.org/report/freedom-world</w:t>
        </w:r>
      </w:hyperlink>
    </w:p>
    <w:p>
      <w:pPr>
        <w:spacing w:before="60" w:after="60"/>
      </w:pPr>
      <w:r>
        <w:rPr>
          <w:rFonts w:ascii="Arial" w:cs="Arial" w:eastAsia="Arial" w:hAnsi="Arial"/>
          <w:b/>
          <w:bCs/>
          <w:sz w:val="22"/>
          <w:szCs w:val="22"/>
        </w:rPr>
        <w:t xml:space="preserve">Téléchargement des données (Excel) : </w:t>
      </w:r>
      <w:hyperlink w:history="1" r:id="rIdunbzwuonui_egc7me6ooy">
        <w:r>
          <w:rPr>
            <w:rFonts w:ascii="Arial" w:cs="Arial" w:eastAsia="Arial" w:hAnsi="Arial"/>
            <w:color w:val="0563C1"/>
            <w:sz w:val="22"/>
            <w:szCs w:val="22"/>
            <w:u w:val="single"/>
          </w:rPr>
          <w:t xml:space="preserve">https://freedomhouse.org/reports/freedom-world/freedom-world-research-methodology</w:t>
        </w:r>
      </w:hyperlink>
    </w:p>
    <w:p>
      <w:r>
        <w:br w:type="page"/>
      </w:r>
    </w:p>
    <w:p>
      <w:pPr>
        <w:pStyle w:val="Heading1"/>
        <w:spacing w:before="400" w:after="200"/>
      </w:pPr>
      <w:r>
        <w:rPr>
          <w:rFonts w:ascii="Arial" w:cs="Arial" w:eastAsia="Arial" w:hAnsi="Arial"/>
          <w:b/>
          <w:bCs/>
          <w:color w:val="7B0000"/>
          <w:sz w:val="32"/>
          <w:szCs w:val="32"/>
        </w:rPr>
        <w:t xml:space="preserve">V. Bases de données thématiques : ethnicité, élections et conflits</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15. EPR — Ethnic Power Relations Dataset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(tous pays avec population &gt; 250 000 hab. en 1990)</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1946 – 2021</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Conflict Research Group, ETH Zürich (Lars-Erik Cederman, Andreas Wimmer et al.)</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(portail GROWup et téléchargement CSV direct)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famille de bases de données EPR est la référence mondiale pour l'étude du rôle de l'ethnicité dans les conflits politiques. Elle identifie tous les groupes ethniques politiquement pertinents dans chaque pays du monde et code annuellement le degré auquel leurs représentants détiennent le pouvoir exécutif au niveau de l'État, depuis la domination totale jusqu'à la discrimination ouverte. En Afrique subsaharienne, où la politisation des identités ethniques est un facteur majeur des conflits, l'EPR est particulièrement utilisée pour analyser les liens entre exclusion ethnique du pouvoir et risque de rébellion armée.</w:t>
      </w:r>
    </w:p>
    <w:p>
      <w:pPr>
        <w:spacing w:before="200" w:after="80"/>
      </w:pPr>
      <w:r>
        <w:rPr>
          <w:rFonts w:ascii="Arial" w:cs="Arial" w:eastAsia="Arial" w:hAnsi="Arial"/>
          <w:b/>
          <w:bCs/>
          <w:color w:val="444444"/>
          <w:sz w:val="24"/>
          <w:szCs w:val="24"/>
        </w:rPr>
        <w:t xml:space="preserve">Composantes de la famille EPR</w:t>
      </w:r>
    </w:p>
    <w:p>
      <w:pPr>
        <w:spacing w:before="60" w:after="60"/>
      </w:pPr>
      <w:r>
        <w:rPr>
          <w:rFonts w:ascii="Arial" w:cs="Arial" w:eastAsia="Arial" w:hAnsi="Arial"/>
          <w:sz w:val="22"/>
          <w:szCs w:val="22"/>
        </w:rPr>
        <w:t xml:space="preserve">EPR Core (2021) : accès au pouvoir exécutif par groupe ethnique et par an pour plus de 800 groupes dans tous les pays du monde (1946-2021). GeoEPR : localisation spatiale (polygones GIS) de chaque groupe ethnique politiquement pertinent. ACD2EPR : lien entre les groupes EPR et les acteurs des conflits UCDP (permet d'identifier quelle ethnie est impliquée dans quels conflits). EPR-ED : version incluant des distinctions sur les marqueurs ethniques (langue, religion, race). EPR-O : organisations ethnopolitiques et leurs demandes politiques (40 pays, 1946-2013).</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Nom du groupe ethnique, pays, période de codage (début-fin), statut politique (senior partner, junior partner, powerless, discriminated, self-excluded, irrelevant), taille relative du groupe (part de la population nationale), indicateurs de conflit liés au groupe (via ACD2EPR), localisation géographique (via GeoEPR).</w:t>
      </w:r>
    </w:p>
    <w:p>
      <w:pPr>
        <w:spacing w:before="60" w:after="60"/>
      </w:pPr>
      <w:r>
        <w:rPr>
          <w:rFonts w:ascii="Arial" w:cs="Arial" w:eastAsia="Arial" w:hAnsi="Arial"/>
          <w:b/>
          <w:bCs/>
          <w:sz w:val="22"/>
          <w:szCs w:val="22"/>
        </w:rPr>
        <w:t xml:space="preserve">Portail EPR (ICR ETH Zürich) : </w:t>
      </w:r>
      <w:hyperlink w:history="1" r:id="rId8cqyxxscsjoo22zwdemli">
        <w:r>
          <w:rPr>
            <w:rFonts w:ascii="Arial" w:cs="Arial" w:eastAsia="Arial" w:hAnsi="Arial"/>
            <w:color w:val="0563C1"/>
            <w:sz w:val="22"/>
            <w:szCs w:val="22"/>
            <w:u w:val="single"/>
          </w:rPr>
          <w:t xml:space="preserve">https://icr.ethz.ch/data/epr/</w:t>
        </w:r>
      </w:hyperlink>
    </w:p>
    <w:p>
      <w:pPr>
        <w:spacing w:before="60" w:after="60"/>
      </w:pPr>
      <w:r>
        <w:rPr>
          <w:rFonts w:ascii="Arial" w:cs="Arial" w:eastAsia="Arial" w:hAnsi="Arial"/>
          <w:b/>
          <w:bCs/>
          <w:sz w:val="22"/>
          <w:szCs w:val="22"/>
        </w:rPr>
        <w:t xml:space="preserve">GROWup Research Front-End (données pays-année) : </w:t>
      </w:r>
      <w:hyperlink w:history="1" r:id="rIdpnuinyu8axpo1tdls3ea0">
        <w:r>
          <w:rPr>
            <w:rFonts w:ascii="Arial" w:cs="Arial" w:eastAsia="Arial" w:hAnsi="Arial"/>
            <w:color w:val="0563C1"/>
            <w:sz w:val="22"/>
            <w:szCs w:val="22"/>
            <w:u w:val="single"/>
          </w:rPr>
          <w:t xml:space="preserve">https://growup.ethz.ch/</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16. CLEA — Comparative Legislatures Electoral Archive / DECO — Deadly Electoral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 : monde entier. DECO : monde entier (dont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 : résultats électoraux depuis les années 1940. DECO : 1989-2019</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 : Université du Michigan / DECO : UCDP (Uppsala)</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base CLEA (Comparative Legislatures Electoral Archive) est la base de référence sur les résultats électoraux au niveau des circonscriptions dans le monde entier. Elle peut être utilisée conjointement avec des données de violence pour analyser le lien entre compétition électorale et violence. La base DECO (Deadly Electoral Conflict Dataset), développée par l'UCDP, identifie les protestations politiques violentes organisées liées au cycle électoral (campagne, élection, résultats). Elle est compatible avec le GED UCDP et les données ACLED pour des analyses spatio-temporelles des violences électorales en Afrique.</w:t>
      </w:r>
    </w:p>
    <w:p>
      <w:pPr>
        <w:spacing w:before="200" w:after="80"/>
      </w:pPr>
      <w:r>
        <w:rPr>
          <w:rFonts w:ascii="Arial" w:cs="Arial" w:eastAsia="Arial" w:hAnsi="Arial"/>
          <w:b/>
          <w:bCs/>
          <w:color w:val="444444"/>
          <w:sz w:val="24"/>
          <w:szCs w:val="24"/>
        </w:rPr>
        <w:t xml:space="preserve">DECO — Variables clés</w:t>
      </w:r>
    </w:p>
    <w:p>
      <w:pPr>
        <w:spacing w:before="60" w:after="60"/>
      </w:pPr>
      <w:r>
        <w:rPr>
          <w:rFonts w:ascii="Arial" w:cs="Arial" w:eastAsia="Arial" w:hAnsi="Arial"/>
          <w:sz w:val="22"/>
          <w:szCs w:val="22"/>
        </w:rPr>
        <w:t xml:space="preserve">Événements de protestation politique violente organisée liés à des élections, date et localisation géoréférencée, acteurs impliqués (partis, groupes armés, police), fatalités, lien avec le cycle électoral (pré-élection, jour J, post-élection), lien avec les conflits armés UCDP en cours.</w:t>
      </w:r>
    </w:p>
    <w:p>
      <w:pPr>
        <w:spacing w:before="60" w:after="60"/>
      </w:pPr>
      <w:r>
        <w:rPr>
          <w:rFonts w:ascii="Arial" w:cs="Arial" w:eastAsia="Arial" w:hAnsi="Arial"/>
          <w:b/>
          <w:bCs/>
          <w:sz w:val="22"/>
          <w:szCs w:val="22"/>
        </w:rPr>
        <w:t xml:space="preserve">CLEA (Résultats électoraux) : </w:t>
      </w:r>
      <w:hyperlink w:history="1" r:id="rIdbvlidhp6i3ew81uhk1r6r">
        <w:r>
          <w:rPr>
            <w:rFonts w:ascii="Arial" w:cs="Arial" w:eastAsia="Arial" w:hAnsi="Arial"/>
            <w:color w:val="0563C1"/>
            <w:sz w:val="22"/>
            <w:szCs w:val="22"/>
            <w:u w:val="single"/>
          </w:rPr>
          <w:t xml:space="preserve">https://electionarchive.org/</w:t>
        </w:r>
      </w:hyperlink>
    </w:p>
    <w:p>
      <w:pPr>
        <w:spacing w:before="60" w:after="60"/>
      </w:pPr>
      <w:r>
        <w:rPr>
          <w:rFonts w:ascii="Arial" w:cs="Arial" w:eastAsia="Arial" w:hAnsi="Arial"/>
          <w:b/>
          <w:bCs/>
          <w:sz w:val="22"/>
          <w:szCs w:val="22"/>
        </w:rPr>
        <w:t xml:space="preserve">DECO (UCDP) : </w:t>
      </w:r>
      <w:hyperlink w:history="1" r:id="rIdvhw51xfar56d4imyywzpz">
        <w:r>
          <w:rPr>
            <w:rFonts w:ascii="Arial" w:cs="Arial" w:eastAsia="Arial" w:hAnsi="Arial"/>
            <w:color w:val="0563C1"/>
            <w:sz w:val="22"/>
            <w:szCs w:val="22"/>
            <w:u w:val="single"/>
          </w:rPr>
          <w:t xml:space="preserve">https://ucdp.uu.se/downloads/</w:t>
        </w:r>
      </w:hyperlink>
    </w:p>
    <w:p>
      <w:pPr>
        <w:spacing w:before="60" w:after="60"/>
      </w:pPr>
      <w:r>
        <w:rPr>
          <w:rFonts w:ascii="Arial" w:cs="Arial" w:eastAsia="Arial" w:hAnsi="Arial"/>
          <w:b/>
          <w:bCs/>
          <w:sz w:val="22"/>
          <w:szCs w:val="22"/>
        </w:rPr>
        <w:t xml:space="preserve">NELDA (National Elections Across Democracy and Autocracy) : </w:t>
      </w:r>
      <w:hyperlink w:history="1" r:id="rId4hzk-ucudypu2w5m3hrot">
        <w:r>
          <w:rPr>
            <w:rFonts w:ascii="Arial" w:cs="Arial" w:eastAsia="Arial" w:hAnsi="Arial"/>
            <w:color w:val="0563C1"/>
            <w:sz w:val="22"/>
            <w:szCs w:val="22"/>
            <w:u w:val="single"/>
          </w:rPr>
          <w:t xml:space="preserve">https://nelda.co/</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17. PRIO-GRID — Base de données géospatiale de conditions de conflit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Afrique subsaharienne) — grille à 0.5° x 0.5°</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1946 – présent (mises à jour annuelles)</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Peace Research Institute Oslo (PRIO)</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(après inscription)</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PRIO-GRID est une base de données spatio-temporelle qui organise un grand nombre de variables pertinentes pour l'étude des conflits sur une grille géographique standardisée de 0.5° x 0.5° (environ 55 km à l'équateur). Elle agrège des données issues de multiples sources (UCDP/PRIO pour les conflits, FAO pour l'agriculture, données satellitaires pour le climat et la végétation, données socio-économiques du World Bank) à l'échelle de la cellule de grille, permettant des analyses à haute résolution spatiale du lien entre conflits et facteurs environnementaux, économiques et démographiques. Elle est largement utilisée pour les études sur le lien entre changement climatique et conflits en Afrique.</w:t>
      </w:r>
    </w:p>
    <w:p>
      <w:pPr>
        <w:spacing w:before="200" w:after="80"/>
      </w:pPr>
      <w:r>
        <w:rPr>
          <w:rFonts w:ascii="Arial" w:cs="Arial" w:eastAsia="Arial" w:hAnsi="Arial"/>
          <w:b/>
          <w:bCs/>
          <w:color w:val="444444"/>
          <w:sz w:val="24"/>
          <w:szCs w:val="24"/>
        </w:rPr>
        <w:t xml:space="preserve">Variables clés</w:t>
      </w:r>
    </w:p>
    <w:p>
      <w:pPr>
        <w:spacing w:before="60" w:after="60"/>
      </w:pPr>
      <w:r>
        <w:rPr>
          <w:rFonts w:ascii="Arial" w:cs="Arial" w:eastAsia="Arial" w:hAnsi="Arial"/>
          <w:sz w:val="22"/>
          <w:szCs w:val="22"/>
        </w:rPr>
        <w:t xml:space="preserve">Données UCDP sur les conflits agrégées par cellule de grille (présence de conflit, intensité), données climatiques (précipitations, températures, indices de sécheresse SPEI), données de végétation (NDVI par satellite), données économiques (luminosité nocturne comme proxy du PIB local), données démographiques et d'altitude (terrain), données de ressources naturelles (diamants, pétrole), données sur les diamants de sang (Lujala et al.).</w:t>
      </w:r>
    </w:p>
    <w:p>
      <w:pPr>
        <w:spacing w:before="60" w:after="60"/>
      </w:pPr>
      <w:r>
        <w:rPr>
          <w:rFonts w:ascii="Arial" w:cs="Arial" w:eastAsia="Arial" w:hAnsi="Arial"/>
          <w:b/>
          <w:bCs/>
          <w:sz w:val="22"/>
          <w:szCs w:val="22"/>
        </w:rPr>
        <w:t xml:space="preserve">PRIO-GRID : </w:t>
      </w:r>
      <w:hyperlink w:history="1" r:id="rId51_1b0lysvmcdlk-0s3jt">
        <w:r>
          <w:rPr>
            <w:rFonts w:ascii="Arial" w:cs="Arial" w:eastAsia="Arial" w:hAnsi="Arial"/>
            <w:color w:val="0563C1"/>
            <w:sz w:val="22"/>
            <w:szCs w:val="22"/>
            <w:u w:val="single"/>
          </w:rPr>
          <w:t xml:space="preserve">https://grid.prio.org/</w:t>
        </w:r>
      </w:hyperlink>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18. MAR — Minorities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(285 groupes ethniques dans 115 pays — couverture Afrique sub-saharienne)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1945 – 2006 (dernière mise à jour complète)</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for International Development and Conflict Management (CIDCM), Université du Maryland</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444444"/>
          <w:sz w:val="24"/>
          <w:szCs w:val="24"/>
        </w:rPr>
        <w:t xml:space="preserve">Description</w:t>
      </w:r>
    </w:p>
    <w:p>
      <w:pPr>
        <w:spacing w:before="60" w:after="60"/>
      </w:pPr>
      <w:r>
        <w:rPr>
          <w:rFonts w:ascii="Arial" w:cs="Arial" w:eastAsia="Arial" w:hAnsi="Arial"/>
          <w:sz w:val="22"/>
          <w:szCs w:val="22"/>
        </w:rPr>
        <w:t xml:space="preserve">La base MAR identifie et suit les groupes ethnopolitiques (minorités) qui font face à une discrimination ou qui s'organisent collectivement pour défendre leurs intérêts ou améliorer leur situation. Contrairement à l'EPR, MAR se concentre uniquement sur les minorités (pas les groupes majoritaires) et inclut des informations plus détaillées sur la discrimination, les griefs et la mobilisation collective. En Afrique subsaharienne, MAR couvre des dizaines de groupes ethniques dans des pays comme le Nigeria, l'Éthiopie, le Kenya, le Cameroun, la RDC, etc.</w:t>
      </w:r>
    </w:p>
    <w:p>
      <w:pPr>
        <w:spacing w:before="200" w:after="80"/>
      </w:pPr>
      <w:r>
        <w:rPr>
          <w:rFonts w:ascii="Arial" w:cs="Arial" w:eastAsia="Arial" w:hAnsi="Arial"/>
          <w:b/>
          <w:bCs/>
          <w:color w:val="444444"/>
          <w:sz w:val="24"/>
          <w:szCs w:val="24"/>
        </w:rPr>
        <w:t xml:space="preserve">Sections couvertes</w:t>
      </w:r>
    </w:p>
    <w:p>
      <w:pPr>
        <w:spacing w:before="60" w:after="60"/>
      </w:pPr>
      <w:r>
        <w:rPr>
          <w:rFonts w:ascii="Arial" w:cs="Arial" w:eastAsia="Arial" w:hAnsi="Arial"/>
          <w:sz w:val="22"/>
          <w:szCs w:val="22"/>
        </w:rPr>
        <w:t xml:space="preserve">Évaluation annuelle du statut politique, économique et culturel des groupes minoritaires, discriminations subies (état, sociétales), griefs articulés, mobilisation politique et rebelle, niveaux de protestation et de révolte, soutien extérieur aux groupes (étatique, diaspora), réponses gouvernementales (accommodements, répression).</w:t>
      </w:r>
    </w:p>
    <w:p>
      <w:pPr>
        <w:spacing w:before="60" w:after="60"/>
      </w:pPr>
      <w:r>
        <w:rPr>
          <w:rFonts w:ascii="Arial" w:cs="Arial" w:eastAsia="Arial" w:hAnsi="Arial"/>
          <w:b/>
          <w:bCs/>
          <w:sz w:val="22"/>
          <w:szCs w:val="22"/>
        </w:rPr>
        <w:t xml:space="preserve">MAR (Minorities at Risk) : </w:t>
      </w:r>
      <w:hyperlink w:history="1" r:id="rIdgueagx5hhnezw1shjsdgc">
        <w:r>
          <w:rPr>
            <w:rFonts w:ascii="Arial" w:cs="Arial" w:eastAsia="Arial" w:hAnsi="Arial"/>
            <w:color w:val="0563C1"/>
            <w:sz w:val="22"/>
            <w:szCs w:val="22"/>
            <w:u w:val="single"/>
          </w:rPr>
          <w:t xml:space="preserve">https://cidcm.umd.edu/mar</w:t>
        </w:r>
      </w:hyperlink>
    </w:p>
    <w:p>
      <w:r>
        <w:br w:type="page"/>
      </w:r>
    </w:p>
    <w:p>
      <w:pPr>
        <w:pStyle w:val="Heading1"/>
        <w:spacing w:before="400" w:after="200"/>
      </w:pPr>
      <w:r>
        <w:rPr>
          <w:rFonts w:ascii="Arial" w:cs="Arial" w:eastAsia="Arial" w:hAnsi="Arial"/>
          <w:b/>
          <w:bCs/>
          <w:color w:val="7B0000"/>
          <w:sz w:val="32"/>
          <w:szCs w:val="32"/>
        </w:rPr>
        <w:t xml:space="preserve">VI. Remarques générales et conseils d'utilisation</w:t>
      </w:r>
    </w:p>
    <w:p>
      <w:pPr>
        <w:pBdr>
          <w:bottom w:val="single" w:color="CCCCCC" w:sz="4" w:space="1"/>
        </w:pBdr>
        <w:spacing w:before="120" w:after="120"/>
      </w:pPr>
    </w:p>
    <w:p>
      <w:pPr>
        <w:pStyle w:val="Heading2"/>
        <w:spacing w:before="300" w:after="150"/>
      </w:pPr>
      <w:r>
        <w:rPr>
          <w:rFonts w:ascii="Arial" w:cs="Arial" w:eastAsia="Arial" w:hAnsi="Arial"/>
          <w:b/>
          <w:bCs/>
          <w:color w:val="C0392B"/>
          <w:sz w:val="26"/>
          <w:szCs w:val="26"/>
        </w:rPr>
        <w:t xml:space="preserve">Comparaison des principales bases événementielles : ACLED vs UCDP GED</w:t>
      </w:r>
    </w:p>
    <w:p>
      <w:pPr>
        <w:spacing w:before="60" w:after="60"/>
      </w:pPr>
      <w:r>
        <w:rPr>
          <w:rFonts w:ascii="Arial" w:cs="Arial" w:eastAsia="Arial" w:hAnsi="Arial"/>
          <w:sz w:val="22"/>
          <w:szCs w:val="22"/>
        </w:rPr>
        <w:t xml:space="preserve">ACLED et UCDP GED sont les deux bases de données événementielles géoréférencées les plus utilisées. Leurs différences méthodologiques sont importantes. ACLED couvre un spectre plus large de violence politique (y compris les émeutes, protestations et développements stratégiques) et met à jour ses données hebdomadairement pour l'Afrique, ce qui en fait la meilleure source pour le suivi en temps réel et les événements récents. UCDP GED applique des définitions plus strictes (violence organisée, seuil de létalité) et dispose d'un système de typage mutuellement exclusif (pas de double comptage entre types), ce qui le rend plus adapté aux analyses comparatives longues et à la modélisation économétrique. Les deux bases sont souvent utilisées conjointement pour des analyses de robustesse.</w:t>
      </w:r>
    </w:p>
    <w:p>
      <w:pPr>
        <w:pStyle w:val="Heading2"/>
        <w:spacing w:before="300" w:after="150"/>
      </w:pPr>
      <w:r>
        <w:rPr>
          <w:rFonts w:ascii="Arial" w:cs="Arial" w:eastAsia="Arial" w:hAnsi="Arial"/>
          <w:b/>
          <w:bCs/>
          <w:color w:val="C0392B"/>
          <w:sz w:val="26"/>
          <w:szCs w:val="26"/>
        </w:rPr>
        <w:t xml:space="preserve">Niveaux d'analyse et choix de la base appropriée</w:t>
      </w:r>
    </w:p>
    <w:p>
      <w:pPr>
        <w:spacing w:before="60" w:after="60"/>
      </w:pPr>
      <w:r>
        <w:rPr>
          <w:rFonts w:ascii="Arial" w:cs="Arial" w:eastAsia="Arial" w:hAnsi="Arial"/>
          <w:sz w:val="22"/>
          <w:szCs w:val="22"/>
        </w:rPr>
        <w:t xml:space="preserve">Pour les analyses macro-comparatives (pays-année, depuis 1946) : UCDP/PRIO ACD, COW, Polity5, V-Dem, PTS, Freedom House, GHI. Pour les analyses meso (niveau sous-national, province ou district) : ACLED, UCDP GED, PRIO-GRID, Cadre Harmonisé (IPC). Pour les analyses micro (événements individuels, géoréférencées) : ACLED (data export), UCDP GED, GTD, CPOST-SAD. Pour les analyses sur l'ethnicité et les conflits : EPR, MAR, GeoEPR + ACD2EPR. Pour les élections et la violence électorale : DECO (UCDP), ACLED (événements électoraux), V-Dem (violence électorale), NELDA, CLEA.</w:t>
      </w:r>
    </w:p>
    <w:p>
      <w:pPr>
        <w:pStyle w:val="Heading2"/>
        <w:spacing w:before="300" w:after="150"/>
      </w:pPr>
      <w:r>
        <w:rPr>
          <w:rFonts w:ascii="Arial" w:cs="Arial" w:eastAsia="Arial" w:hAnsi="Arial"/>
          <w:b/>
          <w:bCs/>
          <w:color w:val="C0392B"/>
          <w:sz w:val="26"/>
          <w:szCs w:val="26"/>
        </w:rPr>
        <w:t xml:space="preserve">Biais de collecte et précautions d'usage</w:t>
      </w:r>
    </w:p>
    <w:p>
      <w:pPr>
        <w:spacing w:before="60" w:after="60"/>
      </w:pPr>
      <w:r>
        <w:rPr>
          <w:rFonts w:ascii="Arial" w:cs="Arial" w:eastAsia="Arial" w:hAnsi="Arial"/>
          <w:sz w:val="22"/>
          <w:szCs w:val="22"/>
        </w:rPr>
        <w:t xml:space="preserve">Toutes les bases événementielles (ACLED, UCDP, GTD, SCAD) souffrent de biais de couverture médiatique : les événements dans des zones reculées, à accès humanitaire difficile ou sous contrôle de groupes armés, sont systématiquement sous-rapportés. En Afrique subsaharienne, ce biais est particulièrement prononcé dans les zones de conflit actif (Mali nord, Sahel central, nord du Mozambique, parties de la RDC). Les estimations de fatalités sont toujours incertaines et présentent des fourchettes (min-max) : utiliser les valeurs médianes (best estimates) pour les analyses.</w:t>
      </w:r>
    </w:p>
    <w:p>
      <w:pPr>
        <w:pStyle w:val="Heading2"/>
        <w:spacing w:before="300" w:after="150"/>
      </w:pPr>
      <w:r>
        <w:rPr>
          <w:rFonts w:ascii="Arial" w:cs="Arial" w:eastAsia="Arial" w:hAnsi="Arial"/>
          <w:b/>
          <w:bCs/>
          <w:color w:val="C0392B"/>
          <w:sz w:val="26"/>
          <w:szCs w:val="26"/>
        </w:rPr>
        <w:t xml:space="preserve">Portails et agrégateurs utiles</w:t>
      </w:r>
    </w:p>
    <w:p>
      <w:pPr>
        <w:spacing w:before="60" w:after="60"/>
      </w:pPr>
      <w:r>
        <w:rPr>
          <w:rFonts w:ascii="Arial" w:cs="Arial" w:eastAsia="Arial" w:hAnsi="Arial"/>
          <w:b/>
          <w:bCs/>
          <w:sz w:val="22"/>
          <w:szCs w:val="22"/>
        </w:rPr>
        <w:t xml:space="preserve">ACLED (violence politique, temps réel) : </w:t>
      </w:r>
      <w:hyperlink w:history="1" r:id="rIdd6sfxjnfrfipse5b0bve-">
        <w:r>
          <w:rPr>
            <w:rFonts w:ascii="Arial" w:cs="Arial" w:eastAsia="Arial" w:hAnsi="Arial"/>
            <w:color w:val="0563C1"/>
            <w:sz w:val="22"/>
            <w:szCs w:val="22"/>
            <w:u w:val="single"/>
          </w:rPr>
          <w:t xml:space="preserve">https://acleddata.com/</w:t>
        </w:r>
      </w:hyperlink>
    </w:p>
    <w:p>
      <w:pPr>
        <w:spacing w:before="60" w:after="60"/>
      </w:pPr>
      <w:r>
        <w:rPr>
          <w:rFonts w:ascii="Arial" w:cs="Arial" w:eastAsia="Arial" w:hAnsi="Arial"/>
          <w:b/>
          <w:bCs/>
          <w:sz w:val="22"/>
          <w:szCs w:val="22"/>
        </w:rPr>
        <w:t xml:space="preserve">UCDP (conflits armés, violence organisée) : </w:t>
      </w:r>
      <w:hyperlink w:history="1" r:id="rIdws8pblalwghzkdko5t9aw">
        <w:r>
          <w:rPr>
            <w:rFonts w:ascii="Arial" w:cs="Arial" w:eastAsia="Arial" w:hAnsi="Arial"/>
            <w:color w:val="0563C1"/>
            <w:sz w:val="22"/>
            <w:szCs w:val="22"/>
            <w:u w:val="single"/>
          </w:rPr>
          <w:t xml:space="preserve">https://ucdp.uu.se/</w:t>
        </w:r>
      </w:hyperlink>
    </w:p>
    <w:p>
      <w:pPr>
        <w:spacing w:before="60" w:after="60"/>
      </w:pPr>
      <w:r>
        <w:rPr>
          <w:rFonts w:ascii="Arial" w:cs="Arial" w:eastAsia="Arial" w:hAnsi="Arial"/>
          <w:b/>
          <w:bCs/>
          <w:sz w:val="22"/>
          <w:szCs w:val="22"/>
        </w:rPr>
        <w:t xml:space="preserve">V-Dem (régimes, répression) : </w:t>
      </w:r>
      <w:hyperlink w:history="1" r:id="rId50zey6a5cn0ht6g45j2st">
        <w:r>
          <w:rPr>
            <w:rFonts w:ascii="Arial" w:cs="Arial" w:eastAsia="Arial" w:hAnsi="Arial"/>
            <w:color w:val="0563C1"/>
            <w:sz w:val="22"/>
            <w:szCs w:val="22"/>
            <w:u w:val="single"/>
          </w:rPr>
          <w:t xml:space="preserve">https://www.v-dem.net/</w:t>
        </w:r>
      </w:hyperlink>
    </w:p>
    <w:p>
      <w:pPr>
        <w:spacing w:before="60" w:after="60"/>
      </w:pPr>
      <w:r>
        <w:rPr>
          <w:rFonts w:ascii="Arial" w:cs="Arial" w:eastAsia="Arial" w:hAnsi="Arial"/>
          <w:b/>
          <w:bCs/>
          <w:sz w:val="22"/>
          <w:szCs w:val="22"/>
        </w:rPr>
        <w:t xml:space="preserve">GTD (terrorisme) : </w:t>
      </w:r>
      <w:hyperlink w:history="1" r:id="rIdxiwpif-piy0is5it6ttzb">
        <w:r>
          <w:rPr>
            <w:rFonts w:ascii="Arial" w:cs="Arial" w:eastAsia="Arial" w:hAnsi="Arial"/>
            <w:color w:val="0563C1"/>
            <w:sz w:val="22"/>
            <w:szCs w:val="22"/>
            <w:u w:val="single"/>
          </w:rPr>
          <w:t xml:space="preserve">https://www.start.umd.edu/gtd/</w:t>
        </w:r>
      </w:hyperlink>
    </w:p>
    <w:p>
      <w:pPr>
        <w:spacing w:before="60" w:after="60"/>
      </w:pPr>
      <w:r>
        <w:rPr>
          <w:rFonts w:ascii="Arial" w:cs="Arial" w:eastAsia="Arial" w:hAnsi="Arial"/>
          <w:b/>
          <w:bCs/>
          <w:sz w:val="22"/>
          <w:szCs w:val="22"/>
        </w:rPr>
        <w:t xml:space="preserve">CSP / INSCR Data (Polity5, coups d'État, MEPV) : </w:t>
      </w:r>
      <w:hyperlink w:history="1" r:id="rIdijus4enfhmrkedqspxbiz">
        <w:r>
          <w:rPr>
            <w:rFonts w:ascii="Arial" w:cs="Arial" w:eastAsia="Arial" w:hAnsi="Arial"/>
            <w:color w:val="0563C1"/>
            <w:sz w:val="22"/>
            <w:szCs w:val="22"/>
            <w:u w:val="single"/>
          </w:rPr>
          <w:t xml:space="preserve">https://www.systemicpeace.org/inscrdata.html</w:t>
        </w:r>
      </w:hyperlink>
    </w:p>
    <w:p>
      <w:pPr>
        <w:spacing w:before="60" w:after="60"/>
      </w:pPr>
      <w:r>
        <w:rPr>
          <w:rFonts w:ascii="Arial" w:cs="Arial" w:eastAsia="Arial" w:hAnsi="Arial"/>
          <w:b/>
          <w:bCs/>
          <w:sz w:val="22"/>
          <w:szCs w:val="22"/>
        </w:rPr>
        <w:t xml:space="preserve">EPR / GROWup (ethnicité et conflits) : </w:t>
      </w:r>
      <w:hyperlink w:history="1" r:id="rId9in6wqzf-mieglnkvs2rv">
        <w:r>
          <w:rPr>
            <w:rFonts w:ascii="Arial" w:cs="Arial" w:eastAsia="Arial" w:hAnsi="Arial"/>
            <w:color w:val="0563C1"/>
            <w:sz w:val="22"/>
            <w:szCs w:val="22"/>
            <w:u w:val="single"/>
          </w:rPr>
          <w:t xml:space="preserve">https://growup.ethz.ch/</w:t>
        </w:r>
      </w:hyperlink>
    </w:p>
    <w:p>
      <w:pPr>
        <w:spacing w:before="60" w:after="60"/>
      </w:pPr>
      <w:r>
        <w:rPr>
          <w:rFonts w:ascii="Arial" w:cs="Arial" w:eastAsia="Arial" w:hAnsi="Arial"/>
          <w:b/>
          <w:bCs/>
          <w:sz w:val="22"/>
          <w:szCs w:val="22"/>
        </w:rPr>
        <w:t xml:space="preserve">COW (guerres depuis 1816) : </w:t>
      </w:r>
      <w:hyperlink w:history="1" r:id="rIdqa7twkenuzqehilpgolig">
        <w:r>
          <w:rPr>
            <w:rFonts w:ascii="Arial" w:cs="Arial" w:eastAsia="Arial" w:hAnsi="Arial"/>
            <w:color w:val="0563C1"/>
            <w:sz w:val="22"/>
            <w:szCs w:val="22"/>
            <w:u w:val="single"/>
          </w:rPr>
          <w:t xml:space="preserve">https://correlatesofwar.org/data-sets/</w:t>
        </w:r>
      </w:hyperlink>
    </w:p>
    <w:p>
      <w:pPr>
        <w:spacing w:before="60" w:after="60"/>
      </w:pPr>
      <w:r>
        <w:rPr>
          <w:rFonts w:ascii="Arial" w:cs="Arial" w:eastAsia="Arial" w:hAnsi="Arial"/>
          <w:b/>
          <w:bCs/>
          <w:sz w:val="22"/>
          <w:szCs w:val="22"/>
        </w:rPr>
        <w:t xml:space="preserve">PRIO-GRID (données spatio-temporelles) : </w:t>
      </w:r>
      <w:hyperlink w:history="1" r:id="rIdh7ynyr6h12asn_nbnjwpi">
        <w:r>
          <w:rPr>
            <w:rFonts w:ascii="Arial" w:cs="Arial" w:eastAsia="Arial" w:hAnsi="Arial"/>
            <w:color w:val="0563C1"/>
            <w:sz w:val="22"/>
            <w:szCs w:val="22"/>
            <w:u w:val="single"/>
          </w:rPr>
          <w:t xml:space="preserve">https://grid.prio.org/</w:t>
        </w:r>
      </w:hyperlink>
    </w:p>
    <w:p>
      <w:pPr>
        <w:spacing w:before="60" w:after="60"/>
      </w:pPr>
      <w:r>
        <w:rPr>
          <w:rFonts w:ascii="Arial" w:cs="Arial" w:eastAsia="Arial" w:hAnsi="Arial"/>
          <w:b/>
          <w:bCs/>
          <w:sz w:val="22"/>
          <w:szCs w:val="22"/>
        </w:rPr>
        <w:t xml:space="preserve">Political Terror Scale (répression) : </w:t>
      </w:r>
      <w:hyperlink w:history="1" r:id="rId7ref0lvv9qmbpugit9zc0">
        <w:r>
          <w:rPr>
            <w:rFonts w:ascii="Arial" w:cs="Arial" w:eastAsia="Arial" w:hAnsi="Arial"/>
            <w:color w:val="0563C1"/>
            <w:sz w:val="22"/>
            <w:szCs w:val="22"/>
            <w:u w:val="single"/>
          </w:rPr>
          <w:t xml:space="preserve">https://www.politicalterrorscale.org/</w:t>
        </w:r>
      </w:hyperlink>
    </w:p>
    <w:p>
      <w:pPr>
        <w:spacing w:before="60" w:after="60"/>
      </w:pPr>
      <w:r>
        <w:rPr>
          <w:rFonts w:ascii="Arial" w:cs="Arial" w:eastAsia="Arial" w:hAnsi="Arial"/>
          <w:b/>
          <w:bCs/>
          <w:sz w:val="22"/>
          <w:szCs w:val="22"/>
        </w:rPr>
        <w:t xml:space="preserve">Freedom House (libertés politiques) : </w:t>
      </w:r>
      <w:hyperlink w:history="1" r:id="rIdp5iqe0nuezz_8kw9x9bqh">
        <w:r>
          <w:rPr>
            <w:rFonts w:ascii="Arial" w:cs="Arial" w:eastAsia="Arial" w:hAnsi="Arial"/>
            <w:color w:val="0563C1"/>
            <w:sz w:val="22"/>
            <w:szCs w:val="22"/>
            <w:u w:val="single"/>
          </w:rPr>
          <w:t xml:space="preserve">https://freedomhouse.org/report/freedom-world</w:t>
        </w:r>
      </w:hyperlink>
    </w:p>
    <w:p>
      <w:pPr>
        <w:spacing w:before="60" w:after="60"/>
      </w:pPr>
      <w:r>
        <w:rPr>
          <w:rFonts w:ascii="Arial" w:cs="Arial" w:eastAsia="Arial" w:hAnsi="Arial"/>
          <w:b/>
          <w:bCs/>
          <w:sz w:val="22"/>
          <w:szCs w:val="22"/>
        </w:rPr>
        <w:t xml:space="preserve">NAVCO (résistance civile) : </w:t>
      </w:r>
      <w:hyperlink w:history="1" r:id="rIdenns9jpnbcgxhkitbmqtn">
        <w:r>
          <w:rPr>
            <w:rFonts w:ascii="Arial" w:cs="Arial" w:eastAsia="Arial" w:hAnsi="Arial"/>
            <w:color w:val="0563C1"/>
            <w:sz w:val="22"/>
            <w:szCs w:val="22"/>
            <w:u w:val="single"/>
          </w:rPr>
          <w:t xml:space="preserve">https://dataverse.harvard.edu/dataverse/navco</w:t>
        </w:r>
      </w:hyperlink>
    </w:p>
    <w:p>
      <w:pPr>
        <w:spacing w:before="60" w:after="60"/>
      </w:pPr>
      <w:r>
        <w:rPr>
          <w:rFonts w:ascii="Arial" w:cs="Arial" w:eastAsia="Arial" w:hAnsi="Arial"/>
          <w:b/>
          <w:bCs/>
          <w:sz w:val="22"/>
          <w:szCs w:val="22"/>
        </w:rPr>
        <w:t xml:space="preserve">Africa Center for Strategic Studies (djihadisme) : </w:t>
      </w:r>
      <w:hyperlink w:history="1" r:id="rIdkfzsiv_rglfkyb9ekrbfb">
        <w:r>
          <w:rPr>
            <w:rFonts w:ascii="Arial" w:cs="Arial" w:eastAsia="Arial" w:hAnsi="Arial"/>
            <w:color w:val="0563C1"/>
            <w:sz w:val="22"/>
            <w:szCs w:val="22"/>
            <w:u w:val="single"/>
          </w:rPr>
          <w:t xml:space="preserve">https://africacenter.org/spotlight/africa-militant-islamist-group-data/</w:t>
        </w:r>
      </w:hyperlink>
    </w:p>
    <w:p>
      <w:pPr>
        <w:spacing w:before="60" w:after="60"/>
      </w:pPr>
      <w:r>
        <w:rPr>
          <w:rFonts w:ascii="Arial" w:cs="Arial" w:eastAsia="Arial" w:hAnsi="Arial"/>
          <w:b/>
          <w:bCs/>
          <w:sz w:val="22"/>
          <w:szCs w:val="22"/>
        </w:rPr>
        <w:t xml:space="preserve">Global Terrorism Index (IEP) : </w:t>
      </w:r>
      <w:hyperlink w:history="1" r:id="rIdf43ijexso-sjmdovd1_rb">
        <w:r>
          <w:rPr>
            <w:rFonts w:ascii="Arial" w:cs="Arial" w:eastAsia="Arial" w:hAnsi="Arial"/>
            <w:color w:val="0563C1"/>
            <w:sz w:val="22"/>
            <w:szCs w:val="22"/>
            <w:u w:val="single"/>
          </w:rPr>
          <w:t xml:space="preserve">https://www.visionofhumanity.org/global-terrorism-index/</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B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iwok-dzo8mlhacird2zg" Type="http://schemas.openxmlformats.org/officeDocument/2006/relationships/hyperlink" Target="https://acleddata.com/" TargetMode="External"/><Relationship Id="rIdpgotepslnfidcqzk-lgwd" Type="http://schemas.openxmlformats.org/officeDocument/2006/relationships/hyperlink" Target="https://acleddata.com/data-export-tool/" TargetMode="External"/><Relationship Id="rIdiiwz_m4tnczuhhvhghfts" Type="http://schemas.openxmlformats.org/officeDocument/2006/relationships/hyperlink" Target="https://acleddata.com/acleddatanew/wp-content/uploads/2021/11/ACLED_API-User-Guide_2021.pdf" TargetMode="External"/><Relationship Id="rIddwqrj2imlyn_hr_zt3vvt" Type="http://schemas.openxmlformats.org/officeDocument/2006/relationships/hyperlink" Target="https://acleddata.com/conflict-index/" TargetMode="External"/><Relationship Id="rIdohu-57ggdiz78chmw5mqi" Type="http://schemas.openxmlformats.org/officeDocument/2006/relationships/hyperlink" Target="https://ucdp.uu.se/downloads/" TargetMode="External"/><Relationship Id="rId6_elq1psddoxdddr_jexe" Type="http://schemas.openxmlformats.org/officeDocument/2006/relationships/hyperlink" Target="https://ucdp.uu.se/apidocs/" TargetMode="External"/><Relationship Id="rIdv1lgmfldwlxeaby1czslw" Type="http://schemas.openxmlformats.org/officeDocument/2006/relationships/hyperlink" Target="https://ucdp.uu.se/encyclopedia" TargetMode="External"/><Relationship Id="rIdqywdq_1vmuyle84d9fyls" Type="http://schemas.openxmlformats.org/officeDocument/2006/relationships/hyperlink" Target="https://korbel.du.edu/sie/content/social-conflict-analysis-database" TargetMode="External"/><Relationship Id="rIdceifqkszv59o15hl9x56w" Type="http://schemas.openxmlformats.org/officeDocument/2006/relationships/hyperlink" Target="https://www.start.umd.edu/gtd/" TargetMode="External"/><Relationship Id="rId4foc6xw9c4awpil-i3ob1" Type="http://schemas.openxmlformats.org/officeDocument/2006/relationships/hyperlink" Target="https://www.visionofhumanity.org/global-terrorism-index/" TargetMode="External"/><Relationship Id="rIdvdpx28uhca6alm-w4plpi" Type="http://schemas.openxmlformats.org/officeDocument/2006/relationships/hyperlink" Target="https://ucdp.uu.se/downloads/" TargetMode="External"/><Relationship Id="rIdkdyjwthmgdob4cqfwftrk" Type="http://schemas.openxmlformats.org/officeDocument/2006/relationships/hyperlink" Target="https://www.prio.org/data/4" TargetMode="External"/><Relationship Id="rIdv-2nyv82g_icp8t1iwku0" Type="http://schemas.openxmlformats.org/officeDocument/2006/relationships/hyperlink" Target="https://correlatesofwar.org/" TargetMode="External"/><Relationship Id="rIddfbkrb0genqvgmhuyagtx" Type="http://schemas.openxmlformats.org/officeDocument/2006/relationships/hyperlink" Target="https://correlatesofwar.org/data-sets/" TargetMode="External"/><Relationship Id="rIdydtqmegkxyhcpxrttijqa" Type="http://schemas.openxmlformats.org/officeDocument/2006/relationships/hyperlink" Target="https://www.systemicpeace.org/inscrdata.html" TargetMode="External"/><Relationship Id="rIdy3yzzwfhjuxwhtzjz0vjv" Type="http://schemas.openxmlformats.org/officeDocument/2006/relationships/hyperlink" Target="https://www.systemicpeace.org/polityproject.html" TargetMode="External"/><Relationship Id="rIdigqadbwxlbto3lg9sjtcb" Type="http://schemas.openxmlformats.org/officeDocument/2006/relationships/hyperlink" Target="https://www.v-dem.net/data/the-v-dem-dataset/" TargetMode="External"/><Relationship Id="rIdsqwg-8kpdzfhcwugvmirj" Type="http://schemas.openxmlformats.org/officeDocument/2006/relationships/hyperlink" Target="https://www.v-dem.net/data_analysis/VariableGraph/" TargetMode="External"/><Relationship Id="rIdmzj0ykfebwlsdmxqi-i6c" Type="http://schemas.openxmlformats.org/officeDocument/2006/relationships/hyperlink" Target="https://github.com/vdeminstitute/vdemdata" TargetMode="External"/><Relationship Id="rIddwhaj2do7liiegevsxo2y" Type="http://schemas.openxmlformats.org/officeDocument/2006/relationships/hyperlink" Target="https://cpost.uchicago.edu/data/" TargetMode="External"/><Relationship Id="rIdpxu2xxsdit5lt70jwhosa" Type="http://schemas.openxmlformats.org/officeDocument/2006/relationships/hyperlink" Target="https://ghdx.healthdata.org/record/chicago-project-security-and-terrorism-suicide-attack-database" TargetMode="External"/><Relationship Id="rId_0jepf0xdtj6doiotwryn" Type="http://schemas.openxmlformats.org/officeDocument/2006/relationships/hyperlink" Target="https://africacenter.org/spotlight/africa-militant-islamist-group-data/" TargetMode="External"/><Relationship Id="rIdbofc7z57oyaxfctyhyxjn" Type="http://schemas.openxmlformats.org/officeDocument/2006/relationships/hyperlink" Target="https://africacenter.org/spotlight/sahel-tracker/" TargetMode="External"/><Relationship Id="rIdybcxqkbfdf0tqtravw3ww" Type="http://schemas.openxmlformats.org/officeDocument/2006/relationships/hyperlink" Target="https://www.visionofhumanity.org/global-terrorism-index/" TargetMode="External"/><Relationship Id="rIduwi_avd2xf1-oz9mrfrvn" Type="http://schemas.openxmlformats.org/officeDocument/2006/relationships/hyperlink" Target="https://dataverse.harvard.edu/dataverse/navco" TargetMode="External"/><Relationship Id="rId2nnk4cbtgpcjwn0xwtt0z" Type="http://schemas.openxmlformats.org/officeDocument/2006/relationships/hyperlink" Target="https://www.politicalterrorscale.org/" TargetMode="External"/><Relationship Id="rId2ocz5pjrjqnc6rfczjwdl" Type="http://schemas.openxmlformats.org/officeDocument/2006/relationships/hyperlink" Target="https://www.politicalterrorscale.org/Data/Download.html" TargetMode="External"/><Relationship Id="rId9guekyynmqjzdxmh2tkhr" Type="http://schemas.openxmlformats.org/officeDocument/2006/relationships/hyperlink" Target="https://freedomhouse.org/report/freedom-world" TargetMode="External"/><Relationship Id="rIdunbzwuonui_egc7me6ooy" Type="http://schemas.openxmlformats.org/officeDocument/2006/relationships/hyperlink" Target="https://freedomhouse.org/reports/freedom-world/freedom-world-research-methodology" TargetMode="External"/><Relationship Id="rId8cqyxxscsjoo22zwdemli" Type="http://schemas.openxmlformats.org/officeDocument/2006/relationships/hyperlink" Target="https://icr.ethz.ch/data/epr/" TargetMode="External"/><Relationship Id="rIdpnuinyu8axpo1tdls3ea0" Type="http://schemas.openxmlformats.org/officeDocument/2006/relationships/hyperlink" Target="https://growup.ethz.ch/" TargetMode="External"/><Relationship Id="rIdbvlidhp6i3ew81uhk1r6r" Type="http://schemas.openxmlformats.org/officeDocument/2006/relationships/hyperlink" Target="https://electionarchive.org/" TargetMode="External"/><Relationship Id="rIdvhw51xfar56d4imyywzpz" Type="http://schemas.openxmlformats.org/officeDocument/2006/relationships/hyperlink" Target="https://ucdp.uu.se/downloads/" TargetMode="External"/><Relationship Id="rId4hzk-ucudypu2w5m3hrot" Type="http://schemas.openxmlformats.org/officeDocument/2006/relationships/hyperlink" Target="https://nelda.co/" TargetMode="External"/><Relationship Id="rId51_1b0lysvmcdlk-0s3jt" Type="http://schemas.openxmlformats.org/officeDocument/2006/relationships/hyperlink" Target="https://grid.prio.org/" TargetMode="External"/><Relationship Id="rIdgueagx5hhnezw1shjsdgc" Type="http://schemas.openxmlformats.org/officeDocument/2006/relationships/hyperlink" Target="https://cidcm.umd.edu/mar" TargetMode="External"/><Relationship Id="rIdd6sfxjnfrfipse5b0bve-" Type="http://schemas.openxmlformats.org/officeDocument/2006/relationships/hyperlink" Target="https://acleddata.com/" TargetMode="External"/><Relationship Id="rIdws8pblalwghzkdko5t9aw" Type="http://schemas.openxmlformats.org/officeDocument/2006/relationships/hyperlink" Target="https://ucdp.uu.se/" TargetMode="External"/><Relationship Id="rId50zey6a5cn0ht6g45j2st" Type="http://schemas.openxmlformats.org/officeDocument/2006/relationships/hyperlink" Target="https://www.v-dem.net/" TargetMode="External"/><Relationship Id="rIdxiwpif-piy0is5it6ttzb" Type="http://schemas.openxmlformats.org/officeDocument/2006/relationships/hyperlink" Target="https://www.start.umd.edu/gtd/" TargetMode="External"/><Relationship Id="rIdijus4enfhmrkedqspxbiz" Type="http://schemas.openxmlformats.org/officeDocument/2006/relationships/hyperlink" Target="https://www.systemicpeace.org/inscrdata.html" TargetMode="External"/><Relationship Id="rId9in6wqzf-mieglnkvs2rv" Type="http://schemas.openxmlformats.org/officeDocument/2006/relationships/hyperlink" Target="https://growup.ethz.ch/" TargetMode="External"/><Relationship Id="rIdqa7twkenuzqehilpgolig" Type="http://schemas.openxmlformats.org/officeDocument/2006/relationships/hyperlink" Target="https://correlatesofwar.org/data-sets/" TargetMode="External"/><Relationship Id="rIdh7ynyr6h12asn_nbnjwpi" Type="http://schemas.openxmlformats.org/officeDocument/2006/relationships/hyperlink" Target="https://grid.prio.org/" TargetMode="External"/><Relationship Id="rId7ref0lvv9qmbpugit9zc0" Type="http://schemas.openxmlformats.org/officeDocument/2006/relationships/hyperlink" Target="https://www.politicalterrorscale.org/" TargetMode="External"/><Relationship Id="rIdp5iqe0nuezz_8kw9x9bqh" Type="http://schemas.openxmlformats.org/officeDocument/2006/relationships/hyperlink" Target="https://freedomhouse.org/report/freedom-world" TargetMode="External"/><Relationship Id="rIdenns9jpnbcgxhkitbmqtn" Type="http://schemas.openxmlformats.org/officeDocument/2006/relationships/hyperlink" Target="https://dataverse.harvard.edu/dataverse/navco" TargetMode="External"/><Relationship Id="rIdkfzsiv_rglfkyb9ekrbfb" Type="http://schemas.openxmlformats.org/officeDocument/2006/relationships/hyperlink" Target="https://africacenter.org/spotlight/africa-militant-islamist-group-data/" TargetMode="External"/><Relationship Id="rIdf43ijexso-sjmdovd1_rb" Type="http://schemas.openxmlformats.org/officeDocument/2006/relationships/hyperlink" Target="https://www.visionofhumanity.org/global-terrorism-index/" TargetMode="External"/><Relationship Id="rId5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2026-02-24T22:31:54.887Z</dcterms:created>
  <dcterms:modified xsi:type="dcterms:W3CDTF">2026-02-24T22:31:54.888Z</dcterms:modified>
</cp:coreProperties>
</file>

<file path=docProps/custom.xml><?xml version="1.0" encoding="utf-8"?>
<Properties xmlns="http://schemas.openxmlformats.org/officeDocument/2006/custom-properties" xmlns:vt="http://schemas.openxmlformats.org/officeDocument/2006/docPropsVTypes"/>
</file>