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62.png" ContentType="image/png"/>
  <Override PartName="/word/media/rId34.png" ContentType="image/png"/>
  <Override PartName="/word/media/rId30.png" ContentType="image/png"/>
  <Override PartName="/word/media/rId41.png" ContentType="image/png"/>
  <Override PartName="/word/media/rId55.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TP4 — Analyse des parcelles agricoles : superficie, tenure foncière et utilisation des terres</w:t>
      </w:r>
    </w:p>
    <w:p>
      <w:pPr>
        <w:pStyle w:val="Subtitle"/>
      </w:pPr>
      <w:r>
        <w:t xml:space="preserve">Nigeria General Household Survey Panel — Vague 4 (2018–2019)</w:t>
      </w:r>
    </w:p>
    <w:p>
      <w:pPr>
        <w:pStyle w:val="Author"/>
      </w:pPr>
      <w:r>
        <w:t xml:space="preserve">Boubacar KANE &amp; Cheikh Omar TRAORE — ENSAE ISE1 2025–2026</w:t>
      </w:r>
    </w:p>
    <w:p>
      <w:pPr>
        <w:pStyle w:val="Date"/>
      </w:pPr>
      <w:r>
        <w:t xml:space="preserve">18 avril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r>
        <w:br w:type="page"/>
      </w:r>
    </w:p>
    <w:bookmarkStart w:id="20" w:name="introduction"/>
    <w:p>
      <w:pPr>
        <w:pStyle w:val="Heading1"/>
      </w:pPr>
      <w:r>
        <w:rPr>
          <w:rStyle w:val="SectionNumber"/>
        </w:rPr>
        <w:t xml:space="preserve">1</w:t>
      </w:r>
      <w:r>
        <w:tab/>
      </w:r>
      <w:r>
        <w:t xml:space="preserve">Introduction</w:t>
      </w:r>
    </w:p>
    <w:p>
      <w:pPr>
        <w:pStyle w:val="FirstParagraph"/>
      </w:pPr>
      <w:r>
        <w:t xml:space="preserve">Ce rapport présente les analyses descriptives et les tests statistiques réalisés dans le cadre du TP4, à partir des données de la</w:t>
      </w:r>
      <w:r>
        <w:t xml:space="preserve"> </w:t>
      </w:r>
      <w:r>
        <w:rPr>
          <w:b/>
          <w:bCs/>
        </w:rPr>
        <w:t xml:space="preserve">Nigeria General Household Survey (GHS) Panel — Vague 4 (2018–2019)</w:t>
      </w:r>
      <w:r>
        <w:t xml:space="preserve">. L’objectif est de décrire la structure foncière des exploitations agricoles nigérianes : superficie des parcelles, comparaison entre mesure déclarée et mesure GPS, régime de tenure foncière, et disparités géographiques entre États.</w:t>
      </w:r>
    </w:p>
    <w:bookmarkEnd w:id="20"/>
    <w:bookmarkStart w:id="24" w:name="méthodologie"/>
    <w:p>
      <w:pPr>
        <w:pStyle w:val="Heading1"/>
      </w:pPr>
      <w:r>
        <w:rPr>
          <w:rStyle w:val="SectionNumber"/>
        </w:rPr>
        <w:t xml:space="preserve">2</w:t>
      </w:r>
      <w:r>
        <w:tab/>
      </w:r>
      <w:r>
        <w:t xml:space="preserve">Méthodologie</w:t>
      </w:r>
    </w:p>
    <w:bookmarkStart w:id="21" w:name="source-de-données-et-fichiers-utilisés"/>
    <w:p>
      <w:pPr>
        <w:pStyle w:val="Heading2"/>
      </w:pPr>
      <w:r>
        <w:rPr>
          <w:rStyle w:val="SectionNumber"/>
        </w:rPr>
        <w:t xml:space="preserve">2.1</w:t>
      </w:r>
      <w:r>
        <w:tab/>
      </w:r>
      <w:r>
        <w:t xml:space="preserve">Source de données et fichiers utilisés</w:t>
      </w:r>
    </w:p>
    <w:p>
      <w:pPr>
        <w:pStyle w:val="FirstParagraph"/>
      </w:pPr>
      <w:r>
        <w:t xml:space="preserve">Trois fichiers</w:t>
      </w:r>
      <w:r>
        <w:t xml:space="preserve"> </w:t>
      </w:r>
      <w:r>
        <w:rPr>
          <w:rStyle w:val="VerbatimChar"/>
        </w:rPr>
        <w:t xml:space="preserve">.dta</w:t>
      </w:r>
      <w:r>
        <w:t xml:space="preserve"> </w:t>
      </w:r>
      <w:r>
        <w:t xml:space="preserve">ont été mobilisés pour cette analyse :</w:t>
      </w:r>
    </w:p>
    <w:p>
      <w:pPr>
        <w:numPr>
          <w:ilvl w:val="0"/>
          <w:numId w:val="1001"/>
        </w:numPr>
      </w:pPr>
      <w:r>
        <w:rPr>
          <w:rStyle w:val="VerbatimChar"/>
          <w:b/>
          <w:bCs/>
        </w:rPr>
        <w:t xml:space="preserve">sect11a1_plantingw4.dta</w:t>
      </w:r>
      <w:r>
        <w:t xml:space="preserve"> </w:t>
      </w:r>
      <w:r>
        <w:t xml:space="preserve">: roster des parcelles cultivées par ménage. Contient les variables de superficie déclarée (</w:t>
      </w:r>
      <w:r>
        <w:rPr>
          <w:rStyle w:val="VerbatimChar"/>
        </w:rPr>
        <w:t xml:space="preserve">s11aq4aa</w:t>
      </w:r>
      <w:r>
        <w:t xml:space="preserve">), d’unité de mesure (</w:t>
      </w:r>
      <w:r>
        <w:rPr>
          <w:rStyle w:val="VerbatimChar"/>
        </w:rPr>
        <w:t xml:space="preserve">s11aq4b</w:t>
      </w:r>
      <w:r>
        <w:t xml:space="preserve">), de superficie GPS (</w:t>
      </w:r>
      <w:r>
        <w:rPr>
          <w:rStyle w:val="VerbatimChar"/>
        </w:rPr>
        <w:t xml:space="preserve">s11aq4c</w:t>
      </w:r>
      <w:r>
        <w:t xml:space="preserve"> </w:t>
      </w:r>
      <w:r>
        <w:t xml:space="preserve">en m²), de zone géopolitique (</w:t>
      </w:r>
      <w:r>
        <w:rPr>
          <w:rStyle w:val="VerbatimChar"/>
        </w:rPr>
        <w:t xml:space="preserve">zone</w:t>
      </w:r>
      <w:r>
        <w:t xml:space="preserve">), de milieu de résidence (</w:t>
      </w:r>
      <w:r>
        <w:rPr>
          <w:rStyle w:val="VerbatimChar"/>
        </w:rPr>
        <w:t xml:space="preserve">sector</w:t>
      </w:r>
      <w:r>
        <w:t xml:space="preserve">) et d’État (</w:t>
      </w:r>
      <w:r>
        <w:rPr>
          <w:rStyle w:val="VerbatimChar"/>
        </w:rPr>
        <w:t xml:space="preserve">state</w:t>
      </w:r>
      <w:r>
        <w:t xml:space="preserve">).</w:t>
      </w:r>
    </w:p>
    <w:p>
      <w:pPr>
        <w:numPr>
          <w:ilvl w:val="0"/>
          <w:numId w:val="1001"/>
        </w:numPr>
      </w:pPr>
      <w:r>
        <w:rPr>
          <w:rStyle w:val="VerbatimChar"/>
          <w:b/>
          <w:bCs/>
        </w:rPr>
        <w:t xml:space="preserve">sect11b1_plantingw4.dta</w:t>
      </w:r>
      <w:r>
        <w:t xml:space="preserve"> </w:t>
      </w:r>
      <w:r>
        <w:t xml:space="preserve">: module de tenure foncière. Contient le mode d’acquisition des parcelles (</w:t>
      </w:r>
      <w:r>
        <w:rPr>
          <w:rStyle w:val="VerbatimChar"/>
        </w:rPr>
        <w:t xml:space="preserve">s11b1q4</w:t>
      </w:r>
      <w:r>
        <w:t xml:space="preserve">, 7 modalités) et le milieu de résidence (</w:t>
      </w:r>
      <w:r>
        <w:rPr>
          <w:rStyle w:val="VerbatimChar"/>
        </w:rPr>
        <w:t xml:space="preserve">sector</w:t>
      </w:r>
      <w:r>
        <w:t xml:space="preserve">).</w:t>
      </w:r>
    </w:p>
    <w:p>
      <w:pPr>
        <w:numPr>
          <w:ilvl w:val="0"/>
          <w:numId w:val="1001"/>
        </w:numPr>
      </w:pPr>
      <w:r>
        <w:rPr>
          <w:rStyle w:val="VerbatimChar"/>
          <w:b/>
          <w:bCs/>
        </w:rPr>
        <w:t xml:space="preserve">secta_harvestw4.dta</w:t>
      </w:r>
      <w:r>
        <w:t xml:space="preserve"> </w:t>
      </w:r>
      <w:r>
        <w:t xml:space="preserve">: poids de sondage (</w:t>
      </w:r>
      <w:r>
        <w:rPr>
          <w:rStyle w:val="VerbatimChar"/>
        </w:rPr>
        <w:t xml:space="preserve">wt_wave4</w:t>
      </w:r>
      <w:r>
        <w:t xml:space="preserve">), propagés au niveau parcelle via l’identifiant ménage</w:t>
      </w:r>
      <w:r>
        <w:t xml:space="preserve"> </w:t>
      </w:r>
      <w:r>
        <w:rPr>
          <w:rStyle w:val="VerbatimChar"/>
        </w:rPr>
        <w:t xml:space="preserve">hhid</w:t>
      </w:r>
      <w:r>
        <w:t xml:space="preserve">.</w:t>
      </w:r>
    </w:p>
    <w:bookmarkEnd w:id="21"/>
    <w:bookmarkStart w:id="22" w:name="Xee2fc1c14146076b19f032daacc07dcb08aad70"/>
    <w:p>
      <w:pPr>
        <w:pStyle w:val="Heading2"/>
      </w:pPr>
      <w:r>
        <w:rPr>
          <w:rStyle w:val="SectionNumber"/>
        </w:rPr>
        <w:t xml:space="preserve">2.2</w:t>
      </w:r>
      <w:r>
        <w:tab/>
      </w:r>
      <w:r>
        <w:t xml:space="preserve">Construction de la variable superficie en hectares</w:t>
      </w:r>
    </w:p>
    <w:p>
      <w:pPr>
        <w:pStyle w:val="FirstParagraph"/>
      </w:pPr>
      <w:r>
        <w:t xml:space="preserve">La superficie agricole est déclarée dans l’unité de mesure locale (</w:t>
      </w:r>
      <w:r>
        <w:rPr>
          <w:rStyle w:val="VerbatimChar"/>
        </w:rPr>
        <w:t xml:space="preserve">s11aq4b</w:t>
      </w:r>
      <w:r>
        <w:t xml:space="preserve">). Les facteurs de conversion en hectares sont issus du</w:t>
      </w:r>
      <w:r>
        <w:t xml:space="preserve"> </w:t>
      </w:r>
      <w:r>
        <w:rPr>
          <w:b/>
          <w:bCs/>
        </w:rPr>
        <w:t xml:space="preserve">Nigeria General Household Survey 2018/19 Basic Information Document</w:t>
      </w:r>
      <w:r>
        <w:t xml:space="preserve">.</w:t>
      </w:r>
    </w:p>
    <w:p>
      <w:pPr>
        <w:pStyle w:val="TableCaption"/>
      </w:pPr>
      <w:r>
        <w:t xml:space="preserve">Facteurs generaux de conversion en hectares</w:t>
      </w:r>
    </w:p>
    <w:tbl>
      <w:tblPr>
        <w:tblStyle w:val="Table"/>
        <w:tblW w:type="auto" w:w="0"/>
        <w:tblLook w:firstRow="1" w:lastRow="0" w:firstColumn="0" w:lastColumn="0" w:noHBand="0" w:noVBand="0" w:val="0020"/>
        <w:tblCaption w:val="Facteurs generaux de conversion en hectares"/>
      </w:tblPr>
      <w:tblGrid>
        <w:gridCol w:w="3960"/>
        <w:gridCol w:w="3960"/>
      </w:tblGrid>
      <w:tr>
        <w:trPr>
          <w:tblHeader w:val="on"/>
        </w:trPr>
        <w:tc>
          <w:tcPr/>
          <w:p>
            <w:pPr>
              <w:pStyle w:val="Compact"/>
              <w:jc w:val="left"/>
            </w:pPr>
            <w:r>
              <w:t xml:space="preserve">Unité</w:t>
            </w:r>
          </w:p>
        </w:tc>
        <w:tc>
          <w:tcPr/>
          <w:p>
            <w:pPr>
              <w:pStyle w:val="Compact"/>
              <w:jc w:val="right"/>
            </w:pPr>
            <w:r>
              <w:t xml:space="preserve">Facteur de conversion (vers ha)</w:t>
            </w:r>
          </w:p>
        </w:tc>
      </w:tr>
      <w:tr>
        <w:tc>
          <w:tcPr/>
          <w:p>
            <w:pPr>
              <w:pStyle w:val="Compact"/>
              <w:jc w:val="left"/>
            </w:pPr>
            <w:r>
              <w:t xml:space="preserve">Plots</w:t>
            </w:r>
          </w:p>
        </w:tc>
        <w:tc>
          <w:tcPr/>
          <w:p>
            <w:pPr>
              <w:pStyle w:val="Compact"/>
              <w:jc w:val="right"/>
            </w:pPr>
            <w:r>
              <w:t xml:space="preserve">0.0667</w:t>
            </w:r>
          </w:p>
        </w:tc>
      </w:tr>
      <w:tr>
        <w:tc>
          <w:tcPr/>
          <w:p>
            <w:pPr>
              <w:pStyle w:val="Compact"/>
              <w:jc w:val="left"/>
            </w:pPr>
            <w:r>
              <w:t xml:space="preserve">Acres</w:t>
            </w:r>
          </w:p>
        </w:tc>
        <w:tc>
          <w:tcPr/>
          <w:p>
            <w:pPr>
              <w:pStyle w:val="Compact"/>
              <w:jc w:val="right"/>
            </w:pPr>
            <w:r>
              <w:t xml:space="preserve">0.4000</w:t>
            </w:r>
          </w:p>
        </w:tc>
      </w:tr>
      <w:tr>
        <w:tc>
          <w:tcPr/>
          <w:p>
            <w:pPr>
              <w:pStyle w:val="Compact"/>
              <w:jc w:val="left"/>
            </w:pPr>
            <w:r>
              <w:t xml:space="preserve">Hectares</w:t>
            </w:r>
          </w:p>
        </w:tc>
        <w:tc>
          <w:tcPr/>
          <w:p>
            <w:pPr>
              <w:pStyle w:val="Compact"/>
              <w:jc w:val="right"/>
            </w:pPr>
            <w:r>
              <w:t xml:space="preserve">1.0000</w:t>
            </w:r>
          </w:p>
        </w:tc>
      </w:tr>
      <w:tr>
        <w:tc>
          <w:tcPr/>
          <w:p>
            <w:pPr>
              <w:pStyle w:val="Compact"/>
              <w:jc w:val="left"/>
            </w:pPr>
            <w:r>
              <w:t xml:space="preserve">Metres carres</w:t>
            </w:r>
          </w:p>
        </w:tc>
        <w:tc>
          <w:tcPr/>
          <w:p>
            <w:pPr>
              <w:pStyle w:val="Compact"/>
              <w:jc w:val="right"/>
            </w:pPr>
            <w:r>
              <w:t xml:space="preserve">0.0001</w:t>
            </w:r>
          </w:p>
        </w:tc>
      </w:tr>
    </w:tbl>
    <w:p>
      <w:pPr>
        <w:pStyle w:val="BodyText"/>
      </w:pPr>
      <w:r>
        <w:t xml:space="preserve">Les unités</w:t>
      </w:r>
      <w:r>
        <w:t xml:space="preserve"> </w:t>
      </w:r>
      <w:r>
        <w:rPr>
          <w:b/>
          <w:bCs/>
        </w:rPr>
        <w:t xml:space="preserve">Heaps</w:t>
      </w:r>
      <w:r>
        <w:t xml:space="preserve">,</w:t>
      </w:r>
      <w:r>
        <w:t xml:space="preserve"> </w:t>
      </w:r>
      <w:r>
        <w:rPr>
          <w:b/>
          <w:bCs/>
        </w:rPr>
        <w:t xml:space="preserve">Ridges</w:t>
      </w:r>
      <w:r>
        <w:t xml:space="preserve"> </w:t>
      </w:r>
      <w:r>
        <w:t xml:space="preserve">et</w:t>
      </w:r>
      <w:r>
        <w:t xml:space="preserve"> </w:t>
      </w:r>
      <w:r>
        <w:rPr>
          <w:b/>
          <w:bCs/>
        </w:rPr>
        <w:t xml:space="preserve">Stands</w:t>
      </w:r>
      <w:r>
        <w:t xml:space="preserve"> </w:t>
      </w:r>
      <w:r>
        <w:t xml:space="preserve">disposent de facteurs spécifiques par zone géopolitique :</w:t>
      </w:r>
    </w:p>
    <w:p>
      <w:pPr>
        <w:pStyle w:val="TableCaption"/>
      </w:pPr>
      <w:r>
        <w:t xml:space="preserve">Facteurs specifiques de conversion (Heaps, Ridges, Stands)</w:t>
      </w:r>
    </w:p>
    <w:tbl>
      <w:tblPr>
        <w:tblStyle w:val="Table"/>
        <w:tblW w:type="auto" w:w="0"/>
        <w:tblLook w:firstRow="1" w:lastRow="0" w:firstColumn="0" w:lastColumn="0" w:noHBand="0" w:noVBand="0" w:val="0020"/>
        <w:tblCaption w:val="Facteurs specifiques de conversion (Heaps, Ridges, Stands)"/>
      </w:tblPr>
      <w:tblGrid>
        <w:gridCol w:w="1980"/>
        <w:gridCol w:w="1980"/>
        <w:gridCol w:w="1980"/>
        <w:gridCol w:w="1980"/>
      </w:tblGrid>
      <w:tr>
        <w:trPr>
          <w:tblHeader w:val="on"/>
        </w:trPr>
        <w:tc>
          <w:tcPr/>
          <w:p>
            <w:pPr>
              <w:pStyle w:val="Compact"/>
              <w:jc w:val="left"/>
            </w:pPr>
            <w:r>
              <w:t xml:space="preserve">Zone</w:t>
            </w:r>
          </w:p>
        </w:tc>
        <w:tc>
          <w:tcPr/>
          <w:p>
            <w:pPr>
              <w:pStyle w:val="Compact"/>
              <w:jc w:val="right"/>
            </w:pPr>
            <w:r>
              <w:t xml:space="preserve">Heaps</w:t>
            </w:r>
          </w:p>
        </w:tc>
        <w:tc>
          <w:tcPr/>
          <w:p>
            <w:pPr>
              <w:pStyle w:val="Compact"/>
              <w:jc w:val="right"/>
            </w:pPr>
            <w:r>
              <w:t xml:space="preserve">Ridges</w:t>
            </w:r>
          </w:p>
        </w:tc>
        <w:tc>
          <w:tcPr/>
          <w:p>
            <w:pPr>
              <w:pStyle w:val="Compact"/>
              <w:jc w:val="right"/>
            </w:pPr>
            <w:r>
              <w:t xml:space="preserve">Stands</w:t>
            </w:r>
          </w:p>
        </w:tc>
      </w:tr>
      <w:tr>
        <w:tc>
          <w:tcPr/>
          <w:p>
            <w:pPr>
              <w:pStyle w:val="Compact"/>
              <w:jc w:val="left"/>
            </w:pPr>
            <w:r>
              <w:t xml:space="preserve">North Central</w:t>
            </w:r>
          </w:p>
        </w:tc>
        <w:tc>
          <w:tcPr/>
          <w:p>
            <w:pPr>
              <w:pStyle w:val="Compact"/>
              <w:jc w:val="right"/>
            </w:pPr>
            <w:r>
              <w:t xml:space="preserve">0.00012</w:t>
            </w:r>
          </w:p>
        </w:tc>
        <w:tc>
          <w:tcPr/>
          <w:p>
            <w:pPr>
              <w:pStyle w:val="Compact"/>
              <w:jc w:val="right"/>
            </w:pPr>
            <w:r>
              <w:t xml:space="preserve">0.00270</w:t>
            </w:r>
          </w:p>
        </w:tc>
        <w:tc>
          <w:tcPr/>
          <w:p>
            <w:pPr>
              <w:pStyle w:val="Compact"/>
              <w:jc w:val="right"/>
            </w:pPr>
            <w:r>
              <w:t xml:space="preserve">0.00006</w:t>
            </w:r>
          </w:p>
        </w:tc>
      </w:tr>
      <w:tr>
        <w:tc>
          <w:tcPr/>
          <w:p>
            <w:pPr>
              <w:pStyle w:val="Compact"/>
              <w:jc w:val="left"/>
            </w:pPr>
            <w:r>
              <w:t xml:space="preserve">North East</w:t>
            </w:r>
          </w:p>
        </w:tc>
        <w:tc>
          <w:tcPr/>
          <w:p>
            <w:pPr>
              <w:pStyle w:val="Compact"/>
              <w:jc w:val="right"/>
            </w:pPr>
            <w:r>
              <w:t xml:space="preserve">0.00016</w:t>
            </w:r>
          </w:p>
        </w:tc>
        <w:tc>
          <w:tcPr/>
          <w:p>
            <w:pPr>
              <w:pStyle w:val="Compact"/>
              <w:jc w:val="right"/>
            </w:pPr>
            <w:r>
              <w:t xml:space="preserve">0.00400</w:t>
            </w:r>
          </w:p>
        </w:tc>
        <w:tc>
          <w:tcPr/>
          <w:p>
            <w:pPr>
              <w:pStyle w:val="Compact"/>
              <w:jc w:val="right"/>
            </w:pPr>
            <w:r>
              <w:t xml:space="preserve">0.00016</w:t>
            </w:r>
          </w:p>
        </w:tc>
      </w:tr>
      <w:tr>
        <w:tc>
          <w:tcPr/>
          <w:p>
            <w:pPr>
              <w:pStyle w:val="Compact"/>
              <w:jc w:val="left"/>
            </w:pPr>
            <w:r>
              <w:t xml:space="preserve">North West</w:t>
            </w:r>
          </w:p>
        </w:tc>
        <w:tc>
          <w:tcPr/>
          <w:p>
            <w:pPr>
              <w:pStyle w:val="Compact"/>
              <w:jc w:val="right"/>
            </w:pPr>
            <w:r>
              <w:t xml:space="preserve">0.00011</w:t>
            </w:r>
          </w:p>
        </w:tc>
        <w:tc>
          <w:tcPr/>
          <w:p>
            <w:pPr>
              <w:pStyle w:val="Compact"/>
              <w:jc w:val="right"/>
            </w:pPr>
            <w:r>
              <w:t xml:space="preserve">0.00494</w:t>
            </w:r>
          </w:p>
        </w:tc>
        <w:tc>
          <w:tcPr/>
          <w:p>
            <w:pPr>
              <w:pStyle w:val="Compact"/>
              <w:jc w:val="right"/>
            </w:pPr>
            <w:r>
              <w:t xml:space="preserve">0.00004</w:t>
            </w:r>
          </w:p>
        </w:tc>
      </w:tr>
      <w:tr>
        <w:tc>
          <w:tcPr/>
          <w:p>
            <w:pPr>
              <w:pStyle w:val="Compact"/>
              <w:jc w:val="left"/>
            </w:pPr>
            <w:r>
              <w:t xml:space="preserve">South East</w:t>
            </w:r>
          </w:p>
        </w:tc>
        <w:tc>
          <w:tcPr/>
          <w:p>
            <w:pPr>
              <w:pStyle w:val="Compact"/>
              <w:jc w:val="right"/>
            </w:pPr>
            <w:r>
              <w:t xml:space="preserve">0.00019</w:t>
            </w:r>
          </w:p>
        </w:tc>
        <w:tc>
          <w:tcPr/>
          <w:p>
            <w:pPr>
              <w:pStyle w:val="Compact"/>
              <w:jc w:val="right"/>
            </w:pPr>
            <w:r>
              <w:t xml:space="preserve">0.00230</w:t>
            </w:r>
          </w:p>
        </w:tc>
        <w:tc>
          <w:tcPr/>
          <w:p>
            <w:pPr>
              <w:pStyle w:val="Compact"/>
              <w:jc w:val="right"/>
            </w:pPr>
            <w:r>
              <w:t xml:space="preserve">0.00004</w:t>
            </w:r>
          </w:p>
        </w:tc>
      </w:tr>
      <w:tr>
        <w:tc>
          <w:tcPr/>
          <w:p>
            <w:pPr>
              <w:pStyle w:val="Compact"/>
              <w:jc w:val="left"/>
            </w:pPr>
            <w:r>
              <w:t xml:space="preserve">South South</w:t>
            </w:r>
          </w:p>
        </w:tc>
        <w:tc>
          <w:tcPr/>
          <w:p>
            <w:pPr>
              <w:pStyle w:val="Compact"/>
              <w:jc w:val="right"/>
            </w:pPr>
            <w:r>
              <w:t xml:space="preserve">0.00021</w:t>
            </w:r>
          </w:p>
        </w:tc>
        <w:tc>
          <w:tcPr/>
          <w:p>
            <w:pPr>
              <w:pStyle w:val="Compact"/>
              <w:jc w:val="right"/>
            </w:pPr>
            <w:r>
              <w:t xml:space="preserve">0.00230</w:t>
            </w:r>
          </w:p>
        </w:tc>
        <w:tc>
          <w:tcPr/>
          <w:p>
            <w:pPr>
              <w:pStyle w:val="Compact"/>
              <w:jc w:val="right"/>
            </w:pPr>
            <w:r>
              <w:t xml:space="preserve">0.00013</w:t>
            </w:r>
          </w:p>
        </w:tc>
      </w:tr>
      <w:tr>
        <w:tc>
          <w:tcPr/>
          <w:p>
            <w:pPr>
              <w:pStyle w:val="Compact"/>
              <w:jc w:val="left"/>
            </w:pPr>
            <w:r>
              <w:t xml:space="preserve">South West</w:t>
            </w:r>
          </w:p>
        </w:tc>
        <w:tc>
          <w:tcPr/>
          <w:p>
            <w:pPr>
              <w:pStyle w:val="Compact"/>
              <w:jc w:val="right"/>
            </w:pPr>
            <w:r>
              <w:t xml:space="preserve">0.00012</w:t>
            </w:r>
          </w:p>
        </w:tc>
        <w:tc>
          <w:tcPr/>
          <w:p>
            <w:pPr>
              <w:pStyle w:val="Compact"/>
              <w:jc w:val="right"/>
            </w:pPr>
            <w:r>
              <w:t xml:space="preserve">0.00001</w:t>
            </w:r>
          </w:p>
        </w:tc>
        <w:tc>
          <w:tcPr/>
          <w:p>
            <w:pPr>
              <w:pStyle w:val="Compact"/>
              <w:jc w:val="right"/>
            </w:pPr>
            <w:r>
              <w:t xml:space="preserve">0.00041</w:t>
            </w:r>
          </w:p>
        </w:tc>
      </w:tr>
    </w:tbl>
    <w:bookmarkEnd w:id="22"/>
    <w:bookmarkStart w:id="23" w:name="structure-du-projet"/>
    <w:p>
      <w:pPr>
        <w:pStyle w:val="Heading2"/>
      </w:pPr>
      <w:r>
        <w:rPr>
          <w:rStyle w:val="SectionNumber"/>
        </w:rPr>
        <w:t xml:space="preserve">2.3</w:t>
      </w:r>
      <w:r>
        <w:tab/>
      </w:r>
      <w:r>
        <w:t xml:space="preserve">Structure du projet</w:t>
      </w:r>
    </w:p>
    <w:p>
      <w:pPr>
        <w:pStyle w:val="FirstParagraph"/>
      </w:pPr>
      <w:r>
        <w:t xml:space="preserve">Le projet est organisé en quatre dossiers :</w:t>
      </w:r>
      <w:r>
        <w:t xml:space="preserve"> </w:t>
      </w:r>
      <w:r>
        <w:rPr>
          <w:rStyle w:val="VerbatimChar"/>
        </w:rPr>
        <w:t xml:space="preserve">data/</w:t>
      </w:r>
      <w:r>
        <w:t xml:space="preserve"> </w:t>
      </w:r>
      <w:r>
        <w:t xml:space="preserve">(bases brutes et traitées),</w:t>
      </w:r>
      <w:r>
        <w:t xml:space="preserve"> </w:t>
      </w:r>
      <w:r>
        <w:rPr>
          <w:rStyle w:val="VerbatimChar"/>
        </w:rPr>
        <w:t xml:space="preserve">R/</w:t>
      </w:r>
      <w:r>
        <w:t xml:space="preserve"> </w:t>
      </w:r>
      <w:r>
        <w:t xml:space="preserve">(scripts d’import, recodage, nettoyage et analyse),</w:t>
      </w:r>
      <w:r>
        <w:t xml:space="preserve"> </w:t>
      </w:r>
      <w:r>
        <w:rPr>
          <w:rStyle w:val="VerbatimChar"/>
        </w:rPr>
        <w:t xml:space="preserve">output/</w:t>
      </w:r>
      <w:r>
        <w:t xml:space="preserve"> </w:t>
      </w:r>
      <w:r>
        <w:t xml:space="preserve">(figures et tableaux) et</w:t>
      </w:r>
      <w:r>
        <w:t xml:space="preserve"> </w:t>
      </w:r>
      <w:r>
        <w:rPr>
          <w:rStyle w:val="VerbatimChar"/>
        </w:rPr>
        <w:t xml:space="preserve">rapport/</w:t>
      </w:r>
      <w:r>
        <w:t xml:space="preserve"> </w:t>
      </w:r>
      <w:r>
        <w:t xml:space="preserve">(rapport final). Les scripts suivent le pipeline</w:t>
      </w:r>
      <w:r>
        <w:t xml:space="preserve"> </w:t>
      </w:r>
      <w:r>
        <w:rPr>
          <w:rStyle w:val="VerbatimChar"/>
        </w:rPr>
        <w:t xml:space="preserve">01_import.R → 02_recodage.R → 03_nettoyage.R → 04_analyse.R</w:t>
      </w:r>
      <w:r>
        <w:t xml:space="preserve">.</w:t>
      </w:r>
    </w:p>
    <w:p>
      <w:r>
        <w:br w:type="page"/>
      </w:r>
    </w:p>
    <w:bookmarkEnd w:id="23"/>
    <w:bookmarkEnd w:id="24"/>
    <w:bookmarkStart w:id="68" w:name="résultats"/>
    <w:p>
      <w:pPr>
        <w:pStyle w:val="Heading1"/>
      </w:pPr>
      <w:r>
        <w:rPr>
          <w:rStyle w:val="SectionNumber"/>
        </w:rPr>
        <w:t xml:space="preserve">3</w:t>
      </w:r>
      <w:r>
        <w:tab/>
      </w:r>
      <w:r>
        <w:t xml:space="preserve">Résultats</w:t>
      </w:r>
    </w:p>
    <w:bookmarkStart w:id="28" w:name="Xe1cdf0d69f91787f9ddcf0a10f4dd36ff5d1009"/>
    <w:p>
      <w:pPr>
        <w:pStyle w:val="Heading2"/>
      </w:pPr>
      <w:r>
        <w:rPr>
          <w:rStyle w:val="SectionNumber"/>
        </w:rPr>
        <w:t xml:space="preserve">3.1</w:t>
      </w:r>
      <w:r>
        <w:tab/>
      </w:r>
      <w:r>
        <w:t xml:space="preserve">Question 19 — Qualité des données et valeurs manquantes</w:t>
      </w:r>
    </w:p>
    <w:bookmarkStart w:id="25" w:name="méthodologie-1"/>
    <w:p>
      <w:pPr>
        <w:pStyle w:val="Heading3"/>
      </w:pPr>
      <w:r>
        <w:rPr>
          <w:rStyle w:val="SectionNumber"/>
        </w:rPr>
        <w:t xml:space="preserve">3.1.1</w:t>
      </w:r>
      <w:r>
        <w:tab/>
      </w:r>
      <w:r>
        <w:t xml:space="preserve">Méthodologie</w:t>
      </w:r>
    </w:p>
    <w:p>
      <w:pPr>
        <w:pStyle w:val="FirstParagraph"/>
      </w:pPr>
      <w:r>
        <w:t xml:space="preserve">L’analyse de qualité porte sur les valeurs manquantes des variables principales et la détection des valeurs aberrantes. Une parcelle est considérée aberrante si sa superficie est négative ou supérieure à 500 ha, seuil cohérent avec les grandes exploitations documentées en Afrique subsaharienne.</w:t>
      </w:r>
    </w:p>
    <w:bookmarkEnd w:id="25"/>
    <w:bookmarkStart w:id="26" w:name="résultats-1"/>
    <w:p>
      <w:pPr>
        <w:pStyle w:val="Heading3"/>
      </w:pPr>
      <w:r>
        <w:rPr>
          <w:rStyle w:val="SectionNumber"/>
        </w:rPr>
        <w:t xml:space="preserve">3.1.2</w:t>
      </w:r>
      <w:r>
        <w:tab/>
      </w:r>
      <w:r>
        <w:t xml:space="preserve">Résultats</w:t>
      </w:r>
    </w:p>
    <w:p>
      <w:pPr>
        <w:pStyle w:val="TableCaption"/>
      </w:pPr>
      <w:r>
        <w:t xml:space="preserve">Diagnostic qualite des variables cles</w:t>
      </w:r>
    </w:p>
    <w:tbl>
      <w:tblPr>
        <w:tblStyle w:val="Table"/>
        <w:tblW w:type="pct" w:w="5000"/>
        <w:tblLayout w:type="fixed"/>
        <w:tblLook w:firstRow="1" w:lastRow="0" w:firstColumn="0" w:lastColumn="0" w:noHBand="0" w:noVBand="0" w:val="0020"/>
        <w:tblCaption w:val="Diagnostic qualite des variables cles"/>
      </w:tblPr>
      <w:tblGrid>
        <w:gridCol w:w="2640"/>
        <w:gridCol w:w="844"/>
        <w:gridCol w:w="739"/>
        <w:gridCol w:w="950"/>
        <w:gridCol w:w="1056"/>
        <w:gridCol w:w="1689"/>
      </w:tblGrid>
      <w:tr>
        <w:trPr>
          <w:tblHeader w:val="on"/>
        </w:trPr>
        <w:tc>
          <w:tcPr/>
          <w:p>
            <w:pPr>
              <w:pStyle w:val="Compact"/>
              <w:jc w:val="left"/>
            </w:pPr>
            <w:r>
              <w:t xml:space="preserve">Variable</w:t>
            </w:r>
          </w:p>
        </w:tc>
        <w:tc>
          <w:tcPr/>
          <w:p>
            <w:pPr>
              <w:pStyle w:val="Compact"/>
              <w:jc w:val="right"/>
            </w:pPr>
            <w:r>
              <w:t xml:space="preserve">N total</w:t>
            </w:r>
          </w:p>
        </w:tc>
        <w:tc>
          <w:tcPr/>
          <w:p>
            <w:pPr>
              <w:pStyle w:val="Compact"/>
              <w:jc w:val="right"/>
            </w:pPr>
            <w:r>
              <w:t xml:space="preserve">NA (n)</w:t>
            </w:r>
          </w:p>
        </w:tc>
        <w:tc>
          <w:tcPr/>
          <w:p>
            <w:pPr>
              <w:pStyle w:val="Compact"/>
              <w:jc w:val="right"/>
            </w:pPr>
            <w:r>
              <w:t xml:space="preserve">NA (pct)</w:t>
            </w:r>
          </w:p>
        </w:tc>
        <w:tc>
          <w:tcPr/>
          <w:p>
            <w:pPr>
              <w:pStyle w:val="Compact"/>
              <w:jc w:val="right"/>
            </w:pPr>
            <w:r>
              <w:t xml:space="preserve">Aberrants</w:t>
            </w:r>
          </w:p>
        </w:tc>
        <w:tc>
          <w:tcPr/>
          <w:p>
            <w:pPr>
              <w:pStyle w:val="Compact"/>
              <w:jc w:val="left"/>
            </w:pPr>
            <w:r>
              <w:t xml:space="preserve">Seuil</w:t>
            </w:r>
          </w:p>
        </w:tc>
      </w:tr>
      <w:tr>
        <w:tc>
          <w:tcPr/>
          <w:p>
            <w:pPr>
              <w:pStyle w:val="Compact"/>
              <w:jc w:val="left"/>
            </w:pPr>
            <w:r>
              <w:t xml:space="preserve">Superficie ha (declaree)</w:t>
            </w:r>
          </w:p>
        </w:tc>
        <w:tc>
          <w:tcPr/>
          <w:p>
            <w:pPr>
              <w:pStyle w:val="Compact"/>
              <w:jc w:val="right"/>
            </w:pPr>
            <w:r>
              <w:t xml:space="preserve">11076</w:t>
            </w:r>
          </w:p>
        </w:tc>
        <w:tc>
          <w:tcPr/>
          <w:p>
            <w:pPr>
              <w:pStyle w:val="Compact"/>
              <w:jc w:val="right"/>
            </w:pPr>
            <w:r>
              <w:t xml:space="preserve">4</w:t>
            </w:r>
          </w:p>
        </w:tc>
        <w:tc>
          <w:tcPr/>
          <w:p>
            <w:pPr>
              <w:pStyle w:val="Compact"/>
              <w:jc w:val="right"/>
            </w:pPr>
            <w:r>
              <w:t xml:space="preserve">0.0</w:t>
            </w:r>
          </w:p>
        </w:tc>
        <w:tc>
          <w:tcPr/>
          <w:p>
            <w:pPr>
              <w:pStyle w:val="Compact"/>
              <w:jc w:val="right"/>
            </w:pPr>
            <w:r>
              <w:t xml:space="preserve">5</w:t>
            </w:r>
          </w:p>
        </w:tc>
        <w:tc>
          <w:tcPr/>
          <w:p>
            <w:pPr>
              <w:pStyle w:val="Compact"/>
              <w:jc w:val="left"/>
            </w:pPr>
            <w:r>
              <w:t xml:space="preserve">&lt; 0 ou &gt; 500 ha</w:t>
            </w:r>
          </w:p>
        </w:tc>
      </w:tr>
      <w:tr>
        <w:tc>
          <w:tcPr/>
          <w:p>
            <w:pPr>
              <w:pStyle w:val="Compact"/>
              <w:jc w:val="left"/>
            </w:pPr>
            <w:r>
              <w:t xml:space="preserve">Superficie GPS (ha)</w:t>
            </w:r>
          </w:p>
        </w:tc>
        <w:tc>
          <w:tcPr/>
          <w:p>
            <w:pPr>
              <w:pStyle w:val="Compact"/>
              <w:jc w:val="right"/>
            </w:pPr>
            <w:r>
              <w:t xml:space="preserve">11076</w:t>
            </w:r>
          </w:p>
        </w:tc>
        <w:tc>
          <w:tcPr/>
          <w:p>
            <w:pPr>
              <w:pStyle w:val="Compact"/>
              <w:jc w:val="right"/>
            </w:pPr>
            <w:r>
              <w:t xml:space="preserve">4202</w:t>
            </w:r>
          </w:p>
        </w:tc>
        <w:tc>
          <w:tcPr/>
          <w:p>
            <w:pPr>
              <w:pStyle w:val="Compact"/>
              <w:jc w:val="right"/>
            </w:pPr>
            <w:r>
              <w:t xml:space="preserve">37.9</w:t>
            </w:r>
          </w:p>
        </w:tc>
        <w:tc>
          <w:tcPr/>
          <w:p>
            <w:pPr>
              <w:pStyle w:val="Compact"/>
              <w:jc w:val="right"/>
            </w:pPr>
            <w:r>
              <w:t xml:space="preserve">NA</w:t>
            </w:r>
          </w:p>
        </w:tc>
        <w:tc>
          <w:tcPr/>
          <w:p>
            <w:pPr>
              <w:pStyle w:val="Compact"/>
              <w:jc w:val="left"/>
            </w:pPr>
            <w:r>
              <w:t xml:space="preserve">–</w:t>
            </w:r>
          </w:p>
        </w:tc>
      </w:tr>
      <w:tr>
        <w:tc>
          <w:tcPr/>
          <w:p>
            <w:pPr>
              <w:pStyle w:val="Compact"/>
              <w:jc w:val="left"/>
            </w:pPr>
            <w:r>
              <w:t xml:space="preserve">Poids wt_wave4</w:t>
            </w:r>
          </w:p>
        </w:tc>
        <w:tc>
          <w:tcPr/>
          <w:p>
            <w:pPr>
              <w:pStyle w:val="Compact"/>
              <w:jc w:val="right"/>
            </w:pPr>
            <w:r>
              <w:t xml:space="preserve">11076</w:t>
            </w:r>
          </w:p>
        </w:tc>
        <w:tc>
          <w:tcPr/>
          <w:p>
            <w:pPr>
              <w:pStyle w:val="Compact"/>
              <w:jc w:val="right"/>
            </w:pPr>
            <w:r>
              <w:t xml:space="preserve">115</w:t>
            </w:r>
          </w:p>
        </w:tc>
        <w:tc>
          <w:tcPr/>
          <w:p>
            <w:pPr>
              <w:pStyle w:val="Compact"/>
              <w:jc w:val="right"/>
            </w:pPr>
            <w:r>
              <w:t xml:space="preserve">1.0</w:t>
            </w:r>
          </w:p>
        </w:tc>
        <w:tc>
          <w:tcPr/>
          <w:p>
            <w:pPr>
              <w:pStyle w:val="Compact"/>
              <w:jc w:val="right"/>
            </w:pPr>
            <w:r>
              <w:t xml:space="preserve">NA</w:t>
            </w:r>
          </w:p>
        </w:tc>
        <w:tc>
          <w:tcPr/>
          <w:p>
            <w:pPr>
              <w:pStyle w:val="Compact"/>
              <w:jc w:val="left"/>
            </w:pPr>
            <w:r>
              <w:t xml:space="preserve">–</w:t>
            </w:r>
          </w:p>
        </w:tc>
      </w:tr>
    </w:tbl>
    <w:p>
      <w:pPr>
        <w:pStyle w:val="BodyText"/>
      </w:pPr>
      <w:r>
        <w:t xml:space="preserve">Après suppression des doublons, des</w:t>
      </w:r>
      <w:r>
        <w:t xml:space="preserve"> </w:t>
      </w:r>
      <w:r>
        <w:rPr>
          <w:rStyle w:val="VerbatimChar"/>
        </w:rPr>
        <w:t xml:space="preserve">hhid</w:t>
      </w:r>
      <w:r>
        <w:t xml:space="preserve"> </w:t>
      </w:r>
      <w:r>
        <w:t xml:space="preserve">manquants, des superficies non renseignées et des valeurs aberrantes, la base analytique comprend</w:t>
      </w:r>
      <w:r>
        <w:t xml:space="preserve"> </w:t>
      </w:r>
      <w:r>
        <w:rPr>
          <w:b/>
          <w:bCs/>
        </w:rPr>
        <w:t xml:space="preserve">11067 parcelles valides</w:t>
      </w:r>
      <w:r>
        <w:t xml:space="preserve"> </w:t>
      </w:r>
      <w:r>
        <w:t xml:space="preserve">appartenant à</w:t>
      </w:r>
      <w:r>
        <w:t xml:space="preserve"> </w:t>
      </w:r>
      <w:r>
        <w:rPr>
          <w:b/>
          <w:bCs/>
        </w:rPr>
        <w:t xml:space="preserve">3912 ménages agriculteurs</w:t>
      </w:r>
      <w:r>
        <w:t xml:space="preserve">.</w:t>
      </w:r>
    </w:p>
    <w:bookmarkEnd w:id="26"/>
    <w:bookmarkStart w:id="27" w:name="interprétation"/>
    <w:p>
      <w:pPr>
        <w:pStyle w:val="Heading3"/>
      </w:pPr>
      <w:r>
        <w:rPr>
          <w:rStyle w:val="SectionNumber"/>
        </w:rPr>
        <w:t xml:space="preserve">3.1.3</w:t>
      </w:r>
      <w:r>
        <w:tab/>
      </w:r>
      <w:r>
        <w:t xml:space="preserve">Interprétation</w:t>
      </w:r>
    </w:p>
    <w:p>
      <w:pPr>
        <w:pStyle w:val="FirstParagraph"/>
      </w:pPr>
      <w:r>
        <w:t xml:space="preserve">Le taux de valeurs manquantes sur la superficie GPS reflète la collecte partielle lors de la visite post-plantation. Les poids de sondage (</w:t>
      </w:r>
      <w:r>
        <w:rPr>
          <w:rStyle w:val="VerbatimChar"/>
        </w:rPr>
        <w:t xml:space="preserve">wt_wave4</w:t>
      </w:r>
      <w:r>
        <w:t xml:space="preserve">) sont quasi-exhaustifs ; le seul NA est exclu des analyses pondérées sous l’hypothèse MCAR.</w:t>
      </w:r>
    </w:p>
    <w:p>
      <w:r>
        <w:br w:type="page"/>
      </w:r>
    </w:p>
    <w:bookmarkEnd w:id="27"/>
    <w:bookmarkEnd w:id="28"/>
    <w:bookmarkStart w:id="46" w:name="X9d028530ab3283ed174b3b05eb362a94ef076bd"/>
    <w:p>
      <w:pPr>
        <w:pStyle w:val="Heading2"/>
      </w:pPr>
      <w:r>
        <w:rPr>
          <w:rStyle w:val="SectionNumber"/>
        </w:rPr>
        <w:t xml:space="preserve">3.2</w:t>
      </w:r>
      <w:r>
        <w:tab/>
      </w:r>
      <w:r>
        <w:t xml:space="preserve">Question 20 — Analyse univariée de la superficie</w:t>
      </w:r>
    </w:p>
    <w:bookmarkStart w:id="29" w:name="méthodologie-2"/>
    <w:p>
      <w:pPr>
        <w:pStyle w:val="Heading3"/>
      </w:pPr>
      <w:r>
        <w:rPr>
          <w:rStyle w:val="SectionNumber"/>
        </w:rPr>
        <w:t xml:space="preserve">3.2.1</w:t>
      </w:r>
      <w:r>
        <w:tab/>
      </w:r>
      <w:r>
        <w:t xml:space="preserve">Méthodologie</w:t>
      </w:r>
    </w:p>
    <w:p>
      <w:pPr>
        <w:pStyle w:val="FirstParagraph"/>
      </w:pPr>
      <w:r>
        <w:t xml:space="preserve">La superficie est analysée à deux niveaux : la parcelle individuelle et le ménage (somme des superficies de ses parcelles). Les statistiques descriptives sont calculées sur données pondérées (</w:t>
      </w:r>
      <w:r>
        <w:rPr>
          <w:rStyle w:val="VerbatimChar"/>
        </w:rPr>
        <w:t xml:space="preserve">wt_wave4</w:t>
      </w:r>
      <w:r>
        <w:t xml:space="preserve">). L’échelle logarithmique est utilisée pour la visualisation en raison de la forte asymétrie droite.</w:t>
      </w:r>
    </w:p>
    <w:bookmarkEnd w:id="29"/>
    <w:bookmarkStart w:id="33" w:name="résultats-superficie-par-parcelle"/>
    <w:p>
      <w:pPr>
        <w:pStyle w:val="Heading3"/>
      </w:pPr>
      <w:r>
        <w:rPr>
          <w:rStyle w:val="SectionNumber"/>
        </w:rPr>
        <w:t xml:space="preserve">3.2.2</w:t>
      </w:r>
      <w:r>
        <w:tab/>
      </w:r>
      <w:r>
        <w:t xml:space="preserve">Résultats — Superficie par parcelle</w:t>
      </w:r>
    </w:p>
    <w:p>
      <w:pPr>
        <w:pStyle w:val="TableCaption"/>
      </w:pPr>
      <w:r>
        <w:t xml:space="preserve">Statistiques descriptives de la superficie par parcelle (ha, ponderees)</w:t>
      </w:r>
    </w:p>
    <w:tbl>
      <w:tblPr>
        <w:tblStyle w:val="Table"/>
        <w:tblW w:type="auto" w:w="0"/>
        <w:tblLook w:firstRow="1" w:lastRow="0" w:firstColumn="0" w:lastColumn="0" w:noHBand="0" w:noVBand="0" w:val="0020"/>
        <w:tblCaption w:val="Statistiques descriptives de la superficie par parcelle (ha, ponderees)"/>
      </w:tblPr>
      <w:tblGrid>
        <w:gridCol w:w="990"/>
        <w:gridCol w:w="990"/>
        <w:gridCol w:w="990"/>
        <w:gridCol w:w="990"/>
        <w:gridCol w:w="990"/>
        <w:gridCol w:w="990"/>
        <w:gridCol w:w="990"/>
        <w:gridCol w:w="990"/>
      </w:tblGrid>
      <w:tr>
        <w:trPr>
          <w:tblHeader w:val="on"/>
        </w:trPr>
        <w:tc>
          <w:tcPr/>
          <w:p>
            <w:pPr>
              <w:pStyle w:val="Compact"/>
              <w:jc w:val="right"/>
            </w:pPr>
            <w:r>
              <w:t xml:space="preserve">n</w:t>
            </w:r>
          </w:p>
        </w:tc>
        <w:tc>
          <w:tcPr/>
          <w:p>
            <w:pPr>
              <w:pStyle w:val="Compact"/>
              <w:jc w:val="left"/>
            </w:pPr>
            <w:r>
              <w:t xml:space="preserve">mean</w:t>
            </w:r>
          </w:p>
        </w:tc>
        <w:tc>
          <w:tcPr/>
          <w:p>
            <w:pPr>
              <w:pStyle w:val="Compact"/>
              <w:jc w:val="right"/>
            </w:pPr>
            <w:r>
              <w:t xml:space="preserve">sd</w:t>
            </w:r>
          </w:p>
        </w:tc>
        <w:tc>
          <w:tcPr/>
          <w:p>
            <w:pPr>
              <w:pStyle w:val="Compact"/>
              <w:jc w:val="right"/>
            </w:pPr>
            <w:r>
              <w:t xml:space="preserve">median</w:t>
            </w:r>
          </w:p>
        </w:tc>
        <w:tc>
          <w:tcPr/>
          <w:p>
            <w:pPr>
              <w:pStyle w:val="Compact"/>
              <w:jc w:val="right"/>
            </w:pPr>
            <w:r>
              <w:t xml:space="preserve">Q1</w:t>
            </w:r>
          </w:p>
        </w:tc>
        <w:tc>
          <w:tcPr/>
          <w:p>
            <w:pPr>
              <w:pStyle w:val="Compact"/>
              <w:jc w:val="right"/>
            </w:pPr>
            <w:r>
              <w:t xml:space="preserve">Q3</w:t>
            </w:r>
          </w:p>
        </w:tc>
        <w:tc>
          <w:tcPr/>
          <w:p>
            <w:pPr>
              <w:pStyle w:val="Compact"/>
              <w:jc w:val="right"/>
            </w:pPr>
            <w:r>
              <w:t xml:space="preserve">min</w:t>
            </w:r>
          </w:p>
        </w:tc>
        <w:tc>
          <w:tcPr/>
          <w:p>
            <w:pPr>
              <w:pStyle w:val="Compact"/>
              <w:jc w:val="right"/>
            </w:pPr>
            <w:r>
              <w:t xml:space="preserve">max</w:t>
            </w:r>
          </w:p>
        </w:tc>
      </w:tr>
      <w:tr>
        <w:tc>
          <w:tcPr/>
          <w:p>
            <w:pPr>
              <w:pStyle w:val="Compact"/>
              <w:jc w:val="right"/>
            </w:pPr>
            <w:r>
              <w:t xml:space="preserve">11067</w:t>
            </w:r>
          </w:p>
        </w:tc>
        <w:tc>
          <w:tcPr/>
          <w:p>
            <w:pPr>
              <w:pStyle w:val="Compact"/>
              <w:jc w:val="left"/>
            </w:pPr>
            <w:r>
              <w:t xml:space="preserve">NA</w:t>
            </w:r>
          </w:p>
        </w:tc>
        <w:tc>
          <w:tcPr/>
          <w:p>
            <w:pPr>
              <w:pStyle w:val="Compact"/>
              <w:jc w:val="right"/>
            </w:pPr>
            <w:r>
              <w:t xml:space="preserve">3.949</w:t>
            </w:r>
          </w:p>
        </w:tc>
        <w:tc>
          <w:tcPr/>
          <w:p>
            <w:pPr>
              <w:pStyle w:val="Compact"/>
              <w:jc w:val="right"/>
            </w:pPr>
            <w:r>
              <w:t xml:space="preserve">0.3</w:t>
            </w:r>
          </w:p>
        </w:tc>
        <w:tc>
          <w:tcPr/>
          <w:p>
            <w:pPr>
              <w:pStyle w:val="Compact"/>
              <w:jc w:val="right"/>
            </w:pPr>
            <w:r>
              <w:t xml:space="preserve">0.06</w:t>
            </w:r>
          </w:p>
        </w:tc>
        <w:tc>
          <w:tcPr/>
          <w:p>
            <w:pPr>
              <w:pStyle w:val="Compact"/>
              <w:jc w:val="right"/>
            </w:pPr>
            <w:r>
              <w:t xml:space="preserve">0.8</w:t>
            </w:r>
          </w:p>
        </w:tc>
        <w:tc>
          <w:tcPr/>
          <w:p>
            <w:pPr>
              <w:pStyle w:val="Compact"/>
              <w:jc w:val="right"/>
            </w:pPr>
            <w:r>
              <w:t xml:space="preserve">0</w:t>
            </w:r>
          </w:p>
        </w:tc>
        <w:tc>
          <w:tcPr/>
          <w:p>
            <w:pPr>
              <w:pStyle w:val="Compact"/>
              <w:jc w:val="right"/>
            </w:pPr>
            <w:r>
              <w:t xml:space="preserve">480</w:t>
            </w:r>
          </w:p>
        </w:tc>
      </w:tr>
    </w:tbl>
    <w:p/>
    <w:p>
      <w:pPr>
        <w:pStyle w:val="TableCaption"/>
      </w:pPr>
      <w:r>
        <w:t xml:space="preserve">Distribution par decile de la superficie par parcelle</w:t>
      </w:r>
    </w:p>
    <w:tbl>
      <w:tblPr>
        <w:tblStyle w:val="Table"/>
        <w:tblW w:type="auto" w:w="0"/>
        <w:tblLook w:firstRow="1" w:lastRow="0" w:firstColumn="0" w:lastColumn="0" w:noHBand="0" w:noVBand="0" w:val="0020"/>
        <w:tblCaption w:val="Distribution par decile de la superficie par parcelle"/>
      </w:tblPr>
      <w:tblGrid>
        <w:gridCol w:w="3960"/>
        <w:gridCol w:w="3960"/>
      </w:tblGrid>
      <w:tr>
        <w:trPr>
          <w:tblHeader w:val="on"/>
        </w:trPr>
        <w:tc>
          <w:tcPr/>
          <w:p>
            <w:pPr>
              <w:pStyle w:val="Compact"/>
              <w:jc w:val="left"/>
            </w:pPr>
            <w:r>
              <w:t xml:space="preserve">Decile</w:t>
            </w:r>
          </w:p>
        </w:tc>
        <w:tc>
          <w:tcPr/>
          <w:p>
            <w:pPr>
              <w:pStyle w:val="Compact"/>
              <w:jc w:val="right"/>
            </w:pPr>
            <w:r>
              <w:t xml:space="preserve">Superficie (ha)</w:t>
            </w:r>
          </w:p>
        </w:tc>
      </w:tr>
      <w:tr>
        <w:tc>
          <w:tcPr/>
          <w:p>
            <w:pPr>
              <w:pStyle w:val="Compact"/>
              <w:jc w:val="left"/>
            </w:pPr>
            <w:r>
              <w:t xml:space="preserve">0%</w:t>
            </w:r>
          </w:p>
        </w:tc>
        <w:tc>
          <w:tcPr/>
          <w:p>
            <w:pPr>
              <w:pStyle w:val="Compact"/>
              <w:jc w:val="right"/>
            </w:pPr>
            <w:r>
              <w:t xml:space="preserve">0.000</w:t>
            </w:r>
          </w:p>
        </w:tc>
      </w:tr>
      <w:tr>
        <w:tc>
          <w:tcPr/>
          <w:p>
            <w:pPr>
              <w:pStyle w:val="Compact"/>
              <w:jc w:val="left"/>
            </w:pPr>
            <w:r>
              <w:t xml:space="preserve">10%</w:t>
            </w:r>
          </w:p>
        </w:tc>
        <w:tc>
          <w:tcPr/>
          <w:p>
            <w:pPr>
              <w:pStyle w:val="Compact"/>
              <w:jc w:val="right"/>
            </w:pPr>
            <w:r>
              <w:t xml:space="preserve">0.018</w:t>
            </w:r>
          </w:p>
        </w:tc>
      </w:tr>
      <w:tr>
        <w:tc>
          <w:tcPr/>
          <w:p>
            <w:pPr>
              <w:pStyle w:val="Compact"/>
              <w:jc w:val="left"/>
            </w:pPr>
            <w:r>
              <w:t xml:space="preserve">20%</w:t>
            </w:r>
          </w:p>
        </w:tc>
        <w:tc>
          <w:tcPr/>
          <w:p>
            <w:pPr>
              <w:pStyle w:val="Compact"/>
              <w:jc w:val="right"/>
            </w:pPr>
            <w:r>
              <w:t xml:space="preserve">0.045</w:t>
            </w:r>
          </w:p>
        </w:tc>
      </w:tr>
      <w:tr>
        <w:tc>
          <w:tcPr/>
          <w:p>
            <w:pPr>
              <w:pStyle w:val="Compact"/>
              <w:jc w:val="left"/>
            </w:pPr>
            <w:r>
              <w:t xml:space="preserve">30%</w:t>
            </w:r>
          </w:p>
        </w:tc>
        <w:tc>
          <w:tcPr/>
          <w:p>
            <w:pPr>
              <w:pStyle w:val="Compact"/>
              <w:jc w:val="right"/>
            </w:pPr>
            <w:r>
              <w:t xml:space="preserve">0.082</w:t>
            </w:r>
          </w:p>
        </w:tc>
      </w:tr>
      <w:tr>
        <w:tc>
          <w:tcPr/>
          <w:p>
            <w:pPr>
              <w:pStyle w:val="Compact"/>
              <w:jc w:val="left"/>
            </w:pPr>
            <w:r>
              <w:t xml:space="preserve">40%</w:t>
            </w:r>
          </w:p>
        </w:tc>
        <w:tc>
          <w:tcPr/>
          <w:p>
            <w:pPr>
              <w:pStyle w:val="Compact"/>
              <w:jc w:val="right"/>
            </w:pPr>
            <w:r>
              <w:t xml:space="preserve">0.171</w:t>
            </w:r>
          </w:p>
        </w:tc>
      </w:tr>
      <w:tr>
        <w:tc>
          <w:tcPr/>
          <w:p>
            <w:pPr>
              <w:pStyle w:val="Compact"/>
              <w:jc w:val="left"/>
            </w:pPr>
            <w:r>
              <w:t xml:space="preserve">50%</w:t>
            </w:r>
          </w:p>
        </w:tc>
        <w:tc>
          <w:tcPr/>
          <w:p>
            <w:pPr>
              <w:pStyle w:val="Compact"/>
              <w:jc w:val="right"/>
            </w:pPr>
            <w:r>
              <w:t xml:space="preserve">0.300</w:t>
            </w:r>
          </w:p>
        </w:tc>
      </w:tr>
      <w:tr>
        <w:tc>
          <w:tcPr/>
          <w:p>
            <w:pPr>
              <w:pStyle w:val="Compact"/>
              <w:jc w:val="left"/>
            </w:pPr>
            <w:r>
              <w:t xml:space="preserve">60%</w:t>
            </w:r>
          </w:p>
        </w:tc>
        <w:tc>
          <w:tcPr/>
          <w:p>
            <w:pPr>
              <w:pStyle w:val="Compact"/>
              <w:jc w:val="right"/>
            </w:pPr>
            <w:r>
              <w:t xml:space="preserve">0.400</w:t>
            </w:r>
          </w:p>
        </w:tc>
      </w:tr>
      <w:tr>
        <w:tc>
          <w:tcPr/>
          <w:p>
            <w:pPr>
              <w:pStyle w:val="Compact"/>
              <w:jc w:val="left"/>
            </w:pPr>
            <w:r>
              <w:t xml:space="preserve">70%</w:t>
            </w:r>
          </w:p>
        </w:tc>
        <w:tc>
          <w:tcPr/>
          <w:p>
            <w:pPr>
              <w:pStyle w:val="Compact"/>
              <w:jc w:val="right"/>
            </w:pPr>
            <w:r>
              <w:t xml:space="preserve">0.600</w:t>
            </w:r>
          </w:p>
        </w:tc>
      </w:tr>
      <w:tr>
        <w:tc>
          <w:tcPr/>
          <w:p>
            <w:pPr>
              <w:pStyle w:val="Compact"/>
              <w:jc w:val="left"/>
            </w:pPr>
            <w:r>
              <w:t xml:space="preserve">80%</w:t>
            </w:r>
          </w:p>
        </w:tc>
        <w:tc>
          <w:tcPr/>
          <w:p>
            <w:pPr>
              <w:pStyle w:val="Compact"/>
              <w:jc w:val="right"/>
            </w:pPr>
            <w:r>
              <w:t xml:space="preserve">0.800</w:t>
            </w:r>
          </w:p>
        </w:tc>
      </w:tr>
      <w:tr>
        <w:tc>
          <w:tcPr/>
          <w:p>
            <w:pPr>
              <w:pStyle w:val="Compact"/>
              <w:jc w:val="left"/>
            </w:pPr>
            <w:r>
              <w:t xml:space="preserve">90%</w:t>
            </w:r>
          </w:p>
        </w:tc>
        <w:tc>
          <w:tcPr/>
          <w:p>
            <w:pPr>
              <w:pStyle w:val="Compact"/>
              <w:jc w:val="right"/>
            </w:pPr>
            <w:r>
              <w:t xml:space="preserve">1.235</w:t>
            </w:r>
          </w:p>
        </w:tc>
      </w:tr>
      <w:tr>
        <w:tc>
          <w:tcPr/>
          <w:p>
            <w:pPr>
              <w:pStyle w:val="Compact"/>
              <w:jc w:val="left"/>
            </w:pPr>
            <w:r>
              <w:t xml:space="preserve">100%</w:t>
            </w:r>
          </w:p>
        </w:tc>
        <w:tc>
          <w:tcPr/>
          <w:p>
            <w:pPr>
              <w:pStyle w:val="Compact"/>
              <w:jc w:val="right"/>
            </w:pPr>
            <w:r>
              <w:t xml:space="preserve">480.000</w:t>
            </w:r>
          </w:p>
        </w:tc>
      </w:tr>
    </w:tbl>
    <w:p>
      <w:pPr>
        <w:pStyle w:val="CaptionedFigure"/>
      </w:pPr>
      <w:r>
        <w:drawing>
          <wp:inline>
            <wp:extent cx="4533900" cy="3173730"/>
            <wp:effectExtent b="0" l="0" r="0" t="0"/>
            <wp:docPr descr="Distribution de la superficie par parcelle (echelle log, ponderee)" title="" id="31" name="Picture"/>
            <a:graphic>
              <a:graphicData uri="http://schemas.openxmlformats.org/drawingml/2006/picture">
                <pic:pic>
                  <pic:nvPicPr>
                    <pic:cNvPr descr="rapport_final_files/figure-docx/fig-hist-parcelle-1.png" id="32" name="Picture"/>
                    <pic:cNvPicPr>
                      <a:picLocks noChangeArrowheads="1" noChangeAspect="1"/>
                    </pic:cNvPicPr>
                  </pic:nvPicPr>
                  <pic:blipFill>
                    <a:blip r:embed="rId30"/>
                    <a:stretch>
                      <a:fillRect/>
                    </a:stretch>
                  </pic:blipFill>
                  <pic:spPr bwMode="auto">
                    <a:xfrm>
                      <a:off x="0" y="0"/>
                      <a:ext cx="4533900" cy="3173730"/>
                    </a:xfrm>
                    <a:prstGeom prst="rect">
                      <a:avLst/>
                    </a:prstGeom>
                    <a:noFill/>
                    <a:ln w="9525">
                      <a:noFill/>
                      <a:headEnd/>
                      <a:tailEnd/>
                    </a:ln>
                  </pic:spPr>
                </pic:pic>
              </a:graphicData>
            </a:graphic>
          </wp:inline>
        </w:drawing>
      </w:r>
    </w:p>
    <w:p>
      <w:pPr>
        <w:pStyle w:val="ImageCaption"/>
      </w:pPr>
      <w:r>
        <w:t xml:space="preserve">Distribution de la superficie par parcelle (echelle log, ponderee)</w:t>
      </w:r>
    </w:p>
    <w:bookmarkEnd w:id="33"/>
    <w:bookmarkStart w:id="40" w:name="résultats-superficie-par-ménage"/>
    <w:p>
      <w:pPr>
        <w:pStyle w:val="Heading3"/>
      </w:pPr>
      <w:r>
        <w:rPr>
          <w:rStyle w:val="SectionNumber"/>
        </w:rPr>
        <w:t xml:space="preserve">3.2.3</w:t>
      </w:r>
      <w:r>
        <w:tab/>
      </w:r>
      <w:r>
        <w:t xml:space="preserve">Résultats — Superficie par ménage</w:t>
      </w:r>
    </w:p>
    <w:p>
      <w:pPr>
        <w:pStyle w:val="TableCaption"/>
      </w:pPr>
      <w:r>
        <w:t xml:space="preserve">Statistiques descriptives de la superficie totale par menage (ha, ponderees)</w:t>
      </w:r>
    </w:p>
    <w:tbl>
      <w:tblPr>
        <w:tblStyle w:val="Table"/>
        <w:tblW w:type="auto" w:w="0"/>
        <w:tblLook w:firstRow="1" w:lastRow="0" w:firstColumn="0" w:lastColumn="0" w:noHBand="0" w:noVBand="0" w:val="0020"/>
        <w:tblCaption w:val="Statistiques descriptives de la superficie totale par menage (ha, ponderees)"/>
      </w:tblPr>
      <w:tblGrid>
        <w:gridCol w:w="990"/>
        <w:gridCol w:w="990"/>
        <w:gridCol w:w="990"/>
        <w:gridCol w:w="990"/>
        <w:gridCol w:w="990"/>
        <w:gridCol w:w="990"/>
        <w:gridCol w:w="990"/>
        <w:gridCol w:w="990"/>
      </w:tblGrid>
      <w:tr>
        <w:trPr>
          <w:tblHeader w:val="on"/>
        </w:trPr>
        <w:tc>
          <w:tcPr/>
          <w:p>
            <w:pPr>
              <w:pStyle w:val="Compact"/>
              <w:jc w:val="right"/>
            </w:pPr>
            <w:r>
              <w:t xml:space="preserve">n</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median</w:t>
            </w:r>
          </w:p>
        </w:tc>
        <w:tc>
          <w:tcPr/>
          <w:p>
            <w:pPr>
              <w:pStyle w:val="Compact"/>
              <w:jc w:val="right"/>
            </w:pPr>
            <w:r>
              <w:t xml:space="preserve">Q1</w:t>
            </w:r>
          </w:p>
        </w:tc>
        <w:tc>
          <w:tcPr/>
          <w:p>
            <w:pPr>
              <w:pStyle w:val="Compact"/>
              <w:jc w:val="right"/>
            </w:pPr>
            <w:r>
              <w:t xml:space="preserve">Q3</w:t>
            </w:r>
          </w:p>
        </w:tc>
        <w:tc>
          <w:tcPr/>
          <w:p>
            <w:pPr>
              <w:pStyle w:val="Compact"/>
              <w:jc w:val="right"/>
            </w:pPr>
            <w:r>
              <w:t xml:space="preserve">min</w:t>
            </w:r>
          </w:p>
        </w:tc>
        <w:tc>
          <w:tcPr/>
          <w:p>
            <w:pPr>
              <w:pStyle w:val="Compact"/>
              <w:jc w:val="right"/>
            </w:pPr>
            <w:r>
              <w:t xml:space="preserve">max</w:t>
            </w:r>
          </w:p>
        </w:tc>
      </w:tr>
      <w:tr>
        <w:tc>
          <w:tcPr/>
          <w:p>
            <w:pPr>
              <w:pStyle w:val="Compact"/>
              <w:jc w:val="right"/>
            </w:pPr>
            <w:r>
              <w:t xml:space="preserve">3870</w:t>
            </w:r>
          </w:p>
        </w:tc>
        <w:tc>
          <w:tcPr/>
          <w:p>
            <w:pPr>
              <w:pStyle w:val="Compact"/>
              <w:jc w:val="right"/>
            </w:pPr>
            <w:r>
              <w:t xml:space="preserve">1.749</w:t>
            </w:r>
          </w:p>
        </w:tc>
        <w:tc>
          <w:tcPr/>
          <w:p>
            <w:pPr>
              <w:pStyle w:val="Compact"/>
              <w:jc w:val="right"/>
            </w:pPr>
            <w:r>
              <w:t xml:space="preserve">7.086</w:t>
            </w:r>
          </w:p>
        </w:tc>
        <w:tc>
          <w:tcPr/>
          <w:p>
            <w:pPr>
              <w:pStyle w:val="Compact"/>
              <w:jc w:val="right"/>
            </w:pPr>
            <w:r>
              <w:t xml:space="preserve">0.876</w:t>
            </w:r>
          </w:p>
        </w:tc>
        <w:tc>
          <w:tcPr/>
          <w:p>
            <w:pPr>
              <w:pStyle w:val="Compact"/>
              <w:jc w:val="right"/>
            </w:pPr>
            <w:r>
              <w:t xml:space="preserve">0.288</w:t>
            </w:r>
          </w:p>
        </w:tc>
        <w:tc>
          <w:tcPr/>
          <w:p>
            <w:pPr>
              <w:pStyle w:val="Compact"/>
              <w:jc w:val="right"/>
            </w:pPr>
            <w:r>
              <w:t xml:space="preserve">2</w:t>
            </w:r>
          </w:p>
        </w:tc>
        <w:tc>
          <w:tcPr/>
          <w:p>
            <w:pPr>
              <w:pStyle w:val="Compact"/>
              <w:jc w:val="right"/>
            </w:pPr>
            <w:r>
              <w:t xml:space="preserve">0</w:t>
            </w:r>
          </w:p>
        </w:tc>
        <w:tc>
          <w:tcPr/>
          <w:p>
            <w:pPr>
              <w:pStyle w:val="Compact"/>
              <w:jc w:val="right"/>
            </w:pPr>
            <w:r>
              <w:t xml:space="preserve">480.649</w:t>
            </w:r>
          </w:p>
        </w:tc>
      </w:tr>
    </w:tbl>
    <w:p>
      <w:pPr>
        <w:pStyle w:val="CaptionedFigure"/>
      </w:pPr>
      <w:r>
        <w:drawing>
          <wp:inline>
            <wp:extent cx="4533900" cy="3173730"/>
            <wp:effectExtent b="0" l="0" r="0" t="0"/>
            <wp:docPr descr="Distribution de la superficie totale par menage (echelle log, ponderee)" title="" id="35" name="Picture"/>
            <a:graphic>
              <a:graphicData uri="http://schemas.openxmlformats.org/drawingml/2006/picture">
                <pic:pic>
                  <pic:nvPicPr>
                    <pic:cNvPr descr="rapport_final_files/figure-docx/fig-hist-menage-1.png" id="36" name="Picture"/>
                    <pic:cNvPicPr>
                      <a:picLocks noChangeArrowheads="1" noChangeAspect="1"/>
                    </pic:cNvPicPr>
                  </pic:nvPicPr>
                  <pic:blipFill>
                    <a:blip r:embed="rId34"/>
                    <a:stretch>
                      <a:fillRect/>
                    </a:stretch>
                  </pic:blipFill>
                  <pic:spPr bwMode="auto">
                    <a:xfrm>
                      <a:off x="0" y="0"/>
                      <a:ext cx="4533900" cy="3173730"/>
                    </a:xfrm>
                    <a:prstGeom prst="rect">
                      <a:avLst/>
                    </a:prstGeom>
                    <a:noFill/>
                    <a:ln w="9525">
                      <a:noFill/>
                      <a:headEnd/>
                      <a:tailEnd/>
                    </a:ln>
                  </pic:spPr>
                </pic:pic>
              </a:graphicData>
            </a:graphic>
          </wp:inline>
        </w:drawing>
      </w:r>
    </w:p>
    <w:p>
      <w:pPr>
        <w:pStyle w:val="ImageCaption"/>
      </w:pPr>
      <w:r>
        <w:t xml:space="preserve">Distribution de la superficie totale par menage (echelle log, ponderee)</w:t>
      </w:r>
    </w:p>
    <w:p>
      <w:pPr>
        <w:pStyle w:val="CaptionedFigure"/>
      </w:pPr>
      <w:r>
        <w:drawing>
          <wp:inline>
            <wp:extent cx="4533900" cy="3627120"/>
            <wp:effectExtent b="0" l="0" r="0" t="0"/>
            <wp:docPr descr="Boxplots de la superficie par parcelle (gauche) et par menage (droite)" title="" id="38" name="Picture"/>
            <a:graphic>
              <a:graphicData uri="http://schemas.openxmlformats.org/drawingml/2006/picture">
                <pic:pic>
                  <pic:nvPicPr>
                    <pic:cNvPr descr="rapport_final_files/figure-docx/fig-boxplot-1.png" id="39" name="Picture"/>
                    <pic:cNvPicPr>
                      <a:picLocks noChangeArrowheads="1" noChangeAspect="1"/>
                    </pic:cNvPicPr>
                  </pic:nvPicPr>
                  <pic:blipFill>
                    <a:blip r:embed="rId37"/>
                    <a:stretch>
                      <a:fillRect/>
                    </a:stretch>
                  </pic:blipFill>
                  <pic:spPr bwMode="auto">
                    <a:xfrm>
                      <a:off x="0" y="0"/>
                      <a:ext cx="4533900" cy="3627120"/>
                    </a:xfrm>
                    <a:prstGeom prst="rect">
                      <a:avLst/>
                    </a:prstGeom>
                    <a:noFill/>
                    <a:ln w="9525">
                      <a:noFill/>
                      <a:headEnd/>
                      <a:tailEnd/>
                    </a:ln>
                  </pic:spPr>
                </pic:pic>
              </a:graphicData>
            </a:graphic>
          </wp:inline>
        </w:drawing>
      </w:r>
    </w:p>
    <w:p>
      <w:pPr>
        <w:pStyle w:val="ImageCaption"/>
      </w:pPr>
      <w:r>
        <w:t xml:space="preserve">Boxplots de la superficie par parcelle (gauche) et par menage (droite)</w:t>
      </w:r>
    </w:p>
    <w:bookmarkEnd w:id="40"/>
    <w:bookmarkStart w:id="44" w:name="X2cff724491af7185c6c069c162a4e5fba35084d"/>
    <w:p>
      <w:pPr>
        <w:pStyle w:val="Heading3"/>
      </w:pPr>
      <w:r>
        <w:rPr>
          <w:rStyle w:val="SectionNumber"/>
        </w:rPr>
        <w:t xml:space="preserve">3.2.4</w:t>
      </w:r>
      <w:r>
        <w:tab/>
      </w:r>
      <w:r>
        <w:t xml:space="preserve">Résultats — Comparaison superficie déclarée vs GPS</w:t>
      </w:r>
    </w:p>
    <w:p>
      <w:pPr>
        <w:pStyle w:val="CaptionedFigure"/>
      </w:pPr>
      <w:r>
        <w:drawing>
          <wp:inline>
            <wp:extent cx="4533900" cy="3627120"/>
            <wp:effectExtent b="0" l="0" r="0" t="0"/>
            <wp:docPr descr="Superficie declaree vs superficie GPS (echelle log). La droite rouge a 45 deg represente la concordance parfaite." title="" id="42" name="Picture"/>
            <a:graphic>
              <a:graphicData uri="http://schemas.openxmlformats.org/drawingml/2006/picture">
                <pic:pic>
                  <pic:nvPicPr>
                    <pic:cNvPr descr="rapport_final_files/figure-docx/fig-scatter-gps-1.png" id="43" name="Picture"/>
                    <pic:cNvPicPr>
                      <a:picLocks noChangeArrowheads="1" noChangeAspect="1"/>
                    </pic:cNvPicPr>
                  </pic:nvPicPr>
                  <pic:blipFill>
                    <a:blip r:embed="rId41"/>
                    <a:stretch>
                      <a:fillRect/>
                    </a:stretch>
                  </pic:blipFill>
                  <pic:spPr bwMode="auto">
                    <a:xfrm>
                      <a:off x="0" y="0"/>
                      <a:ext cx="4533900" cy="3627120"/>
                    </a:xfrm>
                    <a:prstGeom prst="rect">
                      <a:avLst/>
                    </a:prstGeom>
                    <a:noFill/>
                    <a:ln w="9525">
                      <a:noFill/>
                      <a:headEnd/>
                      <a:tailEnd/>
                    </a:ln>
                  </pic:spPr>
                </pic:pic>
              </a:graphicData>
            </a:graphic>
          </wp:inline>
        </w:drawing>
      </w:r>
    </w:p>
    <w:p>
      <w:pPr>
        <w:pStyle w:val="ImageCaption"/>
      </w:pPr>
      <w:r>
        <w:t xml:space="preserve">Superficie declaree vs superficie GPS (echelle log). La droite rouge a 45 deg represente la concordance parfaite.</w:t>
      </w:r>
    </w:p>
    <w:p>
      <w:pPr>
        <w:pStyle w:val="BodyText"/>
      </w:pPr>
      <w:r>
        <w:t xml:space="preserve">La corrélation de Spearman entre superficie déclarée et superficie GPS est de</w:t>
      </w:r>
      <w:r>
        <w:t xml:space="preserve"> </w:t>
      </w:r>
      <m:oMath>
        <m:r>
          <m:t>ρ</m:t>
        </m:r>
        <m:r>
          <m:rPr>
            <m:sty m:val="p"/>
          </m:rPr>
          <m:t>=</m:t>
        </m:r>
      </m:oMath>
      <w:r>
        <w:rPr>
          <w:b/>
          <w:bCs/>
        </w:rPr>
        <w:t xml:space="preserve"> </w:t>
      </w:r>
      <w:r>
        <w:rPr>
          <w:b/>
          <w:bCs/>
        </w:rPr>
        <w:t xml:space="preserve">0.704</w:t>
      </w:r>
      <w:r>
        <w:t xml:space="preserve"> </w:t>
      </w:r>
      <w:r>
        <w:t xml:space="preserve">(p &lt; 2,2e-16), soit une très forte concordance de rang.</w:t>
      </w:r>
      <w:r>
        <w:t xml:space="preserve"> </w:t>
      </w:r>
      <w:r>
        <w:rPr>
          <w:b/>
          <w:bCs/>
        </w:rPr>
        <w:t xml:space="preserve">59.1%</w:t>
      </w:r>
      <w:r>
        <w:t xml:space="preserve"> </w:t>
      </w:r>
      <w:r>
        <w:t xml:space="preserve">des parcelles présentent une superficie déclarée supérieure à la superficie GPS.</w:t>
      </w:r>
    </w:p>
    <w:bookmarkEnd w:id="44"/>
    <w:bookmarkStart w:id="45" w:name="interprétation-1"/>
    <w:p>
      <w:pPr>
        <w:pStyle w:val="Heading3"/>
      </w:pPr>
      <w:r>
        <w:rPr>
          <w:rStyle w:val="SectionNumber"/>
        </w:rPr>
        <w:t xml:space="preserve">3.2.5</w:t>
      </w:r>
      <w:r>
        <w:tab/>
      </w:r>
      <w:r>
        <w:t xml:space="preserve">Interprétation</w:t>
      </w:r>
    </w:p>
    <w:p>
      <w:pPr>
        <w:pStyle w:val="FirstParagraph"/>
      </w:pPr>
      <w:r>
        <w:t xml:space="preserve">La distribution des superficies est fortement asymétrique à droite, typique des structures foncières en Afrique subsaharienne. La prévalence de petites exploitations (médiane inférieure à 1 ha par parcelle et par ménage) témoigne d’une agriculture de subsistance fragmentée. La sur-déclaration systématique par rapport au GPS est un résultat classique dans la littérature : sans référence mesurée, les agriculteurs tendent à surestimer leurs surfaces.</w:t>
      </w:r>
    </w:p>
    <w:p>
      <w:r>
        <w:br w:type="page"/>
      </w:r>
    </w:p>
    <w:bookmarkEnd w:id="45"/>
    <w:bookmarkEnd w:id="46"/>
    <w:bookmarkStart w:id="53" w:name="question-21-régime-de-tenure-foncière"/>
    <w:p>
      <w:pPr>
        <w:pStyle w:val="Heading2"/>
      </w:pPr>
      <w:r>
        <w:rPr>
          <w:rStyle w:val="SectionNumber"/>
        </w:rPr>
        <w:t xml:space="preserve">3.3</w:t>
      </w:r>
      <w:r>
        <w:tab/>
      </w:r>
      <w:r>
        <w:t xml:space="preserve">Question 21 — Régime de tenure foncière</w:t>
      </w:r>
    </w:p>
    <w:bookmarkStart w:id="47" w:name="méthodologie-3"/>
    <w:p>
      <w:pPr>
        <w:pStyle w:val="Heading3"/>
      </w:pPr>
      <w:r>
        <w:rPr>
          <w:rStyle w:val="SectionNumber"/>
        </w:rPr>
        <w:t xml:space="preserve">3.3.1</w:t>
      </w:r>
      <w:r>
        <w:tab/>
      </w:r>
      <w:r>
        <w:t xml:space="preserve">Méthodologie</w:t>
      </w:r>
    </w:p>
    <w:p>
      <w:pPr>
        <w:pStyle w:val="FirstParagraph"/>
      </w:pPr>
      <w:r>
        <w:t xml:space="preserve">Le régime de tenure est analysé à partir de la variable</w:t>
      </w:r>
      <w:r>
        <w:t xml:space="preserve"> </w:t>
      </w:r>
      <w:r>
        <w:rPr>
          <w:rStyle w:val="VerbatimChar"/>
        </w:rPr>
        <w:t xml:space="preserve">s11b1q4</w:t>
      </w:r>
      <w:r>
        <w:t xml:space="preserve"> </w:t>
      </w:r>
      <w:r>
        <w:t xml:space="preserve">de</w:t>
      </w:r>
      <w:r>
        <w:t xml:space="preserve"> </w:t>
      </w:r>
      <w:r>
        <w:rPr>
          <w:rStyle w:val="VerbatimChar"/>
        </w:rPr>
        <w:t xml:space="preserve">sect11b1_plantingw4</w:t>
      </w:r>
      <w:r>
        <w:t xml:space="preserve">, recodée en sept modalités. La distribution des modes d’acquisition est décrite par fréquences et proportions. L’association avec le milieu de résidence (rural/urbain) est testée par le test du Chi-deux, complété par le V de Cramér pour mesurer l’intensité pratique de l’association.</w:t>
      </w:r>
    </w:p>
    <w:bookmarkEnd w:id="47"/>
    <w:bookmarkStart w:id="51" w:name="résultats-2"/>
    <w:p>
      <w:pPr>
        <w:pStyle w:val="Heading3"/>
      </w:pPr>
      <w:r>
        <w:rPr>
          <w:rStyle w:val="SectionNumber"/>
        </w:rPr>
        <w:t xml:space="preserve">3.3.2</w:t>
      </w:r>
      <w:r>
        <w:tab/>
      </w:r>
      <w:r>
        <w:t xml:space="preserve">Résultats</w:t>
      </w:r>
    </w:p>
    <w:p>
      <w:pPr>
        <w:pStyle w:val="TableCaption"/>
      </w:pPr>
      <w:r>
        <w:t xml:space="preserve">Distribution des parcelles selon le mode d’acquisition (tenure)</w:t>
      </w:r>
    </w:p>
    <w:tbl>
      <w:tblPr>
        <w:tblStyle w:val="Table"/>
        <w:tblW w:type="auto" w:w="0"/>
        <w:tblLook w:firstRow="1" w:lastRow="0" w:firstColumn="0" w:lastColumn="0" w:noHBand="0" w:noVBand="0" w:val="0020"/>
        <w:tblCaption w:val="Distribution des parcelles selon le mode d’acquisition (tenure)"/>
      </w:tblPr>
      <w:tblGrid>
        <w:gridCol w:w="1980"/>
        <w:gridCol w:w="1980"/>
        <w:gridCol w:w="1980"/>
        <w:gridCol w:w="1980"/>
      </w:tblGrid>
      <w:tr>
        <w:trPr>
          <w:tblHeader w:val="on"/>
        </w:trPr>
        <w:tc>
          <w:tcPr/>
          <w:p>
            <w:pPr>
              <w:pStyle w:val="Compact"/>
              <w:jc w:val="left"/>
            </w:pPr>
            <w:r>
              <w:t xml:space="preserve">Mode d’acquisition</w:t>
            </w:r>
          </w:p>
        </w:tc>
        <w:tc>
          <w:tcPr/>
          <w:p>
            <w:pPr>
              <w:pStyle w:val="Compact"/>
              <w:jc w:val="right"/>
            </w:pPr>
            <w:r>
              <w:t xml:space="preserve">Effectif</w:t>
            </w:r>
          </w:p>
        </w:tc>
        <w:tc>
          <w:tcPr/>
          <w:p>
            <w:pPr>
              <w:pStyle w:val="Compact"/>
              <w:jc w:val="right"/>
            </w:pPr>
            <w:r>
              <w:t xml:space="preserve">Proportion (pct)</w:t>
            </w:r>
          </w:p>
        </w:tc>
        <w:tc>
          <w:tcPr/>
          <w:p>
            <w:pPr>
              <w:pStyle w:val="Compact"/>
            </w:pPr>
          </w:p>
        </w:tc>
      </w:tr>
      <w:tr>
        <w:tc>
          <w:tcPr/>
          <w:p>
            <w:pPr>
              <w:pStyle w:val="Compact"/>
              <w:jc w:val="left"/>
            </w:pPr>
            <w:r>
              <w:t xml:space="preserve">Heritage familial</w:t>
            </w:r>
          </w:p>
        </w:tc>
        <w:tc>
          <w:tcPr/>
          <w:p>
            <w:pPr>
              <w:pStyle w:val="Compact"/>
              <w:jc w:val="right"/>
            </w:pPr>
            <w:r>
              <w:t xml:space="preserve">6906</w:t>
            </w:r>
          </w:p>
        </w:tc>
        <w:tc>
          <w:tcPr/>
          <w:p>
            <w:pPr>
              <w:pStyle w:val="Compact"/>
              <w:jc w:val="right"/>
            </w:pPr>
            <w:r>
              <w:t xml:space="preserve">63.0</w:t>
            </w:r>
          </w:p>
        </w:tc>
        <w:tc>
          <w:tcPr/>
          <w:p>
            <w:pPr>
              <w:pStyle w:val="Compact"/>
              <w:jc w:val="left"/>
            </w:pPr>
            <w:r>
              <w:t xml:space="preserve">63%</w:t>
            </w:r>
          </w:p>
        </w:tc>
      </w:tr>
      <w:tr>
        <w:tc>
          <w:tcPr/>
          <w:p>
            <w:pPr>
              <w:pStyle w:val="Compact"/>
              <w:jc w:val="left"/>
            </w:pPr>
            <w:r>
              <w:t xml:space="preserve">Propriete pleine (achat direct)</w:t>
            </w:r>
          </w:p>
        </w:tc>
        <w:tc>
          <w:tcPr/>
          <w:p>
            <w:pPr>
              <w:pStyle w:val="Compact"/>
              <w:jc w:val="right"/>
            </w:pPr>
            <w:r>
              <w:t xml:space="preserve">1269</w:t>
            </w:r>
          </w:p>
        </w:tc>
        <w:tc>
          <w:tcPr/>
          <w:p>
            <w:pPr>
              <w:pStyle w:val="Compact"/>
              <w:jc w:val="right"/>
            </w:pPr>
            <w:r>
              <w:t xml:space="preserve">11.6</w:t>
            </w:r>
          </w:p>
        </w:tc>
        <w:tc>
          <w:tcPr/>
          <w:p>
            <w:pPr>
              <w:pStyle w:val="Compact"/>
              <w:jc w:val="left"/>
            </w:pPr>
            <w:r>
              <w:t xml:space="preserve">11.6%</w:t>
            </w:r>
          </w:p>
        </w:tc>
      </w:tr>
      <w:tr>
        <w:tc>
          <w:tcPr/>
          <w:p>
            <w:pPr>
              <w:pStyle w:val="Compact"/>
              <w:jc w:val="left"/>
            </w:pPr>
            <w:r>
              <w:t xml:space="preserve">Location (especes/nature)</w:t>
            </w:r>
          </w:p>
        </w:tc>
        <w:tc>
          <w:tcPr/>
          <w:p>
            <w:pPr>
              <w:pStyle w:val="Compact"/>
              <w:jc w:val="right"/>
            </w:pPr>
            <w:r>
              <w:t xml:space="preserve">1218</w:t>
            </w:r>
          </w:p>
        </w:tc>
        <w:tc>
          <w:tcPr/>
          <w:p>
            <w:pPr>
              <w:pStyle w:val="Compact"/>
              <w:jc w:val="right"/>
            </w:pPr>
            <w:r>
              <w:t xml:space="preserve">11.1</w:t>
            </w:r>
          </w:p>
        </w:tc>
        <w:tc>
          <w:tcPr/>
          <w:p>
            <w:pPr>
              <w:pStyle w:val="Compact"/>
              <w:jc w:val="left"/>
            </w:pPr>
            <w:r>
              <w:t xml:space="preserve">11.1%</w:t>
            </w:r>
          </w:p>
        </w:tc>
      </w:tr>
      <w:tr>
        <w:tc>
          <w:tcPr/>
          <w:p>
            <w:pPr>
              <w:pStyle w:val="Compact"/>
              <w:jc w:val="left"/>
            </w:pPr>
            <w:r>
              <w:t xml:space="preserve">Usage gratuit</w:t>
            </w:r>
          </w:p>
        </w:tc>
        <w:tc>
          <w:tcPr/>
          <w:p>
            <w:pPr>
              <w:pStyle w:val="Compact"/>
              <w:jc w:val="right"/>
            </w:pPr>
            <w:r>
              <w:t xml:space="preserve">1002</w:t>
            </w:r>
          </w:p>
        </w:tc>
        <w:tc>
          <w:tcPr/>
          <w:p>
            <w:pPr>
              <w:pStyle w:val="Compact"/>
              <w:jc w:val="right"/>
            </w:pPr>
            <w:r>
              <w:t xml:space="preserve">9.1</w:t>
            </w:r>
          </w:p>
        </w:tc>
        <w:tc>
          <w:tcPr/>
          <w:p>
            <w:pPr>
              <w:pStyle w:val="Compact"/>
              <w:jc w:val="left"/>
            </w:pPr>
            <w:r>
              <w:t xml:space="preserve">9.1%</w:t>
            </w:r>
          </w:p>
        </w:tc>
      </w:tr>
      <w:tr>
        <w:tc>
          <w:tcPr/>
          <w:p>
            <w:pPr>
              <w:pStyle w:val="Compact"/>
              <w:jc w:val="left"/>
            </w:pPr>
            <w:r>
              <w:t xml:space="preserve">Distribution par la communaute</w:t>
            </w:r>
          </w:p>
        </w:tc>
        <w:tc>
          <w:tcPr/>
          <w:p>
            <w:pPr>
              <w:pStyle w:val="Compact"/>
              <w:jc w:val="right"/>
            </w:pPr>
            <w:r>
              <w:t xml:space="preserve">455</w:t>
            </w:r>
          </w:p>
        </w:tc>
        <w:tc>
          <w:tcPr/>
          <w:p>
            <w:pPr>
              <w:pStyle w:val="Compact"/>
              <w:jc w:val="right"/>
            </w:pPr>
            <w:r>
              <w:t xml:space="preserve">4.2</w:t>
            </w:r>
          </w:p>
        </w:tc>
        <w:tc>
          <w:tcPr/>
          <w:p>
            <w:pPr>
              <w:pStyle w:val="Compact"/>
              <w:jc w:val="left"/>
            </w:pPr>
            <w:r>
              <w:t xml:space="preserve">4.2%</w:t>
            </w:r>
          </w:p>
        </w:tc>
      </w:tr>
      <w:tr>
        <w:tc>
          <w:tcPr/>
          <w:p>
            <w:pPr>
              <w:pStyle w:val="Compact"/>
              <w:jc w:val="left"/>
            </w:pPr>
            <w:r>
              <w:t xml:space="preserve">Metayage</w:t>
            </w:r>
          </w:p>
        </w:tc>
        <w:tc>
          <w:tcPr/>
          <w:p>
            <w:pPr>
              <w:pStyle w:val="Compact"/>
              <w:jc w:val="right"/>
            </w:pPr>
            <w:r>
              <w:t xml:space="preserve">68</w:t>
            </w:r>
          </w:p>
        </w:tc>
        <w:tc>
          <w:tcPr/>
          <w:p>
            <w:pPr>
              <w:pStyle w:val="Compact"/>
              <w:jc w:val="right"/>
            </w:pPr>
            <w:r>
              <w:t xml:space="preserve">0.6</w:t>
            </w:r>
          </w:p>
        </w:tc>
        <w:tc>
          <w:tcPr/>
          <w:p>
            <w:pPr>
              <w:pStyle w:val="Compact"/>
              <w:jc w:val="left"/>
            </w:pPr>
            <w:r>
              <w:t xml:space="preserve">0.6%</w:t>
            </w:r>
          </w:p>
        </w:tc>
      </w:tr>
      <w:tr>
        <w:tc>
          <w:tcPr/>
          <w:p>
            <w:pPr>
              <w:pStyle w:val="Compact"/>
              <w:jc w:val="left"/>
            </w:pPr>
            <w:r>
              <w:t xml:space="preserve">Echange temporaire de terres</w:t>
            </w:r>
          </w:p>
        </w:tc>
        <w:tc>
          <w:tcPr/>
          <w:p>
            <w:pPr>
              <w:pStyle w:val="Compact"/>
              <w:jc w:val="right"/>
            </w:pPr>
            <w:r>
              <w:t xml:space="preserve">43</w:t>
            </w:r>
          </w:p>
        </w:tc>
        <w:tc>
          <w:tcPr/>
          <w:p>
            <w:pPr>
              <w:pStyle w:val="Compact"/>
              <w:jc w:val="right"/>
            </w:pPr>
            <w:r>
              <w:t xml:space="preserve">0.4</w:t>
            </w:r>
          </w:p>
        </w:tc>
        <w:tc>
          <w:tcPr/>
          <w:p>
            <w:pPr>
              <w:pStyle w:val="Compact"/>
              <w:jc w:val="left"/>
            </w:pPr>
            <w:r>
              <w:t xml:space="preserve">0.4%</w:t>
            </w:r>
          </w:p>
        </w:tc>
      </w:tr>
    </w:tbl>
    <w:p>
      <w:pPr>
        <w:pStyle w:val="CaptionedFigure"/>
      </w:pPr>
      <w:r>
        <w:drawing>
          <wp:inline>
            <wp:extent cx="4533900" cy="3173730"/>
            <wp:effectExtent b="0" l="0" r="0" t="0"/>
            <wp:docPr descr="Repartition des parcelles selon le mode d’acquisition (tenure fonciere)" title="" id="49" name="Picture"/>
            <a:graphic>
              <a:graphicData uri="http://schemas.openxmlformats.org/drawingml/2006/picture">
                <pic:pic>
                  <pic:nvPicPr>
                    <pic:cNvPr descr="rapport_final_files/figure-docx/fig-tenure-1.png" id="50" name="Picture"/>
                    <pic:cNvPicPr>
                      <a:picLocks noChangeArrowheads="1" noChangeAspect="1"/>
                    </pic:cNvPicPr>
                  </pic:nvPicPr>
                  <pic:blipFill>
                    <a:blip r:embed="rId48"/>
                    <a:stretch>
                      <a:fillRect/>
                    </a:stretch>
                  </pic:blipFill>
                  <pic:spPr bwMode="auto">
                    <a:xfrm>
                      <a:off x="0" y="0"/>
                      <a:ext cx="4533900" cy="3173730"/>
                    </a:xfrm>
                    <a:prstGeom prst="rect">
                      <a:avLst/>
                    </a:prstGeom>
                    <a:noFill/>
                    <a:ln w="9525">
                      <a:noFill/>
                      <a:headEnd/>
                      <a:tailEnd/>
                    </a:ln>
                  </pic:spPr>
                </pic:pic>
              </a:graphicData>
            </a:graphic>
          </wp:inline>
        </w:drawing>
      </w:r>
    </w:p>
    <w:p>
      <w:pPr>
        <w:pStyle w:val="ImageCaption"/>
      </w:pPr>
      <w:r>
        <w:t xml:space="preserve">Repartition des parcelles selon le mode d’acquisition (tenure fonciere)</w:t>
      </w:r>
    </w:p>
    <w:p>
      <w:pPr>
        <w:pStyle w:val="TableCaption"/>
      </w:pPr>
      <w:r>
        <w:t xml:space="preserve">Tableau croise : tenure x milieu de residence (effectifs)</w:t>
      </w:r>
    </w:p>
    <w:tbl>
      <w:tblPr>
        <w:tblStyle w:val="Table"/>
        <w:tblW w:type="auto" w:w="0"/>
        <w:tblLook w:firstRow="1" w:lastRow="0" w:firstColumn="0" w:lastColumn="0" w:noHBand="0" w:noVBand="0" w:val="0020"/>
        <w:tblCaption w:val="Tableau croise : tenure x milieu de residence (effectifs)"/>
      </w:tblPr>
      <w:tblGrid>
        <w:gridCol w:w="2640"/>
        <w:gridCol w:w="2640"/>
        <w:gridCol w:w="2640"/>
      </w:tblGrid>
      <w:tr>
        <w:trPr>
          <w:tblHeader w:val="on"/>
        </w:trPr>
        <w:tc>
          <w:tcPr/>
          <w:p>
            <w:pPr>
              <w:pStyle w:val="Compact"/>
              <w:jc w:val="left"/>
            </w:pPr>
            <w:r>
              <w:t xml:space="preserve">tenure</w:t>
            </w:r>
          </w:p>
        </w:tc>
        <w:tc>
          <w:tcPr/>
          <w:p>
            <w:pPr>
              <w:pStyle w:val="Compact"/>
              <w:jc w:val="right"/>
            </w:pPr>
            <w:r>
              <w:t xml:space="preserve">Urbain</w:t>
            </w:r>
          </w:p>
        </w:tc>
        <w:tc>
          <w:tcPr/>
          <w:p>
            <w:pPr>
              <w:pStyle w:val="Compact"/>
              <w:jc w:val="right"/>
            </w:pPr>
            <w:r>
              <w:t xml:space="preserve">Rural</w:t>
            </w:r>
          </w:p>
        </w:tc>
      </w:tr>
      <w:tr>
        <w:tc>
          <w:tcPr/>
          <w:p>
            <w:pPr>
              <w:pStyle w:val="Compact"/>
              <w:jc w:val="left"/>
            </w:pPr>
            <w:r>
              <w:t xml:space="preserve">Propriete pleine (achat direct)</w:t>
            </w:r>
          </w:p>
        </w:tc>
        <w:tc>
          <w:tcPr/>
          <w:p>
            <w:pPr>
              <w:pStyle w:val="Compact"/>
              <w:jc w:val="right"/>
            </w:pPr>
            <w:r>
              <w:t xml:space="preserve">383</w:t>
            </w:r>
          </w:p>
        </w:tc>
        <w:tc>
          <w:tcPr/>
          <w:p>
            <w:pPr>
              <w:pStyle w:val="Compact"/>
              <w:jc w:val="right"/>
            </w:pPr>
            <w:r>
              <w:t xml:space="preserve">914</w:t>
            </w:r>
          </w:p>
        </w:tc>
      </w:tr>
      <w:tr>
        <w:tc>
          <w:tcPr/>
          <w:p>
            <w:pPr>
              <w:pStyle w:val="Compact"/>
              <w:jc w:val="left"/>
            </w:pPr>
            <w:r>
              <w:t xml:space="preserve">Location (especes/nature)</w:t>
            </w:r>
          </w:p>
        </w:tc>
        <w:tc>
          <w:tcPr/>
          <w:p>
            <w:pPr>
              <w:pStyle w:val="Compact"/>
              <w:jc w:val="right"/>
            </w:pPr>
            <w:r>
              <w:t xml:space="preserve">295</w:t>
            </w:r>
          </w:p>
        </w:tc>
        <w:tc>
          <w:tcPr/>
          <w:p>
            <w:pPr>
              <w:pStyle w:val="Compact"/>
              <w:jc w:val="right"/>
            </w:pPr>
            <w:r>
              <w:t xml:space="preserve">932</w:t>
            </w:r>
          </w:p>
        </w:tc>
      </w:tr>
      <w:tr>
        <w:tc>
          <w:tcPr/>
          <w:p>
            <w:pPr>
              <w:pStyle w:val="Compact"/>
              <w:jc w:val="left"/>
            </w:pPr>
            <w:r>
              <w:t xml:space="preserve">Usage gratuit</w:t>
            </w:r>
          </w:p>
        </w:tc>
        <w:tc>
          <w:tcPr/>
          <w:p>
            <w:pPr>
              <w:pStyle w:val="Compact"/>
              <w:jc w:val="right"/>
            </w:pPr>
            <w:r>
              <w:t xml:space="preserve">214</w:t>
            </w:r>
          </w:p>
        </w:tc>
        <w:tc>
          <w:tcPr/>
          <w:p>
            <w:pPr>
              <w:pStyle w:val="Compact"/>
              <w:jc w:val="right"/>
            </w:pPr>
            <w:r>
              <w:t xml:space="preserve">795</w:t>
            </w:r>
          </w:p>
        </w:tc>
      </w:tr>
      <w:tr>
        <w:tc>
          <w:tcPr/>
          <w:p>
            <w:pPr>
              <w:pStyle w:val="Compact"/>
              <w:jc w:val="left"/>
            </w:pPr>
            <w:r>
              <w:t xml:space="preserve">Distribution par la communaute</w:t>
            </w:r>
          </w:p>
        </w:tc>
        <w:tc>
          <w:tcPr/>
          <w:p>
            <w:pPr>
              <w:pStyle w:val="Compact"/>
              <w:jc w:val="right"/>
            </w:pPr>
            <w:r>
              <w:t xml:space="preserve">31</w:t>
            </w:r>
          </w:p>
        </w:tc>
        <w:tc>
          <w:tcPr/>
          <w:p>
            <w:pPr>
              <w:pStyle w:val="Compact"/>
              <w:jc w:val="right"/>
            </w:pPr>
            <w:r>
              <w:t xml:space="preserve">430</w:t>
            </w:r>
          </w:p>
        </w:tc>
      </w:tr>
      <w:tr>
        <w:tc>
          <w:tcPr/>
          <w:p>
            <w:pPr>
              <w:pStyle w:val="Compact"/>
              <w:jc w:val="left"/>
            </w:pPr>
            <w:r>
              <w:t xml:space="preserve">Heritage familial</w:t>
            </w:r>
          </w:p>
        </w:tc>
        <w:tc>
          <w:tcPr/>
          <w:p>
            <w:pPr>
              <w:pStyle w:val="Compact"/>
              <w:jc w:val="right"/>
            </w:pPr>
            <w:r>
              <w:t xml:space="preserve">700</w:t>
            </w:r>
          </w:p>
        </w:tc>
        <w:tc>
          <w:tcPr/>
          <w:p>
            <w:pPr>
              <w:pStyle w:val="Compact"/>
              <w:jc w:val="right"/>
            </w:pPr>
            <w:r>
              <w:t xml:space="preserve">6260</w:t>
            </w:r>
          </w:p>
        </w:tc>
      </w:tr>
      <w:tr>
        <w:tc>
          <w:tcPr/>
          <w:p>
            <w:pPr>
              <w:pStyle w:val="Compact"/>
              <w:jc w:val="left"/>
            </w:pPr>
            <w:r>
              <w:t xml:space="preserve">Metayage</w:t>
            </w:r>
          </w:p>
        </w:tc>
        <w:tc>
          <w:tcPr/>
          <w:p>
            <w:pPr>
              <w:pStyle w:val="Compact"/>
              <w:jc w:val="right"/>
            </w:pPr>
            <w:r>
              <w:t xml:space="preserve">21</w:t>
            </w:r>
          </w:p>
        </w:tc>
        <w:tc>
          <w:tcPr/>
          <w:p>
            <w:pPr>
              <w:pStyle w:val="Compact"/>
              <w:jc w:val="right"/>
            </w:pPr>
            <w:r>
              <w:t xml:space="preserve">47</w:t>
            </w:r>
          </w:p>
        </w:tc>
      </w:tr>
      <w:tr>
        <w:tc>
          <w:tcPr/>
          <w:p>
            <w:pPr>
              <w:pStyle w:val="Compact"/>
              <w:jc w:val="left"/>
            </w:pPr>
            <w:r>
              <w:t xml:space="preserve">Echange temporaire de terres</w:t>
            </w:r>
          </w:p>
        </w:tc>
        <w:tc>
          <w:tcPr/>
          <w:p>
            <w:pPr>
              <w:pStyle w:val="Compact"/>
              <w:jc w:val="right"/>
            </w:pPr>
            <w:r>
              <w:t xml:space="preserve">5</w:t>
            </w:r>
          </w:p>
        </w:tc>
        <w:tc>
          <w:tcPr/>
          <w:p>
            <w:pPr>
              <w:pStyle w:val="Compact"/>
              <w:jc w:val="right"/>
            </w:pPr>
            <w:r>
              <w:t xml:space="preserve">39</w:t>
            </w:r>
          </w:p>
        </w:tc>
      </w:tr>
    </w:tbl>
    <w:p>
      <w:pPr>
        <w:pStyle w:val="BodyText"/>
      </w:pPr>
      <w:r>
        <w:t xml:space="preserve">Le test du Chi-deux révèle une association très fortement significative entre le régime de tenure et le milieu de résidence :</w:t>
      </w:r>
      <w:r>
        <w:t xml:space="preserve"> </w:t>
      </w:r>
      <m:oMath>
        <m:sSup>
          <m:e>
            <m:r>
              <m:t>χ</m:t>
            </m:r>
          </m:e>
          <m:sup>
            <m:r>
              <m:t>2</m:t>
            </m:r>
          </m:sup>
        </m:sSup>
        <m:r>
          <m:rPr>
            <m:sty m:val="p"/>
          </m:rPr>
          <m:t>=</m:t>
        </m:r>
      </m:oMath>
      <w:r>
        <w:t xml:space="preserve"> </w:t>
      </w:r>
      <w:r>
        <w:t xml:space="preserve">498.6, ddl</w:t>
      </w:r>
      <w:r>
        <w:t xml:space="preserve"> </w:t>
      </w:r>
      <m:oMath>
        <m:r>
          <m:rPr>
            <m:sty m:val="p"/>
          </m:rPr>
          <m:t>=</m:t>
        </m:r>
      </m:oMath>
      <w:r>
        <w:t xml:space="preserve"> </w:t>
      </w:r>
      <w:r>
        <w:t xml:space="preserve">6, p</w:t>
      </w:r>
      <w:r>
        <w:t xml:space="preserve"> </w:t>
      </w:r>
      <m:oMath>
        <m:r>
          <m:rPr>
            <m:sty m:val="p"/>
          </m:rPr>
          <m:t>&lt;</m:t>
        </m:r>
      </m:oMath>
      <w:r>
        <w:t xml:space="preserve"> </w:t>
      </w:r>
      <w:r>
        <w:t xml:space="preserve">2,2e-16. Le V de Cramér est de 0.212, indiquant une association modérée sur le plan pratique.</w:t>
      </w:r>
    </w:p>
    <w:bookmarkEnd w:id="51"/>
    <w:bookmarkStart w:id="52" w:name="interprétation-2"/>
    <w:p>
      <w:pPr>
        <w:pStyle w:val="Heading3"/>
      </w:pPr>
      <w:r>
        <w:rPr>
          <w:rStyle w:val="SectionNumber"/>
        </w:rPr>
        <w:t xml:space="preserve">3.3.3</w:t>
      </w:r>
      <w:r>
        <w:tab/>
      </w:r>
      <w:r>
        <w:t xml:space="preserve">Interprétation</w:t>
      </w:r>
    </w:p>
    <w:p>
      <w:pPr>
        <w:pStyle w:val="FirstParagraph"/>
      </w:pPr>
      <w:r>
        <w:t xml:space="preserve">L’héritage familial est le mode d’acquisition dominant, reflétant la persistance des régimes fonciers coutumiers au Nigeria malgré le Land Use Act de 1978. La différenciation rural/urbain est significative : en milieu urbain, les achats et locations sont proportionnellement plus fréquents, traduisant la marchandisation des terres péri-urbaines. En milieu rural, les modes coutumiers (héritage, attribution communautaire) restent prédominants.</w:t>
      </w:r>
    </w:p>
    <w:p>
      <w:r>
        <w:br w:type="page"/>
      </w:r>
    </w:p>
    <w:bookmarkEnd w:id="52"/>
    <w:bookmarkEnd w:id="53"/>
    <w:bookmarkStart w:id="60" w:name="X16d6395deef392d4f8a2f1da6eed437aa7c6e03"/>
    <w:p>
      <w:pPr>
        <w:pStyle w:val="Heading2"/>
      </w:pPr>
      <w:r>
        <w:rPr>
          <w:rStyle w:val="SectionNumber"/>
        </w:rPr>
        <w:t xml:space="preserve">3.4</w:t>
      </w:r>
      <w:r>
        <w:tab/>
      </w:r>
      <w:r>
        <w:t xml:space="preserve">Question 23 — Relation superficie totale × nombre de parcelles</w:t>
      </w:r>
    </w:p>
    <w:bookmarkStart w:id="54" w:name="méthodologie-4"/>
    <w:p>
      <w:pPr>
        <w:pStyle w:val="Heading3"/>
      </w:pPr>
      <w:r>
        <w:rPr>
          <w:rStyle w:val="SectionNumber"/>
        </w:rPr>
        <w:t xml:space="preserve">3.4.1</w:t>
      </w:r>
      <w:r>
        <w:tab/>
      </w:r>
      <w:r>
        <w:t xml:space="preserve">Méthodologie</w:t>
      </w:r>
    </w:p>
    <w:p>
      <w:pPr>
        <w:pStyle w:val="FirstParagraph"/>
      </w:pPr>
      <w:r>
        <w:t xml:space="preserve">La relation entre la superficie totale du ménage et le nombre de parcelles exploitées est explorée par un diagramme de dispersion (scatter plot) avec courbe de lissage loess, et quantifiée par la corrélation de Spearman, non paramétrique et robuste aux valeurs extrêmes.</w:t>
      </w:r>
    </w:p>
    <w:bookmarkEnd w:id="54"/>
    <w:bookmarkStart w:id="58" w:name="résultats-3"/>
    <w:p>
      <w:pPr>
        <w:pStyle w:val="Heading3"/>
      </w:pPr>
      <w:r>
        <w:rPr>
          <w:rStyle w:val="SectionNumber"/>
        </w:rPr>
        <w:t xml:space="preserve">3.4.2</w:t>
      </w:r>
      <w:r>
        <w:tab/>
      </w:r>
      <w:r>
        <w:t xml:space="preserve">Résultats</w:t>
      </w:r>
    </w:p>
    <w:p>
      <w:pPr>
        <w:pStyle w:val="CaptionedFigure"/>
      </w:pPr>
      <w:r>
        <w:drawing>
          <wp:inline>
            <wp:extent cx="4533900" cy="3627120"/>
            <wp:effectExtent b="0" l="0" r="0" t="0"/>
            <wp:docPr descr="Relation entre superficie totale du menage et nombre de parcelles (courbe loess en orange, echelle log)" title="" id="56" name="Picture"/>
            <a:graphic>
              <a:graphicData uri="http://schemas.openxmlformats.org/drawingml/2006/picture">
                <pic:pic>
                  <pic:nvPicPr>
                    <pic:cNvPr descr="rapport_final_files/figure-docx/fig-scatter-nb-1.png" id="57" name="Picture"/>
                    <pic:cNvPicPr>
                      <a:picLocks noChangeArrowheads="1" noChangeAspect="1"/>
                    </pic:cNvPicPr>
                  </pic:nvPicPr>
                  <pic:blipFill>
                    <a:blip r:embed="rId55"/>
                    <a:stretch>
                      <a:fillRect/>
                    </a:stretch>
                  </pic:blipFill>
                  <pic:spPr bwMode="auto">
                    <a:xfrm>
                      <a:off x="0" y="0"/>
                      <a:ext cx="4533900" cy="3627120"/>
                    </a:xfrm>
                    <a:prstGeom prst="rect">
                      <a:avLst/>
                    </a:prstGeom>
                    <a:noFill/>
                    <a:ln w="9525">
                      <a:noFill/>
                      <a:headEnd/>
                      <a:tailEnd/>
                    </a:ln>
                  </pic:spPr>
                </pic:pic>
              </a:graphicData>
            </a:graphic>
          </wp:inline>
        </w:drawing>
      </w:r>
    </w:p>
    <w:p>
      <w:pPr>
        <w:pStyle w:val="ImageCaption"/>
      </w:pPr>
      <w:r>
        <w:t xml:space="preserve">Relation entre superficie totale du menage et nombre de parcelles (courbe loess en orange, echelle log)</w:t>
      </w:r>
    </w:p>
    <w:p>
      <w:pPr>
        <w:pStyle w:val="BodyText"/>
      </w:pPr>
      <w:r>
        <w:t xml:space="preserve">La corrélation de Spearman entre le nombre de parcelles et la superficie totale est de</w:t>
      </w:r>
      <w:r>
        <w:t xml:space="preserve"> </w:t>
      </w:r>
      <m:oMath>
        <m:r>
          <m:t>ρ</m:t>
        </m:r>
        <m:r>
          <m:rPr>
            <m:sty m:val="p"/>
          </m:rPr>
          <m:t>=</m:t>
        </m:r>
      </m:oMath>
      <w:r>
        <w:rPr>
          <w:b/>
          <w:bCs/>
        </w:rPr>
        <w:t xml:space="preserve"> </w:t>
      </w:r>
      <w:r>
        <w:rPr>
          <w:b/>
          <w:bCs/>
        </w:rPr>
        <w:t xml:space="preserve">0.434</w:t>
      </w:r>
      <w:r>
        <w:t xml:space="preserve"> </w:t>
      </w:r>
      <w:r>
        <w:t xml:space="preserve">(p &lt; 2,2e-16), indiquant une association positive significative mais modérée.</w:t>
      </w:r>
    </w:p>
    <w:bookmarkEnd w:id="58"/>
    <w:bookmarkStart w:id="59" w:name="interprétation-3"/>
    <w:p>
      <w:pPr>
        <w:pStyle w:val="Heading3"/>
      </w:pPr>
      <w:r>
        <w:rPr>
          <w:rStyle w:val="SectionNumber"/>
        </w:rPr>
        <w:t xml:space="preserve">3.4.3</w:t>
      </w:r>
      <w:r>
        <w:tab/>
      </w:r>
      <w:r>
        <w:t xml:space="preserve">Interprétation</w:t>
      </w:r>
    </w:p>
    <w:p>
      <w:pPr>
        <w:pStyle w:val="FirstParagraph"/>
      </w:pPr>
      <w:r>
        <w:t xml:space="preserve">La relation est positive mais non linéaire : les ménages disposant de plus de parcelles tendent à exploiter des surfaces totales plus étendues, mais la dispersion est importante. La courbe loess montre une accélération de la superficie marginale au-delà de 4-5 parcelles, suggérant que les grands exploitants ont des parcelles individuellement plus vastes. La relation modérée (</w:t>
      </w:r>
      <m:oMath>
        <m:r>
          <m:t>ρ</m:t>
        </m:r>
        <m:r>
          <m:rPr>
            <m:sty m:val="p"/>
          </m:rPr>
          <m:t>≈</m:t>
        </m:r>
        <m:r>
          <m:t>0</m:t>
        </m:r>
        <m:r>
          <m:rPr>
            <m:sty m:val="p"/>
          </m:rPr>
          <m:t>,</m:t>
        </m:r>
        <m:r>
          <m:t>4</m:t>
        </m:r>
      </m:oMath>
      <w:r>
        <w:t xml:space="preserve">) confirme qu’il n’y a pas de correspondance biunivoque entre fragmentation et taille totale.</w:t>
      </w:r>
    </w:p>
    <w:p>
      <w:r>
        <w:br w:type="page"/>
      </w:r>
    </w:p>
    <w:bookmarkEnd w:id="59"/>
    <w:bookmarkEnd w:id="60"/>
    <w:bookmarkStart w:id="67" w:name="question-24-disparités-géographiques"/>
    <w:p>
      <w:pPr>
        <w:pStyle w:val="Heading2"/>
      </w:pPr>
      <w:r>
        <w:rPr>
          <w:rStyle w:val="SectionNumber"/>
        </w:rPr>
        <w:t xml:space="preserve">3.5</w:t>
      </w:r>
      <w:r>
        <w:tab/>
      </w:r>
      <w:r>
        <w:t xml:space="preserve">Question 24 — Disparités géographiques</w:t>
      </w:r>
    </w:p>
    <w:bookmarkStart w:id="61" w:name="méthodologie-5"/>
    <w:p>
      <w:pPr>
        <w:pStyle w:val="Heading3"/>
      </w:pPr>
      <w:r>
        <w:rPr>
          <w:rStyle w:val="SectionNumber"/>
        </w:rPr>
        <w:t xml:space="preserve">3.5.1</w:t>
      </w:r>
      <w:r>
        <w:tab/>
      </w:r>
      <w:r>
        <w:t xml:space="preserve">Méthodologie</w:t>
      </w:r>
    </w:p>
    <w:p>
      <w:pPr>
        <w:pStyle w:val="FirstParagraph"/>
      </w:pPr>
      <w:r>
        <w:t xml:space="preserve">La superficie médiane par État est calculée à partir du plan de sondage (poids</w:t>
      </w:r>
      <w:r>
        <w:t xml:space="preserve"> </w:t>
      </w:r>
      <w:r>
        <w:rPr>
          <w:rStyle w:val="VerbatimChar"/>
        </w:rPr>
        <w:t xml:space="preserve">wt_wave4</w:t>
      </w:r>
      <w:r>
        <w:t xml:space="preserve">) via la fonction</w:t>
      </w:r>
      <w:r>
        <w:t xml:space="preserve"> </w:t>
      </w:r>
      <w:r>
        <w:rPr>
          <w:rStyle w:val="VerbatimChar"/>
        </w:rPr>
        <w:t xml:space="preserve">svyquantile</w:t>
      </w:r>
      <w:r>
        <w:t xml:space="preserve"> </w:t>
      </w:r>
      <w:r>
        <w:t xml:space="preserve">du package</w:t>
      </w:r>
      <w:r>
        <w:t xml:space="preserve"> </w:t>
      </w:r>
      <w:r>
        <w:rPr>
          <w:rStyle w:val="VerbatimChar"/>
        </w:rPr>
        <w:t xml:space="preserve">survey</w:t>
      </w:r>
      <w:r>
        <w:t xml:space="preserve">.</w:t>
      </w:r>
      <w:r>
        <w:t xml:space="preserve"> </w:t>
      </w:r>
      <w:r>
        <w:rPr>
          <w:b/>
          <w:bCs/>
        </w:rPr>
        <w:t xml:space="preserve">Note importante :</w:t>
      </w:r>
      <w:r>
        <w:t xml:space="preserve"> </w:t>
      </w:r>
      <w:r>
        <w:t xml:space="preserve">le plan de sondage du GHS-Panel est représentatif au niveau national et par zone géopolitique, non au niveau des États. Les résultats présentés ici sont fournis à titre</w:t>
      </w:r>
      <w:r>
        <w:t xml:space="preserve"> </w:t>
      </w:r>
      <w:r>
        <w:rPr>
          <w:b/>
          <w:bCs/>
        </w:rPr>
        <w:t xml:space="preserve">indicatif</w:t>
      </w:r>
      <w:r>
        <w:t xml:space="preserve"> </w:t>
      </w:r>
      <w:r>
        <w:t xml:space="preserve">et ne constituent pas des estimations officielles représentatives.</w:t>
      </w:r>
    </w:p>
    <w:bookmarkEnd w:id="61"/>
    <w:bookmarkStart w:id="65" w:name="résultats-4"/>
    <w:p>
      <w:pPr>
        <w:pStyle w:val="Heading3"/>
      </w:pPr>
      <w:r>
        <w:rPr>
          <w:rStyle w:val="SectionNumber"/>
        </w:rPr>
        <w:t xml:space="preserve">3.5.2</w:t>
      </w:r>
      <w:r>
        <w:tab/>
      </w:r>
      <w:r>
        <w:t xml:space="preserve">Résultats</w:t>
      </w:r>
    </w:p>
    <w:p>
      <w:pPr>
        <w:pStyle w:val="CaptionedFigure"/>
      </w:pPr>
      <w:r>
        <w:drawing>
          <wp:inline>
            <wp:extent cx="3467100" cy="6240780"/>
            <wp:effectExtent b="0" l="0" r="0" t="0"/>
            <wp:docPr descr="Superficie mediane des exploitations par Etat (mediane ponderee, Vague 4 — indicatif uniquement)" title="" id="63" name="Picture"/>
            <a:graphic>
              <a:graphicData uri="http://schemas.openxmlformats.org/drawingml/2006/picture">
                <pic:pic>
                  <pic:nvPicPr>
                    <pic:cNvPr descr="rapport_final_files/figure-docx/fig-heatmap-1.png" id="64" name="Picture"/>
                    <pic:cNvPicPr>
                      <a:picLocks noChangeArrowheads="1" noChangeAspect="1"/>
                    </pic:cNvPicPr>
                  </pic:nvPicPr>
                  <pic:blipFill>
                    <a:blip r:embed="rId62"/>
                    <a:stretch>
                      <a:fillRect/>
                    </a:stretch>
                  </pic:blipFill>
                  <pic:spPr bwMode="auto">
                    <a:xfrm>
                      <a:off x="0" y="0"/>
                      <a:ext cx="3467100" cy="6240780"/>
                    </a:xfrm>
                    <a:prstGeom prst="rect">
                      <a:avLst/>
                    </a:prstGeom>
                    <a:noFill/>
                    <a:ln w="9525">
                      <a:noFill/>
                      <a:headEnd/>
                      <a:tailEnd/>
                    </a:ln>
                  </pic:spPr>
                </pic:pic>
              </a:graphicData>
            </a:graphic>
          </wp:inline>
        </w:drawing>
      </w:r>
    </w:p>
    <w:p>
      <w:pPr>
        <w:pStyle w:val="ImageCaption"/>
      </w:pPr>
      <w:r>
        <w:t xml:space="preserve">Superficie mediane des exploitations par Etat (mediane ponderee, Vague 4 — indicatif uniquement)</w:t>
      </w:r>
    </w:p>
    <w:bookmarkEnd w:id="65"/>
    <w:bookmarkStart w:id="66" w:name="interprétation-4"/>
    <w:p>
      <w:pPr>
        <w:pStyle w:val="Heading3"/>
      </w:pPr>
      <w:r>
        <w:rPr>
          <w:rStyle w:val="SectionNumber"/>
        </w:rPr>
        <w:t xml:space="preserve">3.5.3</w:t>
      </w:r>
      <w:r>
        <w:tab/>
      </w:r>
      <w:r>
        <w:t xml:space="preserve">Interprétation</w:t>
      </w:r>
    </w:p>
    <w:p>
      <w:pPr>
        <w:pStyle w:val="FirstParagraph"/>
      </w:pPr>
      <w:r>
        <w:t xml:space="preserve">La heatmap révèle des disparités géographiques marquées. Les États du Nord (Yobe, Kebbi, Sokoto) affichent des superficies médianes plus élevées, cohérentes avec des systèmes agricoles extensifs dans des zones de plus faible densité de population. Les États du Sud-Est et du Sud-Sud (Abia, Anambra, Akwa Ibom) présentent les médianes les plus faibles, reflet de la fragmentation foncière dans des régions à forte pression démographique.</w:t>
      </w:r>
    </w:p>
    <w:p>
      <w:r>
        <w:br w:type="page"/>
      </w:r>
    </w:p>
    <w:bookmarkEnd w:id="66"/>
    <w:bookmarkEnd w:id="67"/>
    <w:bookmarkEnd w:id="68"/>
    <w:bookmarkStart w:id="69" w:name="synthèse-des-tests-statistiques"/>
    <w:p>
      <w:pPr>
        <w:pStyle w:val="Heading1"/>
      </w:pPr>
      <w:r>
        <w:rPr>
          <w:rStyle w:val="SectionNumber"/>
        </w:rPr>
        <w:t xml:space="preserve">4</w:t>
      </w:r>
      <w:r>
        <w:tab/>
      </w:r>
      <w:r>
        <w:t xml:space="preserve">Synthèse des tests statistiques</w:t>
      </w:r>
    </w:p>
    <w:p>
      <w:pPr>
        <w:pStyle w:val="TableCaption"/>
      </w:pPr>
      <w:r>
        <w:t xml:space="preserve">Resume des tests statistiques realises</w:t>
      </w:r>
    </w:p>
    <w:tbl>
      <w:tblPr>
        <w:tblStyle w:val="Table"/>
        <w:tblW w:type="pct" w:w="5000"/>
        <w:tblLayout w:type="fixed"/>
        <w:tblLook w:firstRow="1" w:lastRow="0" w:firstColumn="0" w:lastColumn="0" w:noHBand="0" w:noVBand="0" w:val="0020"/>
        <w:tblCaption w:val="Resume des tests statistiques realises"/>
      </w:tblPr>
      <w:tblGrid>
        <w:gridCol w:w="2640"/>
        <w:gridCol w:w="1040"/>
        <w:gridCol w:w="4240"/>
      </w:tblGrid>
      <w:tr>
        <w:trPr>
          <w:tblHeader w:val="on"/>
        </w:trPr>
        <w:tc>
          <w:tcPr/>
          <w:p>
            <w:pPr>
              <w:pStyle w:val="Compact"/>
              <w:jc w:val="left"/>
            </w:pPr>
            <w:r>
              <w:t xml:space="preserve">Variable analysee</w:t>
            </w:r>
          </w:p>
        </w:tc>
        <w:tc>
          <w:tcPr/>
          <w:p>
            <w:pPr>
              <w:pStyle w:val="Compact"/>
              <w:jc w:val="left"/>
            </w:pPr>
            <w:r>
              <w:t xml:space="preserve">Test utilise</w:t>
            </w:r>
          </w:p>
        </w:tc>
        <w:tc>
          <w:tcPr/>
          <w:p>
            <w:pPr>
              <w:pStyle w:val="Compact"/>
              <w:jc w:val="left"/>
            </w:pPr>
            <w:r>
              <w:t xml:space="preserve">Resultat</w:t>
            </w:r>
          </w:p>
        </w:tc>
      </w:tr>
      <w:tr>
        <w:tc>
          <w:tcPr/>
          <w:p>
            <w:pPr>
              <w:pStyle w:val="Compact"/>
              <w:jc w:val="left"/>
            </w:pPr>
            <w:r>
              <w:t xml:space="preserve">Superficie declaree vs GPS</w:t>
            </w:r>
          </w:p>
        </w:tc>
        <w:tc>
          <w:tcPr/>
          <w:p>
            <w:pPr>
              <w:pStyle w:val="Compact"/>
              <w:jc w:val="left"/>
            </w:pPr>
            <w:r>
              <w:t xml:space="preserve">Spearman</w:t>
            </w:r>
          </w:p>
        </w:tc>
        <w:tc>
          <w:tcPr/>
          <w:p>
            <w:pPr>
              <w:pStyle w:val="Compact"/>
              <w:jc w:val="left"/>
            </w:pPr>
            <w:r>
              <w:t xml:space="preserve">rho = 0.704, p &lt; 2.2e-16</w:t>
            </w:r>
          </w:p>
        </w:tc>
      </w:tr>
      <w:tr>
        <w:tc>
          <w:tcPr/>
          <w:p>
            <w:pPr>
              <w:pStyle w:val="Compact"/>
              <w:jc w:val="left"/>
            </w:pPr>
            <w:r>
              <w:t xml:space="preserve">Milieu de residence x tenure</w:t>
            </w:r>
          </w:p>
        </w:tc>
        <w:tc>
          <w:tcPr/>
          <w:p>
            <w:pPr>
              <w:pStyle w:val="Compact"/>
              <w:jc w:val="left"/>
            </w:pPr>
            <w:r>
              <w:t xml:space="preserve">Chi-deux</w:t>
            </w:r>
          </w:p>
        </w:tc>
        <w:tc>
          <w:tcPr/>
          <w:p>
            <w:pPr>
              <w:pStyle w:val="Compact"/>
              <w:jc w:val="left"/>
            </w:pPr>
            <w:r>
              <w:t xml:space="preserve">chi2 = 498.6, df = 6, p &lt; 2.2e-16</w:t>
            </w:r>
          </w:p>
        </w:tc>
      </w:tr>
      <w:tr>
        <w:tc>
          <w:tcPr/>
          <w:p>
            <w:pPr>
              <w:pStyle w:val="Compact"/>
              <w:jc w:val="left"/>
            </w:pPr>
            <w:r>
              <w:t xml:space="preserve">V de Cramer = 0.212</w:t>
            </w:r>
          </w:p>
        </w:tc>
        <w:tc>
          <w:tcPr/>
          <w:p>
            <w:pPr>
              <w:pStyle w:val="Compact"/>
            </w:pPr>
          </w:p>
        </w:tc>
        <w:tc>
          <w:tcPr/>
          <w:p>
            <w:pPr>
              <w:pStyle w:val="Compact"/>
            </w:pPr>
          </w:p>
        </w:tc>
      </w:tr>
      <w:tr>
        <w:tc>
          <w:tcPr/>
          <w:p>
            <w:pPr>
              <w:pStyle w:val="Compact"/>
              <w:jc w:val="left"/>
            </w:pPr>
            <w:r>
              <w:t xml:space="preserve">Superficie totale x nb parcelles</w:t>
            </w:r>
          </w:p>
        </w:tc>
        <w:tc>
          <w:tcPr/>
          <w:p>
            <w:pPr>
              <w:pStyle w:val="Compact"/>
              <w:jc w:val="left"/>
            </w:pPr>
            <w:r>
              <w:t xml:space="preserve">Spearman</w:t>
            </w:r>
          </w:p>
        </w:tc>
        <w:tc>
          <w:tcPr/>
          <w:p>
            <w:pPr>
              <w:pStyle w:val="Compact"/>
              <w:jc w:val="left"/>
            </w:pPr>
            <w:r>
              <w:t xml:space="preserve">rho = 0.434, p &lt; 2.2e-16</w:t>
            </w:r>
          </w:p>
        </w:tc>
      </w:tr>
    </w:tbl>
    <w:bookmarkEnd w:id="69"/>
    <w:bookmarkStart w:id="70" w:name="conclusion"/>
    <w:p>
      <w:pPr>
        <w:pStyle w:val="Heading1"/>
      </w:pPr>
      <w:r>
        <w:rPr>
          <w:rStyle w:val="SectionNumber"/>
        </w:rPr>
        <w:t xml:space="preserve">5</w:t>
      </w:r>
      <w:r>
        <w:tab/>
      </w:r>
      <w:r>
        <w:t xml:space="preserve">Conclusion</w:t>
      </w:r>
    </w:p>
    <w:p>
      <w:pPr>
        <w:pStyle w:val="FirstParagraph"/>
      </w:pPr>
      <w:r>
        <w:t xml:space="preserve">Ce rapport décrit la structure foncière des exploitations agricoles nigérianes à partir du module parcelles de la vague 4 du GHS-Panel. Les résultats principaux sont les suivants :</w:t>
      </w:r>
    </w:p>
    <w:p>
      <w:pPr>
        <w:pStyle w:val="Compact"/>
        <w:numPr>
          <w:ilvl w:val="0"/>
          <w:numId w:val="1002"/>
        </w:numPr>
      </w:pPr>
      <w:r>
        <w:t xml:space="preserve">Une agriculture de</w:t>
      </w:r>
      <w:r>
        <w:t xml:space="preserve"> </w:t>
      </w:r>
      <w:r>
        <w:rPr>
          <w:b/>
          <w:bCs/>
        </w:rPr>
        <w:t xml:space="preserve">petite taille</w:t>
      </w:r>
      <w:r>
        <w:t xml:space="preserve"> </w:t>
      </w:r>
      <w:r>
        <w:t xml:space="preserve">: la superficie médiane par parcelle est inférieure à 1 ha, avec une forte hétérogénéité entre ménages.</w:t>
      </w:r>
    </w:p>
    <w:p>
      <w:pPr>
        <w:pStyle w:val="Compact"/>
        <w:numPr>
          <w:ilvl w:val="0"/>
          <w:numId w:val="1002"/>
        </w:numPr>
      </w:pPr>
      <w:r>
        <w:t xml:space="preserve">Une</w:t>
      </w:r>
      <w:r>
        <w:t xml:space="preserve"> </w:t>
      </w:r>
      <w:r>
        <w:rPr>
          <w:b/>
          <w:bCs/>
        </w:rPr>
        <w:t xml:space="preserve">dominance de l’héritage familial</w:t>
      </w:r>
      <w:r>
        <w:t xml:space="preserve"> </w:t>
      </w:r>
      <w:r>
        <w:t xml:space="preserve">comme mode d’acquisition (&gt;60%), témoignant de la persistance des régimes coutumiers malgré le Land Use Act de 1978.</w:t>
      </w:r>
    </w:p>
    <w:p>
      <w:pPr>
        <w:pStyle w:val="Compact"/>
        <w:numPr>
          <w:ilvl w:val="0"/>
          <w:numId w:val="1002"/>
        </w:numPr>
      </w:pPr>
      <w:r>
        <w:t xml:space="preserve">Un</w:t>
      </w:r>
      <w:r>
        <w:t xml:space="preserve"> </w:t>
      </w:r>
      <w:r>
        <w:rPr>
          <w:b/>
          <w:bCs/>
        </w:rPr>
        <w:t xml:space="preserve">biais de sur-déclaration</w:t>
      </w:r>
      <w:r>
        <w:t xml:space="preserve"> </w:t>
      </w:r>
      <w:r>
        <w:t xml:space="preserve">systématique par rapport aux mesures GPS (corrélation de Spearman</w:t>
      </w:r>
      <w:r>
        <w:t xml:space="preserve"> </w:t>
      </w:r>
      <m:oMath>
        <m:r>
          <m:t>ρ</m:t>
        </m:r>
        <m:r>
          <m:rPr>
            <m:sty m:val="p"/>
          </m:rPr>
          <m:t>≈</m:t>
        </m:r>
        <m:r>
          <m:t>0</m:t>
        </m:r>
        <m:r>
          <m:rPr>
            <m:sty m:val="p"/>
          </m:rPr>
          <m:t>,</m:t>
        </m:r>
        <m:r>
          <m:t>7</m:t>
        </m:r>
      </m:oMath>
      <w:r>
        <w:t xml:space="preserve">), plaidant pour le maintien des mesures GPS dans les enquêtes agricoles.</w:t>
      </w:r>
    </w:p>
    <w:p>
      <w:pPr>
        <w:pStyle w:val="Compact"/>
        <w:numPr>
          <w:ilvl w:val="0"/>
          <w:numId w:val="1002"/>
        </w:numPr>
      </w:pPr>
      <w:r>
        <w:t xml:space="preserve">Une</w:t>
      </w:r>
      <w:r>
        <w:t xml:space="preserve"> </w:t>
      </w:r>
      <w:r>
        <w:rPr>
          <w:b/>
          <w:bCs/>
        </w:rPr>
        <w:t xml:space="preserve">relation positive modérée</w:t>
      </w:r>
      <w:r>
        <w:t xml:space="preserve"> </w:t>
      </w:r>
      <w:r>
        <w:t xml:space="preserve">(</w:t>
      </w:r>
      <m:oMath>
        <m:r>
          <m:t>ρ</m:t>
        </m:r>
        <m:r>
          <m:rPr>
            <m:sty m:val="p"/>
          </m:rPr>
          <m:t>≈</m:t>
        </m:r>
        <m:r>
          <m:t>0</m:t>
        </m:r>
        <m:r>
          <m:rPr>
            <m:sty m:val="p"/>
          </m:rPr>
          <m:t>,</m:t>
        </m:r>
        <m:r>
          <m:t>4</m:t>
        </m:r>
      </m:oMath>
      <w:r>
        <w:t xml:space="preserve">) entre superficie totale et nombre de parcelles, avec une non-linéarité marquée au-delà de 4–5 parcelles.</w:t>
      </w:r>
    </w:p>
    <w:p>
      <w:pPr>
        <w:pStyle w:val="Compact"/>
        <w:numPr>
          <w:ilvl w:val="0"/>
          <w:numId w:val="1002"/>
        </w:numPr>
      </w:pPr>
      <w:r>
        <w:t xml:space="preserve">Des</w:t>
      </w:r>
      <w:r>
        <w:t xml:space="preserve"> </w:t>
      </w:r>
      <w:r>
        <w:rPr>
          <w:b/>
          <w:bCs/>
        </w:rPr>
        <w:t xml:space="preserve">disparités géographiques</w:t>
      </w:r>
      <w:r>
        <w:t xml:space="preserve"> </w:t>
      </w:r>
      <w:r>
        <w:t xml:space="preserve">nettes entre États du Nord (agricultures extensives) et États du Sud (forte fragmentation foncière).</w:t>
      </w:r>
    </w:p>
    <w:p>
      <w:pPr>
        <w:pStyle w:val="FirstParagraph"/>
      </w:pPr>
      <w:r>
        <w:t xml:space="preserve">Ces résultats constituent une base pour des analyses ultérieures sur la productivité agricole et les déterminants de l’investissement foncier au Nigeria.</w:t>
      </w:r>
    </w:p>
    <w:p>
      <w:r>
        <w:pict>
          <v:rect style="width:0;height:1.5pt" o:hralign="center" o:hrstd="t" o:hr="t"/>
        </w:pict>
      </w:r>
    </w:p>
    <w:p>
      <w:pPr>
        <w:pStyle w:val="FirstParagraph"/>
      </w:pPr>
      <w:r>
        <w:rPr>
          <w:i/>
          <w:iCs/>
        </w:rPr>
        <w:t xml:space="preserve">Données : Nigeria General Household Survey Panel, Vague 4 (2018–2019), World Bank / NBS. Analyse réalisée avec R R version 4.5.2 (2025-10-31 ucrt).</w:t>
      </w:r>
    </w:p>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7" Target="media/rId37.png" /><Relationship Type="http://schemas.openxmlformats.org/officeDocument/2006/relationships/image" Id="rId62" Target="media/rId62.png" /><Relationship Type="http://schemas.openxmlformats.org/officeDocument/2006/relationships/image" Id="rId34" Target="media/rId34.png" /><Relationship Type="http://schemas.openxmlformats.org/officeDocument/2006/relationships/image" Id="rId30" Target="media/rId30.png" /><Relationship Type="http://schemas.openxmlformats.org/officeDocument/2006/relationships/image" Id="rId41" Target="media/rId41.png" /><Relationship Type="http://schemas.openxmlformats.org/officeDocument/2006/relationships/image" Id="rId55" Target="media/rId55.png" /><Relationship Type="http://schemas.openxmlformats.org/officeDocument/2006/relationships/image" Id="rId48" Target="media/rId4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TP4 — Analyse des parcelles agricoles : superficie, tenure foncière et utilisation des terres</dc:title>
  <dc:creator>Boubacar KANE &amp; Cheikh Omar TRAORE — ENSAE ISE1 2025–2026</dc:creator>
  <cp:keywords/>
  <dcterms:created xsi:type="dcterms:W3CDTF">2026-04-18T22:08:07Z</dcterms:created>
  <dcterms:modified xsi:type="dcterms:W3CDTF">2026-04-18T22:08:07Z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18 avril 2026</vt:lpwstr>
  </property>
  <property fmtid="{D5CDD505-2E9C-101B-9397-08002B2CF9AE}" pid="3" name="output">
    <vt:lpwstr/>
  </property>
  <property fmtid="{D5CDD505-2E9C-101B-9397-08002B2CF9AE}" pid="4" name="subtitle">
    <vt:lpwstr>Nigeria General Household Survey Panel — Vague 4 (2018–2019)</vt:lpwstr>
  </property>
</Properties>
</file>