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2.png" ContentType="image/png"/>
  <Override PartName="/word/media/rId26.png" ContentType="image/png"/>
  <Override PartName="/word/media/rId29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Agence Nationale de la Statistique et de la Démographie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République du Sénégal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École Nationale de la Statistique et de l’Analyse Économique Pierre Ndiaye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Année académique</w:t>
      </w:r>
      <w:r>
        <w:t xml:space="preserve"> </w:t>
      </w:r>
      <w:r>
        <w:rPr>
          <w:b/>
          <w:bCs/>
        </w:rPr>
        <w:t xml:space="preserve">2025–2026</w:t>
      </w:r>
    </w:p>
    <w:p>
      <w:pPr>
        <w:pStyle w:val="BodyText"/>
      </w:pPr>
      <w:r>
        <w:t xml:space="preserve">Cours :</w:t>
      </w:r>
      <w:r>
        <w:t xml:space="preserve"> </w:t>
      </w:r>
      <w:r>
        <w:rPr>
          <w:b/>
          <w:bCs/>
        </w:rPr>
        <w:t xml:space="preserve">Projet Statistique sous R et Python</w:t>
      </w:r>
      <w:r>
        <w:t xml:space="preserve"> </w:t>
      </w:r>
      <w:r>
        <w:t xml:space="preserve">| Enseignant :</w:t>
      </w:r>
      <w:r>
        <w:t xml:space="preserve"> </w:t>
      </w:r>
      <w:r>
        <w:rPr>
          <w:b/>
          <w:bCs/>
        </w:rPr>
        <w:t xml:space="preserve">Aboubacar HEMA</w:t>
      </w:r>
    </w:p>
    <w:p>
      <w:r>
        <w:pict>
          <v:rect style="width:0;height:1.5pt" o:hralign="center" o:hrstd="t" o:hr="t"/>
        </w:pict>
      </w:r>
    </w:p>
    <w:bookmarkStart w:id="20" w:name="travaux-pratiques-séance-3"/>
    <w:p>
      <w:pPr>
        <w:pStyle w:val="Heading3"/>
      </w:pPr>
      <w:r>
        <w:t xml:space="preserve">Travaux Pratiques — Séance 3</w:t>
      </w:r>
    </w:p>
    <w:p>
      <w:pPr>
        <w:pStyle w:val="FirstParagraph"/>
      </w:pPr>
      <w:r>
        <w:rPr>
          <w:i/>
          <w:iCs/>
        </w:rPr>
        <w:t xml:space="preserve">Santé, morbidité et dépenses de soins au Nigeria</w:t>
      </w:r>
    </w:p>
    <w:p>
      <w:pPr>
        <w:pStyle w:val="BodyText"/>
      </w:pPr>
      <w:r>
        <w:rPr>
          <w:i/>
          <w:iCs/>
        </w:rPr>
        <w:t xml:space="preserve">Nigeria General Household Survey-Panel Wave 4 (NBS, 2018/19)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Groupe 4</w:t>
      </w:r>
    </w:p>
    <w:p>
      <w:pPr>
        <w:pStyle w:val="BodyText"/>
      </w:pPr>
      <w:r>
        <w:t xml:space="preserve">TEVOEDJRE Michel — ISE1-CL</w:t>
      </w:r>
    </w:p>
    <w:p>
      <w:pPr>
        <w:pStyle w:val="BodyText"/>
      </w:pPr>
      <w:r>
        <w:t xml:space="preserve">DICKO Hamadou — ISE-MATHS</w:t>
      </w:r>
    </w:p>
    <w:p>
      <w:r>
        <w:br w:type="page"/>
      </w:r>
    </w:p>
    <w:bookmarkEnd w:id="20"/>
    <w:bookmarkStart w:id="21" w:name="introduction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Introduction</w:t>
      </w:r>
    </w:p>
    <w:p>
      <w:pPr>
        <w:pStyle w:val="FirstParagraph"/>
      </w:pPr>
      <w:r>
        <w:t xml:space="preserve">Ce rapport présente les résultats du troisième travail pratique du cours de</w:t>
      </w:r>
      <w:r>
        <w:t xml:space="preserve"> </w:t>
      </w:r>
      <w:r>
        <w:rPr>
          <w:b/>
          <w:bCs/>
        </w:rPr>
        <w:t xml:space="preserve">Projet Statistique sous R et Python</w:t>
      </w:r>
      <w:r>
        <w:t xml:space="preserve">. L’analyse porte sur la</w:t>
      </w:r>
      <w:r>
        <w:t xml:space="preserve"> </w:t>
      </w:r>
      <w:r>
        <w:rPr>
          <w:b/>
          <w:bCs/>
        </w:rPr>
        <w:t xml:space="preserve">santé, la morbidité et les dépenses de soins</w:t>
      </w:r>
      <w:r>
        <w:t xml:space="preserve"> </w:t>
      </w:r>
      <w:r>
        <w:t xml:space="preserve">des membres des ménages nigérians, à partir de la section 4a de l’enquête</w:t>
      </w:r>
      <w:r>
        <w:t xml:space="preserve"> </w:t>
      </w:r>
      <w:r>
        <w:rPr>
          <w:i/>
          <w:iCs/>
        </w:rPr>
        <w:t xml:space="preserve">General Household Survey-Panel Wave 4</w:t>
      </w:r>
      <w:r>
        <w:t xml:space="preserve"> </w:t>
      </w:r>
      <w:r>
        <w:t xml:space="preserve">(GHS-W4, NBS, 2018/19).</w:t>
      </w:r>
    </w:p>
    <w:p>
      <w:pPr>
        <w:pStyle w:val="BodyText"/>
      </w:pPr>
      <w:r>
        <w:t xml:space="preserve">Les fichiers mobilisés sont :</w:t>
      </w:r>
      <w:r>
        <w:t xml:space="preserve"> </w:t>
      </w:r>
      <w:r>
        <w:rPr>
          <w:rStyle w:val="VerbatimChar"/>
        </w:rPr>
        <w:t xml:space="preserve">sect4a_harvestw4.dta</w:t>
      </w:r>
      <w:r>
        <w:t xml:space="preserve"> </w:t>
      </w:r>
      <w:r>
        <w:t xml:space="preserve">(déclarations de maladie, recours aux soins, dépenses),</w:t>
      </w:r>
      <w:r>
        <w:t xml:space="preserve"> </w:t>
      </w:r>
      <w:r>
        <w:rPr>
          <w:rStyle w:val="VerbatimChar"/>
        </w:rPr>
        <w:t xml:space="preserve">sect1_harvestw4.dta</w:t>
      </w:r>
      <w:r>
        <w:t xml:space="preserve"> </w:t>
      </w:r>
      <w:r>
        <w:t xml:space="preserve">(sexe, âge, milieu),</w:t>
      </w:r>
      <w:r>
        <w:t xml:space="preserve"> </w:t>
      </w:r>
      <w:r>
        <w:rPr>
          <w:rStyle w:val="VerbatimChar"/>
        </w:rPr>
        <w:t xml:space="preserve">totcons_final.dta</w:t>
      </w:r>
      <w:r>
        <w:t xml:space="preserve"> </w:t>
      </w:r>
      <w:r>
        <w:t xml:space="preserve">(consommation par ménage pour la construction des quintiles de richesse), et</w:t>
      </w:r>
      <w:r>
        <w:t xml:space="preserve"> </w:t>
      </w:r>
      <w:r>
        <w:rPr>
          <w:rStyle w:val="VerbatimChar"/>
        </w:rPr>
        <w:t xml:space="preserve">secta_harvestw4.dta</w:t>
      </w:r>
      <w:r>
        <w:t xml:space="preserve"> </w:t>
      </w:r>
      <w:r>
        <w:t xml:space="preserve">(poids de sondage</w:t>
      </w:r>
      <w:r>
        <w:t xml:space="preserve"> </w:t>
      </w:r>
      <w:r>
        <w:rPr>
          <w:rStyle w:val="VerbatimChar"/>
        </w:rPr>
        <w:t xml:space="preserve">wt_wave4</w:t>
      </w:r>
      <w:r>
        <w:t xml:space="preserve">, cluster, strate). Les pondérations ont été appliquées à toutes les estimations pour une population totale estimée à</w:t>
      </w:r>
      <w:r>
        <w:t xml:space="preserve"> </w:t>
      </w:r>
      <w:r>
        <w:rPr>
          <w:b/>
          <w:bCs/>
        </w:rPr>
        <w:t xml:space="preserve">149 016 938 individus</w:t>
      </w:r>
      <w:r>
        <w:t xml:space="preserve">. L’échantillon comprend</w:t>
      </w:r>
      <w:r>
        <w:t xml:space="preserve"> </w:t>
      </w:r>
      <w:r>
        <w:rPr>
          <w:b/>
          <w:bCs/>
        </w:rPr>
        <w:t xml:space="preserve">26 556 individus</w:t>
      </w:r>
      <w:r>
        <w:t xml:space="preserve">, dont</w:t>
      </w:r>
      <w:r>
        <w:t xml:space="preserve"> </w:t>
      </w:r>
      <w:r>
        <w:rPr>
          <w:b/>
          <w:bCs/>
        </w:rPr>
        <w:t xml:space="preserve">2 065 (7.8%)</w:t>
      </w:r>
      <w:r>
        <w:t xml:space="preserve"> </w:t>
      </w:r>
      <w:r>
        <w:t xml:space="preserve">ont déclaré une maladie ou blessure dans les quatre semaines précédant l’enquête.</w:t>
      </w:r>
    </w:p>
    <w:p>
      <w:pPr>
        <w:pStyle w:val="BodyText"/>
      </w:pPr>
      <w:r>
        <w:t xml:space="preserve">Le travail couvre cinq axes :</w:t>
      </w:r>
      <w:r>
        <w:t xml:space="preserve"> </w:t>
      </w:r>
      <w:r>
        <w:rPr>
          <w:b/>
          <w:bCs/>
        </w:rPr>
        <w:t xml:space="preserve">(i)</w:t>
      </w:r>
      <w:r>
        <w:t xml:space="preserve"> </w:t>
      </w:r>
      <w:r>
        <w:t xml:space="preserve">taux de morbidité par sexe et groupe d’âge,</w:t>
      </w:r>
      <w:r>
        <w:t xml:space="preserve"> </w:t>
      </w:r>
      <w:r>
        <w:rPr>
          <w:b/>
          <w:bCs/>
        </w:rPr>
        <w:t xml:space="preserve">(ii)</w:t>
      </w:r>
      <w:r>
        <w:t xml:space="preserve"> </w:t>
      </w:r>
      <w:r>
        <w:t xml:space="preserve">types d’affections déclarées,</w:t>
      </w:r>
      <w:r>
        <w:t xml:space="preserve"> </w:t>
      </w:r>
      <w:r>
        <w:rPr>
          <w:b/>
          <w:bCs/>
        </w:rPr>
        <w:t xml:space="preserve">(iii)</w:t>
      </w:r>
      <w:r>
        <w:t xml:space="preserve"> </w:t>
      </w:r>
      <w:r>
        <w:t xml:space="preserve">recours aux soins par type de prestataire,</w:t>
      </w:r>
      <w:r>
        <w:t xml:space="preserve"> </w:t>
      </w:r>
      <w:r>
        <w:rPr>
          <w:b/>
          <w:bCs/>
        </w:rPr>
        <w:t xml:space="preserve">(iv)</w:t>
      </w:r>
      <w:r>
        <w:t xml:space="preserve"> </w:t>
      </w:r>
      <w:r>
        <w:t xml:space="preserve">distribution et structure des dépenses de santé, et</w:t>
      </w:r>
      <w:r>
        <w:t xml:space="preserve"> </w:t>
      </w:r>
      <w:r>
        <w:rPr>
          <w:b/>
          <w:bCs/>
        </w:rPr>
        <w:t xml:space="preserve">(v)</w:t>
      </w:r>
      <w:r>
        <w:t xml:space="preserve"> </w:t>
      </w:r>
      <w:r>
        <w:t xml:space="preserve">liens entre richesse, milieu de résidence et comportements de santé.</w:t>
      </w:r>
    </w:p>
    <w:p>
      <w:r>
        <w:pict>
          <v:rect style="width:0;height:1.5pt" o:hralign="center" o:hrstd="t" o:hr="t"/>
        </w:pict>
      </w:r>
    </w:p>
    <w:bookmarkEnd w:id="21"/>
    <w:bookmarkStart w:id="33" w:name="taux-de-morbidité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Taux de morbidité</w:t>
      </w:r>
    </w:p>
    <w:bookmarkStart w:id="25" w:name="par-sexe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Par sexe</w:t>
      </w:r>
    </w:p>
    <w:p>
      <w:pPr>
        <w:pStyle w:val="CaptionedFigure"/>
      </w:pPr>
      <w:r>
        <w:drawing>
          <wp:inline>
            <wp:extent cx="3912108" cy="3073799"/>
            <wp:effectExtent b="0" l="0" r="0" t="0"/>
            <wp:docPr descr="Taux de morbidité pondéré par sexe avec IC à 95%" title="" id="23" name="Picture"/>
            <a:graphic>
              <a:graphicData uri="http://schemas.openxmlformats.org/drawingml/2006/picture">
                <pic:pic>
                  <pic:nvPicPr>
                    <pic:cNvPr descr="../output/figures/01a_morbidite_sexe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2108" cy="3073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Taux de morbidité pondéré par sexe avec IC à 95%</w:t>
      </w:r>
    </w:p>
    <w:p>
      <w:pPr>
        <w:pStyle w:val="BodyText"/>
      </w:pPr>
      <w:r>
        <w:t xml:space="preserve">Le taux de morbidité pondéré est de</w:t>
      </w:r>
      <w:r>
        <w:t xml:space="preserve"> </w:t>
      </w:r>
      <w:r>
        <w:rPr>
          <w:b/>
          <w:bCs/>
        </w:rPr>
        <w:t xml:space="preserve">8.2%</w:t>
      </w:r>
      <w:r>
        <w:t xml:space="preserve"> </w:t>
      </w:r>
      <w:r>
        <w:t xml:space="preserve">chez les hommes et de</w:t>
      </w:r>
      <w:r>
        <w:t xml:space="preserve"> </w:t>
      </w:r>
      <w:r>
        <w:rPr>
          <w:b/>
          <w:bCs/>
        </w:rPr>
        <w:t xml:space="preserve">9.2%</w:t>
      </w:r>
      <w:r>
        <w:t xml:space="preserve"> </w:t>
      </w:r>
      <w:r>
        <w:t xml:space="preserve">chez les femmes. Ces estimations reflètent la population nigériane couverte par la vague 4.</w:t>
      </w:r>
    </w:p>
    <w:bookmarkEnd w:id="25"/>
    <w:bookmarkStart w:id="32" w:name="X85f2fbec2000710d1c52b798ebf6e6aae764a48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Par groupe d’âge et interaction sexe x âge</w:t>
      </w:r>
    </w:p>
    <w:p>
      <w:pPr>
        <w:pStyle w:val="CaptionedFigure"/>
      </w:pPr>
      <w:r>
        <w:drawing>
          <wp:inline>
            <wp:extent cx="4832604" cy="2953258"/>
            <wp:effectExtent b="0" l="0" r="0" t="0"/>
            <wp:docPr descr="Taux de morbidité pondéré par groupe d’âge avec IC à 95%" title="" id="27" name="Picture"/>
            <a:graphic>
              <a:graphicData uri="http://schemas.openxmlformats.org/drawingml/2006/picture">
                <pic:pic>
                  <pic:nvPicPr>
                    <pic:cNvPr descr="../output/figures/01b_morbidite_age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2604" cy="29532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Taux de morbidité pondéré par groupe d’âge avec IC à 95%</w:t>
      </w:r>
    </w:p>
    <w:p>
      <w:pPr>
        <w:pStyle w:val="CaptionedFigure"/>
      </w:pPr>
      <w:r>
        <w:drawing>
          <wp:inline>
            <wp:extent cx="5177790" cy="2588895"/>
            <wp:effectExtent b="0" l="0" r="0" t="0"/>
            <wp:docPr descr="Taux de morbidité pondéré par groupe d’âge et par sexe" title="" id="30" name="Picture"/>
            <a:graphic>
              <a:graphicData uri="http://schemas.openxmlformats.org/drawingml/2006/picture">
                <pic:pic>
                  <pic:nvPicPr>
                    <pic:cNvPr descr="../output/figures/01c_morbidite_sexe_age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7790" cy="25888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Taux de morbidité pondéré par groupe d’âge et par sexe</w:t>
      </w:r>
    </w:p>
    <w:p>
      <w:pPr>
        <w:pStyle w:val="BodyText"/>
      </w:pPr>
      <w:r>
        <w:t xml:space="preserve">La morbidité suit un profil en</w:t>
      </w:r>
      <w:r>
        <w:t xml:space="preserve"> </w:t>
      </w:r>
      <w:r>
        <w:rPr>
          <w:b/>
          <w:bCs/>
        </w:rPr>
        <w:t xml:space="preserve">U asymétrique</w:t>
      </w:r>
      <w:r>
        <w:t xml:space="preserve"> </w:t>
      </w:r>
      <w:r>
        <w:t xml:space="preserve">: élevée chez les enfants (0-14 ans), plus faible chez les jeunes adultes, puis croissante avec l’âge. Les seniors (65+) affichent le taux pondéré le plus important. L’analyse croisée sexe x âge révèle des écarts variables selon les tranches.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types-daffections-déclarées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Types d’affections déclarées</w:t>
      </w:r>
    </w:p>
    <w:p>
      <w:pPr>
        <w:pStyle w:val="CaptionedFigure"/>
      </w:pPr>
      <w:r>
        <w:drawing>
          <wp:inline>
            <wp:extent cx="4947666" cy="2968599"/>
            <wp:effectExtent b="0" l="0" r="0" t="0"/>
            <wp:docPr descr="Dix affections les plus fréquemment déclarées (effectifs pondérés)" title="" id="35" name="Picture"/>
            <a:graphic>
              <a:graphicData uri="http://schemas.openxmlformats.org/drawingml/2006/picture">
                <pic:pic>
                  <pic:nvPicPr>
                    <pic:cNvPr descr="../output/figures/02_types_maladies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7666" cy="29685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Dix affections les plus fréquemment déclarées (effectifs pondérés)</w:t>
      </w:r>
    </w:p>
    <w:p>
      <w:pPr>
        <w:pStyle w:val="TableCaption"/>
      </w:pPr>
      <w:r>
        <w:t xml:space="preserve">Dix affections pondérées les plus fréquemment déclarées (individus malades)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Dix affections pondérées les plus fréquemment déclarées (individus malades)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Affection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Catégorie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Effectif pondéré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Part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Paludisme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Infectieuse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2888440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Faiblesse/Fatigue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2301812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Rhinite/Catarrhe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Infectieuse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1329834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Céphalée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1093050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Infectieuse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1049472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Rhume commun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Infectieuse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388594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Douleurs articulaires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Chronique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326644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Blessure/Traumatisme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Traumatique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236650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197313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Typhoïde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Infectieuse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152146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</w:t>
            </w:r>
          </w:p>
        </w:tc>
      </w:tr>
    </w:tbl>
    <w:p>
      <w:pPr>
        <w:pStyle w:val="BodyText"/>
      </w:pPr>
      <w:r>
        <w:t xml:space="preserve">Les affections</w:t>
      </w:r>
      <w:r>
        <w:t xml:space="preserve"> </w:t>
      </w:r>
      <w:r>
        <w:rPr>
          <w:b/>
          <w:bCs/>
        </w:rPr>
        <w:t xml:space="preserve">infectieuses</w:t>
      </w:r>
      <w:r>
        <w:t xml:space="preserve"> </w:t>
      </w:r>
      <w:r>
        <w:t xml:space="preserve">dominent largement le tableau clinique dans la population estimée. Paludisme arrive en tête (26.7%), suivi de Faiblesse/Fatigue (21.3%), puis des infections respiratoires (rhinite, toux, rhume).</w:t>
      </w:r>
    </w:p>
    <w:p>
      <w:r>
        <w:pict>
          <v:rect style="width:0;height:1.5pt" o:hralign="center" o:hrstd="t" o:hr="t"/>
        </w:pict>
      </w:r>
    </w:p>
    <w:bookmarkEnd w:id="37"/>
    <w:bookmarkStart w:id="41" w:name="recours-aux-soins-par-prestataire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Recours aux soins par prestataire</w:t>
      </w:r>
    </w:p>
    <w:p>
      <w:pPr>
        <w:pStyle w:val="CaptionedFigure"/>
      </w:pPr>
      <w:r>
        <w:drawing>
          <wp:inline>
            <wp:extent cx="4832604" cy="2899562"/>
            <wp:effectExtent b="0" l="0" r="0" t="0"/>
            <wp:docPr descr="Recours pondéré aux soins selon le type de prestataire (individus malades)" title="" id="39" name="Picture"/>
            <a:graphic>
              <a:graphicData uri="http://schemas.openxmlformats.org/drawingml/2006/picture">
                <pic:pic>
                  <pic:nvPicPr>
                    <pic:cNvPr descr="../output/figures/03_recours_prestataires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2604" cy="28995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Recours pondéré aux soins selon le type de prestataire (individus malades)</w:t>
      </w:r>
    </w:p>
    <w:p>
      <w:pPr>
        <w:pStyle w:val="TableCaption"/>
      </w:pPr>
      <w:r>
        <w:t xml:space="preserve">Distribution pondérée du recours aux soins selon le type de prestataire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Distribution pondérée du recours aux soins selon le type de prestataire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Prestataire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Effectif pondéré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Part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Pharmacie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5038045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Aucun recours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3562822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Hôpital/Clinique (médecin)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914931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Hôpital/Clinique (infirmier)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826936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Tradipraticien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294378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 de santé comm.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149504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12172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</w:tr>
    </w:tbl>
    <w:p>
      <w:pPr>
        <w:pStyle w:val="BodyText"/>
      </w:pPr>
      <w:r>
        <w:t xml:space="preserve">La pharmacie constitue le premier point de recours dans la population estimée (46.7% des malades), devant l’absence totale de recours (33%). L’hôpital ou la clinique ne représentent qu’environ 16.1% des consultations, soulignant un accès limité aux soins médicaux formels.</w:t>
      </w:r>
    </w:p>
    <w:p>
      <w:r>
        <w:pict>
          <v:rect style="width:0;height:1.5pt" o:hralign="center" o:hrstd="t" o:hr="t"/>
        </w:pict>
      </w:r>
    </w:p>
    <w:bookmarkEnd w:id="41"/>
    <w:bookmarkStart w:id="50" w:name="distribution-des-dépenses-de-santé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Distribution des dépenses de santé</w:t>
      </w:r>
    </w:p>
    <w:bookmarkStart w:id="45" w:name="histogramme-et-structure-par-décile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Histogramme et structure par décile</w:t>
      </w:r>
    </w:p>
    <w:p>
      <w:pPr>
        <w:pStyle w:val="CaptionedFigure"/>
      </w:pPr>
      <w:r>
        <w:drawing>
          <wp:inline>
            <wp:extent cx="4832604" cy="2657932"/>
            <wp:effectExtent b="0" l="0" r="0" t="0"/>
            <wp:docPr descr="Distribution pondérée des dépenses de santé (échelle logarithmique)" title="" id="43" name="Picture"/>
            <a:graphic>
              <a:graphicData uri="http://schemas.openxmlformats.org/drawingml/2006/picture">
                <pic:pic>
                  <pic:nvPicPr>
                    <pic:cNvPr descr="../output/figures/04a_depenses_histogramme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2604" cy="26579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Distribution pondérée des dépenses de santé (échelle logarithmique)</w:t>
      </w:r>
    </w:p>
    <w:p>
      <w:pPr>
        <w:pStyle w:val="TableCaption"/>
      </w:pPr>
      <w:r>
        <w:t xml:space="preserve">Dépenses de santé (Naira) par décile — individus avec dépenses &gt; 0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Dépenses de santé (Naira) par décile — individus avec dépenses &gt; 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Décile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Médiane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Moy. pond.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1 200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1 494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1 800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2 411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3 000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4 500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4 667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7 000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7 000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24 443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2 500 000</w:t>
            </w:r>
          </w:p>
        </w:tc>
      </w:tr>
    </w:tbl>
    <w:p>
      <w:pPr>
        <w:pStyle w:val="BodyText"/>
      </w:pPr>
      <w:r>
        <w:t xml:space="preserve">La distribution des dépenses est fortement asymétrique à droite. La médiane pondérée du 5e décile est de</w:t>
      </w:r>
      <w:r>
        <w:t xml:space="preserve"> </w:t>
      </w:r>
      <w:r>
        <w:rPr>
          <w:b/>
          <w:bCs/>
        </w:rPr>
        <w:t xml:space="preserve">700 Naira</w:t>
      </w:r>
      <w:r>
        <w:t xml:space="preserve">, tandis que le décile supérieur (D10) atteint une moyenne pondérée de</w:t>
      </w:r>
      <w:r>
        <w:t xml:space="preserve"> </w:t>
      </w:r>
      <w:r>
        <w:rPr>
          <w:b/>
          <w:bCs/>
        </w:rPr>
        <w:t xml:space="preserve">24 443 Naira</w:t>
      </w:r>
      <w:r>
        <w:t xml:space="preserve">.</w:t>
      </w:r>
    </w:p>
    <w:bookmarkEnd w:id="45"/>
    <w:bookmarkStart w:id="49" w:name="dépenses-par-type-de-prestataire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Dépenses par type de prestataire</w:t>
      </w:r>
    </w:p>
    <w:p>
      <w:pPr>
        <w:pStyle w:val="CaptionedFigure"/>
      </w:pPr>
      <w:r>
        <w:drawing>
          <wp:inline>
            <wp:extent cx="4832604" cy="2657932"/>
            <wp:effectExtent b="0" l="0" r="0" t="0"/>
            <wp:docPr descr="Dépenses de santé par type de prestataire (échelle log, outliers extrêmes exclus)" title="" id="47" name="Picture"/>
            <a:graphic>
              <a:graphicData uri="http://schemas.openxmlformats.org/drawingml/2006/picture">
                <pic:pic>
                  <pic:nvPicPr>
                    <pic:cNvPr descr="../output/figures/04b_depenses_boxplot_prestataire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2604" cy="26579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Dépenses de santé par type de prestataire (échelle log, outliers extrêmes exclus)</w:t>
      </w:r>
    </w:p>
    <w:p>
      <w:pPr>
        <w:pStyle w:val="BodyText"/>
      </w:pPr>
      <w:r>
        <w:t xml:space="preserve">Les consultations à l’hôpital ou en clinique engendrent les dépenses pondérées les plus élevées, reflétant le coût plus important des soins spécialisés.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9" w:name="Xc441ce183cab92ad86969d8335b7696937a60a2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Richesse, milieu et comportements de santé</w:t>
      </w:r>
    </w:p>
    <w:bookmarkStart w:id="54" w:name="X3e9bb5480c92b997211f0e711f6ea8a6db6b8a5"/>
    <w:p>
      <w:pPr>
        <w:pStyle w:val="Heading2"/>
      </w:pPr>
      <w:r>
        <w:rPr>
          <w:rStyle w:val="SectionNumber"/>
        </w:rPr>
        <w:t xml:space="preserve">6.1</w:t>
      </w:r>
      <w:r>
        <w:tab/>
      </w:r>
      <w:r>
        <w:t xml:space="preserve">Recours aux soins selon le quintile de consommation</w:t>
      </w:r>
    </w:p>
    <w:p>
      <w:pPr>
        <w:pStyle w:val="CaptionedFigure"/>
      </w:pPr>
      <w:r>
        <w:drawing>
          <wp:inline>
            <wp:extent cx="4832604" cy="2899562"/>
            <wp:effectExtent b="0" l="0" r="0" t="0"/>
            <wp:docPr descr="Recours pondéré aux soins selon le quintile de consommation (individus malades)" title="" id="52" name="Picture"/>
            <a:graphic>
              <a:graphicData uri="http://schemas.openxmlformats.org/drawingml/2006/picture">
                <pic:pic>
                  <pic:nvPicPr>
                    <pic:cNvPr descr="../output/figures/05_recours_quintile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2604" cy="28995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Recours pondéré aux soins selon le quintile de consommation (individus malades)</w:t>
      </w:r>
    </w:p>
    <w:p>
      <w:pPr>
        <w:pStyle w:val="TableCaption"/>
      </w:pPr>
      <w:r>
        <w:t xml:space="preserve">Test du Chi-deux pondéré – Recours aux soins x Quintile de consommation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est du Chi-deux pondéré – Recours aux soins x Quintile de consommation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Statistique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Chi-deux pondéré (Rao-Scott)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93272.04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p-valeur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0e+00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 de Cramer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0.093</w:t>
            </w:r>
          </w:p>
        </w:tc>
      </w:tr>
    </w:tbl>
    <w:p>
      <w:pPr>
        <w:pStyle w:val="BodyText"/>
      </w:pPr>
      <w:r>
        <w:t xml:space="preserve">Le test du Chi-deux pondéré confirme une association statistiquement significative (p &lt; 0,001) entre le quintile de consommation et le recours aux soins. Toutefois, le V de Cramer de</w:t>
      </w:r>
      <w:r>
        <w:t xml:space="preserve"> </w:t>
      </w:r>
      <w:r>
        <w:rPr>
          <w:b/>
          <w:bCs/>
        </w:rPr>
        <w:t xml:space="preserve">0.093</w:t>
      </w:r>
      <w:r>
        <w:t xml:space="preserve"> </w:t>
      </w:r>
      <w:r>
        <w:t xml:space="preserve">indique que l’association reste d’ampleur modeste.</w:t>
      </w:r>
    </w:p>
    <w:bookmarkEnd w:id="54"/>
    <w:bookmarkStart w:id="58" w:name="X1af2566082670b744b7ec3e853d47271d9f55f5"/>
    <w:p>
      <w:pPr>
        <w:pStyle w:val="Heading2"/>
      </w:pPr>
      <w:r>
        <w:rPr>
          <w:rStyle w:val="SectionNumber"/>
        </w:rPr>
        <w:t xml:space="preserve">6.2</w:t>
      </w:r>
      <w:r>
        <w:tab/>
      </w:r>
      <w:r>
        <w:t xml:space="preserve">Dépenses de santé selon le milieu et le quintile</w:t>
      </w:r>
    </w:p>
    <w:p>
      <w:pPr>
        <w:pStyle w:val="CaptionedFigure"/>
      </w:pPr>
      <w:r>
        <w:drawing>
          <wp:inline>
            <wp:extent cx="5177790" cy="6213348"/>
            <wp:effectExtent b="0" l="0" r="0" t="0"/>
            <wp:docPr descr="Dépenses de santé pondérées – rural vs urbain et par quintile de consommation (échelle log)" title="" id="56" name="Picture"/>
            <a:graphic>
              <a:graphicData uri="http://schemas.openxmlformats.org/drawingml/2006/picture">
                <pic:pic>
                  <pic:nvPicPr>
                    <pic:cNvPr descr="../output/figures/06c_violin_combined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7790" cy="62133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Dépenses de santé pondérées – rural vs urbain et par quintile de consommation (échelle log)</w:t>
      </w:r>
    </w:p>
    <w:p>
      <w:pPr>
        <w:pStyle w:val="TableCaption"/>
      </w:pPr>
      <w:r>
        <w:t xml:space="preserve">Test de Wilcoxon-Mann-Whitney pondéré – Dépenses de santé Rural vs Urbain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est de Wilcoxon-Mann-Whitney pondéré – Dépenses de santé Rural vs Urbain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Statistique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Statistique W de Wilcoxon pondéré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1 035 492 056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p-valeur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1.32e-02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Taille d’effet 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0.0078</w:t>
            </w:r>
          </w:p>
        </w:tc>
      </w:tr>
    </w:tbl>
    <w:p>
      <w:pPr>
        <w:pStyle w:val="BodyText"/>
      </w:pPr>
      <w:r>
        <w:t xml:space="preserve">Le test de Wilcoxon-Mann-Whitney pondéré ne révèle</w:t>
      </w:r>
      <w:r>
        <w:t xml:space="preserve"> </w:t>
      </w:r>
      <w:r>
        <w:rPr>
          <w:b/>
          <w:bCs/>
        </w:rPr>
        <w:t xml:space="preserve">pas de différence significative</w:t>
      </w:r>
      <w:r>
        <w:t xml:space="preserve"> </w:t>
      </w:r>
      <w:r>
        <w:t xml:space="preserve">des dépenses de santé entre milieu urbain et rural (p = 0.013 ; r = 0.0078). Le violin plot par quintile montre en revanche une progression claire des dépenses médianes pondérées du Q1 au Q5, confirmant le gradient socio-économique.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conclusion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Conclusion</w:t>
      </w:r>
    </w:p>
    <w:p>
      <w:pPr>
        <w:pStyle w:val="FirstParagraph"/>
      </w:pPr>
      <w:r>
        <w:t xml:space="preserve">Ce travail pratique a permis d’analyser les comportements de santé et les dépenses associées au sein des ménages nigérians, avec application systématique des poids</w:t>
      </w:r>
      <w:r>
        <w:t xml:space="preserve"> </w:t>
      </w:r>
      <w:r>
        <w:rPr>
          <w:rStyle w:val="VerbatimChar"/>
        </w:rPr>
        <w:t xml:space="preserve">wt_wave4</w:t>
      </w:r>
      <w:r>
        <w:t xml:space="preserve"> </w:t>
      </w:r>
      <w:r>
        <w:t xml:space="preserve">pour une population estimée à</w:t>
      </w:r>
      <w:r>
        <w:t xml:space="preserve"> </w:t>
      </w:r>
      <w:r>
        <w:rPr>
          <w:b/>
          <w:bCs/>
        </w:rPr>
        <w:t xml:space="preserve">149 016 938 individus</w:t>
      </w:r>
      <w:r>
        <w:t xml:space="preserve">. Les principaux enseignements sont les suivants :</w:t>
      </w:r>
    </w:p>
    <w:p>
      <w:pPr>
        <w:pStyle w:val="Compact"/>
        <w:numPr>
          <w:ilvl w:val="0"/>
          <w:numId w:val="1001"/>
        </w:numPr>
      </w:pPr>
      <w:r>
        <w:t xml:space="preserve">Le</w:t>
      </w:r>
      <w:r>
        <w:t xml:space="preserve"> </w:t>
      </w:r>
      <w:r>
        <w:rPr>
          <w:b/>
          <w:bCs/>
        </w:rPr>
        <w:t xml:space="preserve">taux de morbidité global pondéré</w:t>
      </w:r>
      <w:r>
        <w:t xml:space="preserve"> </w:t>
      </w:r>
      <w:r>
        <w:t xml:space="preserve">est de 7.8%, avec un profil en U selon l’âge : plus élevé chez les enfants et les seniors.</w:t>
      </w:r>
    </w:p>
    <w:p>
      <w:pPr>
        <w:pStyle w:val="Compact"/>
        <w:numPr>
          <w:ilvl w:val="0"/>
          <w:numId w:val="1001"/>
        </w:numPr>
      </w:pPr>
      <w:r>
        <w:t xml:space="preserve">Les</w:t>
      </w:r>
      <w:r>
        <w:t xml:space="preserve"> </w:t>
      </w:r>
      <w:r>
        <w:rPr>
          <w:b/>
          <w:bCs/>
        </w:rPr>
        <w:t xml:space="preserve">affections infectieuses</w:t>
      </w:r>
      <w:r>
        <w:t xml:space="preserve"> </w:t>
      </w:r>
      <w:r>
        <w:t xml:space="preserve">dominent dans la population estimée (faiblesse/fatigue, paludisme, infections respiratoires).</w:t>
      </w:r>
    </w:p>
    <w:p>
      <w:pPr>
        <w:pStyle w:val="Compact"/>
        <w:numPr>
          <w:ilvl w:val="0"/>
          <w:numId w:val="1001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pharmacie</w:t>
      </w:r>
      <w:r>
        <w:t xml:space="preserve"> </w:t>
      </w:r>
      <w:r>
        <w:t xml:space="preserve">constitue le premier point de recours pondéré (46.7% des malades) ; plus d’un tiers n’ont recours à aucun soin.</w:t>
      </w:r>
    </w:p>
    <w:p>
      <w:pPr>
        <w:pStyle w:val="Compact"/>
        <w:numPr>
          <w:ilvl w:val="0"/>
          <w:numId w:val="1001"/>
        </w:numPr>
      </w:pPr>
      <w:r>
        <w:t xml:space="preserve">Les</w:t>
      </w:r>
      <w:r>
        <w:t xml:space="preserve"> </w:t>
      </w:r>
      <w:r>
        <w:rPr>
          <w:b/>
          <w:bCs/>
        </w:rPr>
        <w:t xml:space="preserve">dépenses de santé pondérées</w:t>
      </w:r>
      <w:r>
        <w:t xml:space="preserve"> </w:t>
      </w:r>
      <w:r>
        <w:t xml:space="preserve">sont très asymétriques et croissantes avec le niveau de richesse.</w:t>
      </w:r>
    </w:p>
    <w:p>
      <w:pPr>
        <w:pStyle w:val="Compact"/>
        <w:numPr>
          <w:ilvl w:val="0"/>
          <w:numId w:val="1001"/>
        </w:numPr>
      </w:pPr>
      <w:r>
        <w:t xml:space="preserve">Le</w:t>
      </w:r>
      <w:r>
        <w:t xml:space="preserve"> </w:t>
      </w:r>
      <w:r>
        <w:rPr>
          <w:b/>
          <w:bCs/>
        </w:rPr>
        <w:t xml:space="preserve">quintile de consommation</w:t>
      </w:r>
      <w:r>
        <w:t xml:space="preserve"> </w:t>
      </w:r>
      <w:r>
        <w:t xml:space="preserve">est associé significativement au recours aux soins (Chi-deux pondéré, p &lt; 0,001), mais la différence des dépenses urbain/rural n’est pas significative (Wilcoxon pondéré, p = 0.013).</w:t>
      </w:r>
    </w:p>
    <w:p>
      <w:pPr>
        <w:pStyle w:val="FirstParagraph"/>
      </w:pPr>
      <w:r>
        <w:t xml:space="preserve">Ces résultats plaident pour des politiques de couverture santé universelle et d’infrastructures sanitaires de proximité, notamment en direction des populations les plus pauvres et des zones rurales.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Source des données : National Bureau of Statistics (NBS) Nigeria — General Household Survey-Panel Wave 4, 2018/2019. Pondérations : variable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wt_wave4</w:t>
      </w:r>
      <w:r>
        <w:rPr>
          <w:i/>
          <w:iCs/>
        </w:rPr>
        <w:t xml:space="preserve">, base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secta_harvestw4.dta</w:t>
      </w:r>
      <w:r>
        <w:rPr>
          <w:i/>
          <w:iCs/>
        </w:rPr>
        <w:t xml:space="preserve">.</w:t>
      </w:r>
    </w:p>
    <w:bookmarkEnd w:id="60"/>
    <w:sectPr>
      <w:headerReference r:id="rId9" w:type="default"/>
      <w:footerReference r:id="rId10" w:type="default"/>
      <w:pgSz w:h="16838" w:orient="portrait" w:w="11906"/>
      <w:pgMar w:bottom="1418" w:footer="708" w:gutter="0" w:header="708" w:left="1418" w:right="1418" w:top="1418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E6E6E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E6E6E" w:sz="4" w:space="4"/>
      </w:pBdr>
      <w:tabs>
        <w:tab w:val="right" w:pos="9026"/>
      </w:tabs>
    </w:pPr>
    <w:r>
      <w:rPr>
        <w:rFonts w:ascii="Calibri" w:cs="Calibri" w:eastAsia="Calibri" w:hAnsi="Calibri"/>
        <w:color w:val="6E6E6E"/>
        <w:sz w:val="18"/>
        <w:szCs w:val="18"/>
      </w:rPr>
      <w:t xml:space="preserve">TP3 — Projet Statistique sous R et Python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color w:val="6E6E6E"/>
        <w:sz w:val="18"/>
        <w:szCs w:val="18"/>
      </w:rPr>
      <w:t xml:space="preserve">Groupe 4 — ISE1</w:t>
    </w: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1"/>
    <w:lvlOverride w:ilvl="0">
      <w:startOverride w:val="1"/>
    </w:lvlOverride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20"/>
  <w:evenAndOddHeaders w:val="false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rPr>
      <w:color w:val="2E74B5"/>
      <w:sz w:val="32"/>
      <w:szCs w:val="32"/>
    </w:rPr>
  </w:style>
  <w:style w:styleId="Heading2" w:type="paragraph">
    <w:name w:val="Heading 2"/>
    <w:basedOn w:val="Normal"/>
    <w:next w:val="Normal"/>
    <w:qFormat/>
    <w:rPr>
      <w:color w:val="2E74B5"/>
      <w:sz w:val="26"/>
      <w:szCs w:val="26"/>
    </w:rPr>
  </w:style>
  <w:style w:styleId="Heading3" w:type="paragraph">
    <w:name w:val="Heading 3"/>
    <w:basedOn w:val="Normal"/>
    <w:next w:val="Normal"/>
    <w:qFormat/>
    <w:rPr>
      <w:color w:val="1F4D78"/>
      <w:sz w:val="24"/>
      <w:szCs w:val="24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EndnoteTextChar" w:type="characte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styleId="Heading1" w:type="paragraph">
    <w:name w:val="Heading 1"/>
    <w:basedOn w:val="Normal"/>
    <w:next w:val="Normal"/>
    <w:qFormat/>
    <w:pPr>
      <w:pBdr>
        <w:bottom w:color="003E74" w:space="4" w:sz="6" w:val="single"/>
      </w:pBdr>
      <w:spacing w:after="120" w:before="280"/>
      <w:outlineLvl w:val="0"/>
    </w:pPr>
    <w:rPr>
      <w:rFonts w:ascii="Calibri" w:cs="Calibri" w:eastAsia="Calibri" w:hAnsi="Calibri"/>
      <w:b/>
      <w:bCs/>
      <w:color w:val="003E74"/>
      <w:sz w:val="28"/>
      <w:szCs w:val="28"/>
    </w:rPr>
  </w:style>
  <w:style w:styleId="Heading2" w:type="paragraph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003E74"/>
      <w:sz w:val="24"/>
      <w:szCs w:val="24"/>
    </w:rPr>
  </w:style>
  <w:style w:styleId="Normal" w:type="paragraph">
    <w:name w:val="Normal"/>
    <w:pPr>
      <w:spacing w:after="100" w:line="276" w:lineRule="auto"/>
    </w:pPr>
    <w:rPr>
      <w:rFonts w:ascii="Calibri" w:cs="Calibri" w:eastAsia="Calibri" w:hAnsi="Calibri"/>
      <w:color w:val="1A1A1A"/>
      <w:sz w:val="22"/>
      <w:szCs w:val="22"/>
    </w:rPr>
  </w:style>
  <w:style w:styleId="Caption" w:type="paragraph">
    <w:name w:val="Caption"/>
    <w:basedOn w:val="Normal"/>
    <w:pPr>
      <w:spacing w:after="60" w:before="60"/>
      <w:jc w:val="center"/>
    </w:pPr>
    <w:rPr>
      <w:rFonts w:ascii="Calibri" w:cs="Calibri" w:eastAsia="Calibri" w:hAnsi="Calibri"/>
      <w:i/>
      <w:iCs/>
      <w:color w:val="6E6E6E"/>
      <w:sz w:val="18"/>
      <w:szCs w:val="18"/>
    </w:rPr>
  </w:style>
  <w:style w:styleId="TOCHeading" w:type="paragraph">
    <w:name w:val="TOC Heading"/>
    <w:basedOn w:val="Normal"/>
    <w:pPr>
      <w:spacing w:after="120" w:before="0"/>
    </w:pPr>
    <w:rPr>
      <w:rFonts w:ascii="Calibri" w:cs="Calibri" w:eastAsia="Calibri" w:hAnsi="Calibri"/>
      <w:b/>
      <w:bCs/>
      <w:color w:val="003E74"/>
      <w:sz w:val="26"/>
      <w:szCs w:val="26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1" Target="media/rId51.png" /><Relationship Type="http://schemas.openxmlformats.org/officeDocument/2006/relationships/image" Id="rId55" Target="media/rId55.png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2026-03-24T08:31:22Z</dcterms:created>
  <dcterms:modified xsi:type="dcterms:W3CDTF">2026-03-24T08:31:22Z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  <property fmtid="{D5CDD505-2E9C-101B-9397-08002B2CF9AE}" pid="3" name="output">
    <vt:lpwstr/>
  </property>
</Properties>
</file>