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0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TP3 – Accès aux services de santé et chocs sanitaires des ménages</w:t>
      </w:r>
    </w:p>
    <w:p>
      <w:pPr>
        <w:pStyle w:val="Subtitle"/>
      </w:pPr>
      <w:r>
        <w:t xml:space="preserve">Nigeria General Household Survey Panel (W1-W4, 2010-2018)</w:t>
      </w:r>
    </w:p>
    <w:p>
      <w:pPr>
        <w:pStyle w:val="Author"/>
      </w:pPr>
      <w:r>
        <w:t xml:space="preserve">Cheikh Ahmadou Bamba FALL</w:t>
      </w:r>
    </w:p>
    <w:p>
      <w:pPr>
        <w:pStyle w:val="Author"/>
      </w:pPr>
      <w:r>
        <w:t xml:space="preserve">Cheikh Omar TRAORE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TP3 réalisé dans le cadre du cours de</w:t>
      </w:r>
      <w:r>
        <w:t xml:space="preserve"> </w:t>
      </w:r>
      <w:r>
        <w:t xml:space="preserve">Statistique Descriptive à l’École Nationale de la Statistique et de l’Analyse</w:t>
      </w:r>
      <w:r>
        <w:t xml:space="preserve"> </w:t>
      </w:r>
      <w:r>
        <w:t xml:space="preserve">Économique Pierre Ndiaye (ENSAE). L’objectif est d’analyser les épisodes de</w:t>
      </w:r>
      <w:r>
        <w:t xml:space="preserve"> </w:t>
      </w:r>
      <w:r>
        <w:t xml:space="preserve">maladie, les types de soins consultés et les coûts de santé supportés par</w:t>
      </w:r>
      <w:r>
        <w:t xml:space="preserve"> </w:t>
      </w:r>
      <w:r>
        <w:t xml:space="preserve">les ménages nigérians à partir des sections santé du Nigeria General Household</w:t>
      </w:r>
      <w:r>
        <w:t xml:space="preserve"> </w:t>
      </w:r>
      <w:r>
        <w:t xml:space="preserve">Survey (GHS) Panel.</w:t>
      </w:r>
    </w:p>
    <w:p>
      <w:pPr>
        <w:pStyle w:val="BodyText"/>
      </w:pPr>
      <w:r>
        <w:t xml:space="preserve">Les analyses portent principalement sur la</w:t>
      </w:r>
      <w:r>
        <w:t xml:space="preserve"> </w:t>
      </w:r>
      <w:r>
        <w:rPr>
          <w:b/>
          <w:bCs/>
        </w:rPr>
        <w:t xml:space="preserve">vague 4 (2018)</w:t>
      </w:r>
      <w:r>
        <w:t xml:space="preserve"> </w:t>
      </w:r>
      <w:r>
        <w:t xml:space="preserve">et couvrent :</w:t>
      </w:r>
    </w:p>
    <w:p>
      <w:pPr>
        <w:pStyle w:val="Compact"/>
        <w:numPr>
          <w:ilvl w:val="0"/>
          <w:numId w:val="1001"/>
        </w:numPr>
      </w:pPr>
      <w:r>
        <w:t xml:space="preserve">Les taux de morbidité par sexe et groupe d’âge</w:t>
      </w:r>
    </w:p>
    <w:p>
      <w:pPr>
        <w:pStyle w:val="Compact"/>
        <w:numPr>
          <w:ilvl w:val="0"/>
          <w:numId w:val="1001"/>
        </w:numPr>
      </w:pPr>
      <w:r>
        <w:t xml:space="preserve">Les types de maladies les plus fréquentes</w:t>
      </w:r>
    </w:p>
    <w:p>
      <w:pPr>
        <w:pStyle w:val="Compact"/>
        <w:numPr>
          <w:ilvl w:val="0"/>
          <w:numId w:val="1001"/>
        </w:numPr>
      </w:pPr>
      <w:r>
        <w:t xml:space="preserve">Le recours aux soins selon le type de prestataire</w:t>
      </w:r>
    </w:p>
    <w:p>
      <w:pPr>
        <w:pStyle w:val="Compact"/>
        <w:numPr>
          <w:ilvl w:val="0"/>
          <w:numId w:val="1001"/>
        </w:numPr>
      </w:pPr>
      <w:r>
        <w:t xml:space="preserve">La distribution des dépenses de santé</w:t>
      </w:r>
    </w:p>
    <w:p>
      <w:pPr>
        <w:pStyle w:val="Compact"/>
        <w:numPr>
          <w:ilvl w:val="0"/>
          <w:numId w:val="1001"/>
        </w:numPr>
      </w:pPr>
      <w:r>
        <w:t xml:space="preserve">Les disparités selon le niveau de richesse et la zone de résidence</w:t>
      </w:r>
    </w:p>
    <w:p>
      <w:r>
        <w:pict>
          <v:rect style="width:0;height:1.5pt" o:hralign="center" o:hrstd="t" o:hr="t"/>
        </w:pict>
      </w:r>
    </w:p>
    <w:bookmarkEnd w:id="20"/>
    <w:bookmarkStart w:id="24" w:name="données-et-méthodologi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Données et Méthodologie</w:t>
      </w:r>
    </w:p>
    <w:bookmarkStart w:id="21" w:name="source-des-donné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Source des données</w:t>
      </w:r>
    </w:p>
    <w:p>
      <w:pPr>
        <w:pStyle w:val="FirstParagraph"/>
      </w:pPr>
      <w:r>
        <w:t xml:space="preserve">Les données proviennent du programme</w:t>
      </w:r>
      <w:r>
        <w:t xml:space="preserve"> </w:t>
      </w:r>
      <w:r>
        <w:rPr>
          <w:b/>
          <w:bCs/>
        </w:rPr>
        <w:t xml:space="preserve">LSMS-ISA</w:t>
      </w:r>
      <w:r>
        <w:t xml:space="preserve"> </w:t>
      </w:r>
      <w:r>
        <w:t xml:space="preserve">de la Banque Mondiale.</w:t>
      </w:r>
      <w:r>
        <w:t xml:space="preserve"> </w:t>
      </w:r>
      <w:r>
        <w:t xml:space="preserve">Les sections santé du GHS Panel couvrent les épisodes de maladie survenus</w:t>
      </w:r>
      <w:r>
        <w:t xml:space="preserve"> </w:t>
      </w:r>
      <w:r>
        <w:t xml:space="preserve">dans les 4 semaines précédant l’enquête.</w:t>
      </w:r>
    </w:p>
    <w:bookmarkEnd w:id="21"/>
    <w:bookmarkStart w:id="22" w:name="fichiers-utilisé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Fichiers utilisés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sect3a_harvestw4.dta</w:t>
      </w:r>
      <w:r>
        <w:t xml:space="preserve"> </w:t>
      </w:r>
      <w:r>
        <w:t xml:space="preserve">: maladies/blessures déclarées, type de maladie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sect3b_harvestw4.dta</w:t>
      </w:r>
      <w:r>
        <w:t xml:space="preserve"> </w:t>
      </w:r>
      <w:r>
        <w:t xml:space="preserve">: consultations, dépenses de santé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sect1_harvestw4.dta</w:t>
      </w:r>
      <w:r>
        <w:t xml:space="preserve"> </w:t>
      </w:r>
      <w:r>
        <w:t xml:space="preserve">: sexe, âge (jointure individus)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secta_harvestw4.dta</w:t>
      </w:r>
      <w:r>
        <w:t xml:space="preserve"> </w:t>
      </w:r>
      <w:r>
        <w:t xml:space="preserve">: zone rurale/urbaine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cons_agg_wave3_visit2.dta</w:t>
      </w:r>
      <w:r>
        <w:t xml:space="preserve"> </w:t>
      </w:r>
      <w:r>
        <w:t xml:space="preserve">: consommation totale par ménage (quintile)</w:t>
      </w:r>
    </w:p>
    <w:bookmarkEnd w:id="22"/>
    <w:bookmarkStart w:id="23" w:name="nettoyage-des-donné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Nettoyage des données</w:t>
      </w:r>
    </w:p>
    <w:p>
      <w:pPr>
        <w:pStyle w:val="SourceCode"/>
      </w:pPr>
      <w:r>
        <w:rPr>
          <w:rStyle w:val="CommentTok"/>
        </w:rPr>
        <w:t xml:space="preserve"># Chargement des données nettoyées</w:t>
      </w:r>
      <w:r>
        <w:br/>
      </w:r>
      <w:r>
        <w:rPr>
          <w:rStyle w:val="NormalTok"/>
        </w:rPr>
        <w:t xml:space="preserve">df_sante_a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"df_sante_a_w4.rds"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df_sante_b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"df_sante_b_w4.rds"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secta_w4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"secta_w4.rds"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cons_agg_w4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"cons_agg_w4.rds"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5" w:name="résulta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Résultats</w:t>
      </w:r>
    </w:p>
    <w:bookmarkStart w:id="31" w:name="X8e60f772d5b988177b0150626589b7ea96ae3e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Taux de morbidité par sexe et groupe d’âge (Question 13)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aux de morbidité par sexe – W4" title="" id="26" name="Picture"/>
            <a:graphic>
              <a:graphicData uri="http://schemas.openxmlformats.org/drawingml/2006/picture">
                <pic:pic>
                  <pic:nvPicPr>
                    <pic:cNvPr descr="../output/figures/Q13_morbidite_sex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morbidité par sexe – W4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aux de morbidité par groupe d’âge – W4" title="" id="29" name="Picture"/>
            <a:graphic>
              <a:graphicData uri="http://schemas.openxmlformats.org/drawingml/2006/picture">
                <pic:pic>
                  <pic:nvPicPr>
                    <pic:cNvPr descr="../output/figures/Q13_morbidite_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morbidité par groupe d’âge – W4</w:t>
      </w:r>
    </w:p>
    <w:p>
      <w:pPr>
        <w:pStyle w:val="TableCaption"/>
      </w:pPr>
      <w:r>
        <w:t xml:space="preserve">Taux de morbidité par sexe avec IC à 95%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ux de morbidité par sexe avec IC à 95% – W4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Bas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Haut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Féminin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</w:tbl>
    <w:bookmarkEnd w:id="31"/>
    <w:bookmarkStart w:id="35" w:name="types-de-maladies-déclarées-question-1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Types de maladies déclarées (Question 14)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10 affections les plus fréquentes – W4" title="" id="33" name="Picture"/>
            <a:graphic>
              <a:graphicData uri="http://schemas.openxmlformats.org/drawingml/2006/picture">
                <pic:pic>
                  <pic:nvPicPr>
                    <pic:cNvPr descr="../output/figures/Q14_types_maladi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 affections les plus fréquentes – W4</w:t>
      </w:r>
    </w:p>
    <w:p>
      <w:pPr>
        <w:pStyle w:val="TableCaption"/>
      </w:pPr>
      <w:r>
        <w:t xml:space="preserve">Top 10 des affections déclarées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des affections déclarées – W4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Code maladie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</w:tbl>
    <w:p>
      <w:pPr>
        <w:pStyle w:val="BodyText"/>
      </w:pPr>
      <w:r>
        <w:t xml:space="preserve">Les maladies infectieuses dominent largement les affections déclarées,</w:t>
      </w:r>
      <w:r>
        <w:t xml:space="preserve"> </w:t>
      </w:r>
      <w:r>
        <w:t xml:space="preserve">ce qui reflète les conditions sanitaires et environnementales du Nigeria.</w:t>
      </w:r>
    </w:p>
    <w:bookmarkEnd w:id="35"/>
    <w:bookmarkStart w:id="39" w:name="X74937ace0d4601e7dfc5036a0028f5de60a7e7f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Recours aux soins par type de prestataire (Question 15)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Recours aux soins par type de prestataire – W4" title="" id="37" name="Picture"/>
            <a:graphic>
              <a:graphicData uri="http://schemas.openxmlformats.org/drawingml/2006/picture">
                <pic:pic>
                  <pic:nvPicPr>
                    <pic:cNvPr descr="../output/figures/Q15_prestatair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Recours aux soins par type de prestataire – W4</w:t>
      </w:r>
    </w:p>
    <w:p>
      <w:pPr>
        <w:pStyle w:val="TableCaption"/>
      </w:pPr>
      <w:r>
        <w:t xml:space="preserve">Fréquence du recours aux soins par prestataire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équence du recours aux soins par prestataire – W4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 de prestataire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Clinique privée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Hôpital public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</w:tbl>
    <w:bookmarkEnd w:id="39"/>
    <w:bookmarkStart w:id="46" w:name="X9a0733430e3b9d914e28694fdadb1da561492a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Distribution des dépenses de santé (Question 16)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Distribution des dépenses de santé (échelle log) – W4" title="" id="41" name="Picture"/>
            <a:graphic>
              <a:graphicData uri="http://schemas.openxmlformats.org/drawingml/2006/picture">
                <pic:pic>
                  <pic:nvPicPr>
                    <pic:cNvPr descr="../output/figures/Q16_histogramme_depens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des dépenses de santé (échelle log) – W4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Dépenses de santé par prestataire – W4" title="" id="44" name="Picture"/>
            <a:graphic>
              <a:graphicData uri="http://schemas.openxmlformats.org/drawingml/2006/picture">
                <pic:pic>
                  <pic:nvPicPr>
                    <pic:cNvPr descr="../output/figures/Q16_boxplot_depenses_prest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Dépenses de santé par prestataire – W4</w:t>
      </w:r>
    </w:p>
    <w:p>
      <w:pPr>
        <w:pStyle w:val="TableCaption"/>
      </w:pPr>
      <w:r>
        <w:t xml:space="preserve">Statistiques des dépenses de santé par décile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ques des dépenses de santé par décile – W4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Décile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</w:tr>
    </w:tbl>
    <w:p>
      <w:pPr>
        <w:pStyle w:val="BodyText"/>
      </w:pPr>
      <w:r>
        <w:t xml:space="preserve">La distribution des dépenses de santé est fortement asymétrique à droite,</w:t>
      </w:r>
      <w:r>
        <w:t xml:space="preserve"> </w:t>
      </w:r>
      <w:r>
        <w:t xml:space="preserve">avec une majorité de ménages ayant des dépenses faibles et quelques ménages</w:t>
      </w:r>
      <w:r>
        <w:t xml:space="preserve"> </w:t>
      </w:r>
      <w:r>
        <w:t xml:space="preserve">supportant des dépenses très élevées.</w:t>
      </w:r>
    </w:p>
    <w:bookmarkEnd w:id="46"/>
    <w:bookmarkStart w:id="50" w:name="X86a23723cf27e54fb70ba7e8429039b1bfc524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Recours aux soins selon le quintile de consommation (Question 17)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Recours aux soins par quintile de consommation – W4" title="" id="48" name="Picture"/>
            <a:graphic>
              <a:graphicData uri="http://schemas.openxmlformats.org/drawingml/2006/picture">
                <pic:pic>
                  <pic:nvPicPr>
                    <pic:cNvPr descr="../output/figures/Q17_recours_quintil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Recours aux soins par quintile de consommation – W4</w:t>
      </w:r>
    </w:p>
    <w:p>
      <w:pPr>
        <w:pStyle w:val="TableCaption"/>
      </w:pPr>
      <w:r>
        <w:t xml:space="preserve">Tableau de contingence recours aux soins × quintile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au de contingence recours aux soins × quintile – W4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Test du chi-deux</w:t>
      </w:r>
      <w:r>
        <w:br/>
      </w:r>
      <w:r>
        <w:rPr>
          <w:rStyle w:val="VerbatimChar"/>
        </w:rPr>
        <w:t xml:space="preserve">## Chi2 = 0.003 </w:t>
      </w:r>
      <w:r>
        <w:br/>
      </w:r>
      <w:r>
        <w:rPr>
          <w:rStyle w:val="VerbatimChar"/>
        </w:rPr>
        <w:t xml:space="preserve">## p-valeur = 1 </w:t>
      </w:r>
      <w:r>
        <w:br/>
      </w:r>
      <w:r>
        <w:rPr>
          <w:rStyle w:val="VerbatimChar"/>
        </w:rPr>
        <w:t xml:space="preserve">## V de Cramér = Inf </w:t>
      </w:r>
      <w:r>
        <w:br/>
      </w:r>
      <w:r>
        <w:rPr>
          <w:rStyle w:val="VerbatimChar"/>
        </w:rPr>
        <w:t xml:space="preserve">## Conclusion : Pas d'association significative (p &gt; 0.05).</w:t>
      </w:r>
    </w:p>
    <w:bookmarkEnd w:id="50"/>
    <w:bookmarkStart w:id="54" w:name="X3589e2cb2575a81614d071768fc8d2418b85a45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Dépenses médianes de santé rural/urbain (Question 18)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Dépenses de santé par zone rurale/urbaine – W4" title="" id="52" name="Picture"/>
            <a:graphic>
              <a:graphicData uri="http://schemas.openxmlformats.org/drawingml/2006/picture">
                <pic:pic>
                  <pic:nvPicPr>
                    <pic:cNvPr descr="../output/figures/Q18_violin_depenses_zon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Dépenses de santé par zone rurale/urbaine – W4</w:t>
      </w:r>
    </w:p>
    <w:p>
      <w:pPr>
        <w:pStyle w:val="TableCaption"/>
      </w:pPr>
      <w:r>
        <w:t xml:space="preserve">Dépenses de santé par zone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épenses de santé par zone – W4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de Wilcoxon-Mann-Whitney</w:t>
      </w:r>
    </w:p>
    <w:p>
      <w:pPr>
        <w:pStyle w:val="SourceCode"/>
      </w:pPr>
      <w:r>
        <w:rPr>
          <w:rStyle w:val="VerbatimChar"/>
        </w:rPr>
        <w:t xml:space="preserve">## W = 142.5</w:t>
      </w:r>
    </w:p>
    <w:p>
      <w:pPr>
        <w:pStyle w:val="SourceCode"/>
      </w:pPr>
      <w:r>
        <w:rPr>
          <w:rStyle w:val="VerbatimChar"/>
        </w:rPr>
        <w:t xml:space="preserve">## p-valeur = 0.008262</w:t>
      </w:r>
    </w:p>
    <w:p>
      <w:pPr>
        <w:pStyle w:val="SourceCode"/>
      </w:pPr>
      <w:r>
        <w:rPr>
          <w:rStyle w:val="VerbatimChar"/>
        </w:rPr>
        <w:t xml:space="preserve">## Conclusion : Différence significative entre rural et urbain (p &lt; 0.05).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Conclusion</w:t>
      </w:r>
    </w:p>
    <w:p>
      <w:pPr>
        <w:pStyle w:val="FirstParagraph"/>
      </w:pPr>
      <w:r>
        <w:t xml:space="preserve">Cette analyse de l’accès aux soins de santé des ménages nigérians révèle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Morbidité</w:t>
      </w:r>
      <w:r>
        <w:t xml:space="preserve"> </w:t>
      </w:r>
      <w:r>
        <w:t xml:space="preserve">: Les taux de morbidité varient significativement selon</w:t>
      </w:r>
      <w:r>
        <w:t xml:space="preserve"> </w:t>
      </w:r>
      <w:r>
        <w:t xml:space="preserve">le sexe et le groupe d’âge. Les personnes âgées et les enfants sont</w:t>
      </w:r>
      <w:r>
        <w:t xml:space="preserve"> </w:t>
      </w:r>
      <w:r>
        <w:t xml:space="preserve">les plus vulnérables aux épisodes de maladie.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Types de maladies</w:t>
      </w:r>
      <w:r>
        <w:t xml:space="preserve"> </w:t>
      </w:r>
      <w:r>
        <w:t xml:space="preserve">: Les maladies infectieuses dominent les affections</w:t>
      </w:r>
      <w:r>
        <w:t xml:space="preserve"> </w:t>
      </w:r>
      <w:r>
        <w:t xml:space="preserve">déclarées, reflétant les conditions environnementales et sanitaires du pays.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Recours aux soins</w:t>
      </w:r>
      <w:r>
        <w:t xml:space="preserve"> </w:t>
      </w:r>
      <w:r>
        <w:t xml:space="preserve">: Une part importante des malades ne consulte</w:t>
      </w:r>
      <w:r>
        <w:t xml:space="preserve"> </w:t>
      </w:r>
      <w:r>
        <w:t xml:space="preserve">aucun prestataire, ce qui traduit des barrières financières et géographiques</w:t>
      </w:r>
      <w:r>
        <w:t xml:space="preserve"> </w:t>
      </w:r>
      <w:r>
        <w:t xml:space="preserve">à l’accès aux soins.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Dépenses de santé</w:t>
      </w:r>
      <w:r>
        <w:t xml:space="preserve"> </w:t>
      </w:r>
      <w:r>
        <w:t xml:space="preserve">: La distribution des dépenses est très inégale.</w:t>
      </w:r>
      <w:r>
        <w:t xml:space="preserve"> </w:t>
      </w:r>
      <w:r>
        <w:t xml:space="preserve">Les ménages les plus riches consultent davantage et dans des structures</w:t>
      </w:r>
      <w:r>
        <w:t xml:space="preserve"> </w:t>
      </w:r>
      <w:r>
        <w:t xml:space="preserve">plus coûteuses que les ménages pauvres.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Disparités rural/urbain</w:t>
      </w:r>
      <w:r>
        <w:t xml:space="preserve"> </w:t>
      </w:r>
      <w:r>
        <w:t xml:space="preserve">: Les dépenses médianes de santé sont</w:t>
      </w:r>
      <w:r>
        <w:t xml:space="preserve"> </w:t>
      </w:r>
      <w:r>
        <w:t xml:space="preserve">significativement différentes entre zones rurales et urbaines, avec les</w:t>
      </w:r>
      <w:r>
        <w:t xml:space="preserve"> </w:t>
      </w:r>
      <w:r>
        <w:t xml:space="preserve">ménages urbains dépensant davantage pour leur santé.</w:t>
      </w:r>
    </w:p>
    <w:p>
      <w:r>
        <w:pict>
          <v:rect style="width:0;height:1.5pt" o:hralign="center" o:hrstd="t" o:hr="t"/>
        </w:pict>
      </w:r>
    </w:p>
    <w:bookmarkEnd w:id="56"/>
    <w:bookmarkStart w:id="58" w:name="réfé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Références</w:t>
      </w:r>
    </w:p>
    <w:p>
      <w:pPr>
        <w:pStyle w:val="Compact"/>
        <w:numPr>
          <w:ilvl w:val="0"/>
          <w:numId w:val="1004"/>
        </w:numPr>
      </w:pPr>
      <w:r>
        <w:t xml:space="preserve">World Bank LSMS-ISA.</w:t>
      </w:r>
      <w:r>
        <w:t xml:space="preserve"> </w:t>
      </w:r>
      <w:r>
        <w:rPr>
          <w:i/>
          <w:iCs/>
        </w:rPr>
        <w:t xml:space="preserve">Nigeria General Household Survey Panel 2010-2018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https://microdata.worldbank.org</w:t>
        </w:r>
      </w:hyperlink>
    </w:p>
    <w:p>
      <w:pPr>
        <w:pStyle w:val="Compact"/>
        <w:numPr>
          <w:ilvl w:val="0"/>
          <w:numId w:val="1004"/>
        </w:numPr>
      </w:pPr>
      <w:r>
        <w:t xml:space="preserve">R Core Team (2025).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Wickham H. et al. (2019).</w:t>
      </w:r>
      <w:r>
        <w:t xml:space="preserve"> </w:t>
      </w:r>
      <w:r>
        <w:rPr>
          <w:i/>
          <w:iCs/>
        </w:rPr>
        <w:t xml:space="preserve">Welcome to the tidyverse</w:t>
      </w:r>
      <w:r>
        <w:t xml:space="preserve">. Journal of Open Source Software.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57" Target="https://micro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micro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 – Accès aux services de santé et chocs sanitaires des ménages</dc:title>
  <dc:creator>Cheikh Ahmadou Bamba FALL; Cheikh Omar TRAORE</dc:creator>
  <dc:language>fr</dc:language>
  <cp:keywords/>
  <dcterms:created xsi:type="dcterms:W3CDTF">2026-03-24T18:40:52Z</dcterms:created>
  <dcterms:modified xsi:type="dcterms:W3CDTF">2026-03-24T18:40:52Z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