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CAE95" w14:textId="77777777" w:rsidR="00B7474B" w:rsidRPr="00B7474B" w:rsidRDefault="00B7474B" w:rsidP="00B74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7474B">
        <w:rPr>
          <w:rFonts w:ascii="Times New Roman" w:eastAsia="Times New Roman" w:hAnsi="Times New Roman" w:cs="Times New Roman"/>
          <w:b/>
          <w:bCs/>
          <w:kern w:val="36"/>
          <w:sz w:val="48"/>
          <w:szCs w:val="48"/>
          <w:lang w:eastAsia="fr-FR"/>
        </w:rPr>
        <w:t>Conventions colorimétriques thématiques pour analyses économiques</w:t>
      </w:r>
    </w:p>
    <w:p w14:paraId="29527295"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Référentiel pour les 10 TP — Nigeria GHS Panel (LSMS-ISA)</w:t>
      </w:r>
    </w:p>
    <w:p w14:paraId="5B02798C"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ENSAE ISE1 | Projet Statistique 2025-2026</w:t>
      </w:r>
      <w:r w:rsidRPr="00B7474B">
        <w:rPr>
          <w:rFonts w:ascii="Times New Roman" w:eastAsia="Times New Roman" w:hAnsi="Times New Roman" w:cs="Times New Roman"/>
          <w:sz w:val="24"/>
          <w:szCs w:val="24"/>
          <w:lang w:eastAsia="fr-FR"/>
        </w:rPr>
        <w:t xml:space="preserve"> Préparé à partir des guidelines visuelles de : World Bank DIME Analytics, FAO, UNICEF, UNFPA, IFPRI (Myanmar SSP RN-128, 2026), WHO, UN-Nutrition </w:t>
      </w:r>
      <w:proofErr w:type="spellStart"/>
      <w:r w:rsidRPr="00B7474B">
        <w:rPr>
          <w:rFonts w:ascii="Times New Roman" w:eastAsia="Times New Roman" w:hAnsi="Times New Roman" w:cs="Times New Roman"/>
          <w:sz w:val="24"/>
          <w:szCs w:val="24"/>
          <w:lang w:eastAsia="fr-FR"/>
        </w:rPr>
        <w:t>Decade</w:t>
      </w:r>
      <w:proofErr w:type="spellEnd"/>
    </w:p>
    <w:p w14:paraId="08FDCB4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07FEE935">
          <v:rect id="_x0000_i1025" style="width:0;height:1.5pt" o:hralign="center" o:hrstd="t" o:hr="t" fillcolor="#a0a0a0" stroked="f"/>
        </w:pict>
      </w:r>
    </w:p>
    <w:p w14:paraId="0B6C06FD"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Principe fondateur</w:t>
      </w:r>
    </w:p>
    <w:p w14:paraId="4A54C11F"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Les institutions de développement international n'utilisent pas des couleurs au hasard. Chaque grand domaine thématique possède une convention colorimétrique héritée des agences onusiennes et des institutions de Bretton Woods. Ces conventions servent deux objectifs : assurer la cohérence visuelle au sein d'une organisation, et permettre au lecteur de reconnaître instantanément le domaine traité. Le DIME Analytics de la Banque mondiale formule explicitement la règle : </w:t>
      </w:r>
      <w:r w:rsidRPr="00B7474B">
        <w:rPr>
          <w:rFonts w:ascii="Times New Roman" w:eastAsia="Times New Roman" w:hAnsi="Times New Roman" w:cs="Times New Roman"/>
          <w:i/>
          <w:iCs/>
          <w:sz w:val="24"/>
          <w:szCs w:val="24"/>
          <w:lang w:eastAsia="fr-FR"/>
        </w:rPr>
        <w:t xml:space="preserve">"Use intuitive </w:t>
      </w:r>
      <w:proofErr w:type="spellStart"/>
      <w:r w:rsidRPr="00B7474B">
        <w:rPr>
          <w:rFonts w:ascii="Times New Roman" w:eastAsia="Times New Roman" w:hAnsi="Times New Roman" w:cs="Times New Roman"/>
          <w:i/>
          <w:iCs/>
          <w:sz w:val="24"/>
          <w:szCs w:val="24"/>
          <w:lang w:eastAsia="fr-FR"/>
        </w:rPr>
        <w:t>colors</w:t>
      </w:r>
      <w:proofErr w:type="spellEnd"/>
      <w:r w:rsidRPr="00B7474B">
        <w:rPr>
          <w:rFonts w:ascii="Times New Roman" w:eastAsia="Times New Roman" w:hAnsi="Times New Roman" w:cs="Times New Roman"/>
          <w:i/>
          <w:iCs/>
          <w:sz w:val="24"/>
          <w:szCs w:val="24"/>
          <w:lang w:eastAsia="fr-FR"/>
        </w:rPr>
        <w:t xml:space="preserve"> : good </w:t>
      </w:r>
      <w:proofErr w:type="spellStart"/>
      <w:r w:rsidRPr="00B7474B">
        <w:rPr>
          <w:rFonts w:ascii="Times New Roman" w:eastAsia="Times New Roman" w:hAnsi="Times New Roman" w:cs="Times New Roman"/>
          <w:i/>
          <w:iCs/>
          <w:sz w:val="24"/>
          <w:szCs w:val="24"/>
          <w:lang w:eastAsia="fr-FR"/>
        </w:rPr>
        <w:t>is</w:t>
      </w:r>
      <w:proofErr w:type="spellEnd"/>
      <w:r w:rsidRPr="00B7474B">
        <w:rPr>
          <w:rFonts w:ascii="Times New Roman" w:eastAsia="Times New Roman" w:hAnsi="Times New Roman" w:cs="Times New Roman"/>
          <w:i/>
          <w:iCs/>
          <w:sz w:val="24"/>
          <w:szCs w:val="24"/>
          <w:lang w:eastAsia="fr-FR"/>
        </w:rPr>
        <w:t xml:space="preserve"> green, </w:t>
      </w:r>
      <w:proofErr w:type="spellStart"/>
      <w:r w:rsidRPr="00B7474B">
        <w:rPr>
          <w:rFonts w:ascii="Times New Roman" w:eastAsia="Times New Roman" w:hAnsi="Times New Roman" w:cs="Times New Roman"/>
          <w:i/>
          <w:iCs/>
          <w:sz w:val="24"/>
          <w:szCs w:val="24"/>
          <w:lang w:eastAsia="fr-FR"/>
        </w:rPr>
        <w:t>blue</w:t>
      </w:r>
      <w:proofErr w:type="spellEnd"/>
      <w:r w:rsidRPr="00B7474B">
        <w:rPr>
          <w:rFonts w:ascii="Times New Roman" w:eastAsia="Times New Roman" w:hAnsi="Times New Roman" w:cs="Times New Roman"/>
          <w:i/>
          <w:iCs/>
          <w:sz w:val="24"/>
          <w:szCs w:val="24"/>
          <w:lang w:eastAsia="fr-FR"/>
        </w:rPr>
        <w:t xml:space="preserve"> </w:t>
      </w:r>
      <w:proofErr w:type="spellStart"/>
      <w:r w:rsidRPr="00B7474B">
        <w:rPr>
          <w:rFonts w:ascii="Times New Roman" w:eastAsia="Times New Roman" w:hAnsi="Times New Roman" w:cs="Times New Roman"/>
          <w:i/>
          <w:iCs/>
          <w:sz w:val="24"/>
          <w:szCs w:val="24"/>
          <w:lang w:eastAsia="fr-FR"/>
        </w:rPr>
        <w:t>is</w:t>
      </w:r>
      <w:proofErr w:type="spellEnd"/>
      <w:r w:rsidRPr="00B7474B">
        <w:rPr>
          <w:rFonts w:ascii="Times New Roman" w:eastAsia="Times New Roman" w:hAnsi="Times New Roman" w:cs="Times New Roman"/>
          <w:i/>
          <w:iCs/>
          <w:sz w:val="24"/>
          <w:szCs w:val="24"/>
          <w:lang w:eastAsia="fr-FR"/>
        </w:rPr>
        <w:t xml:space="preserve"> water, </w:t>
      </w:r>
      <w:proofErr w:type="spellStart"/>
      <w:r w:rsidRPr="00B7474B">
        <w:rPr>
          <w:rFonts w:ascii="Times New Roman" w:eastAsia="Times New Roman" w:hAnsi="Times New Roman" w:cs="Times New Roman"/>
          <w:i/>
          <w:iCs/>
          <w:sz w:val="24"/>
          <w:szCs w:val="24"/>
          <w:lang w:eastAsia="fr-FR"/>
        </w:rPr>
        <w:t>darker</w:t>
      </w:r>
      <w:proofErr w:type="spellEnd"/>
      <w:r w:rsidRPr="00B7474B">
        <w:rPr>
          <w:rFonts w:ascii="Times New Roman" w:eastAsia="Times New Roman" w:hAnsi="Times New Roman" w:cs="Times New Roman"/>
          <w:i/>
          <w:iCs/>
          <w:sz w:val="24"/>
          <w:szCs w:val="24"/>
          <w:lang w:eastAsia="fr-FR"/>
        </w:rPr>
        <w:t xml:space="preserve"> </w:t>
      </w:r>
      <w:proofErr w:type="spellStart"/>
      <w:r w:rsidRPr="00B7474B">
        <w:rPr>
          <w:rFonts w:ascii="Times New Roman" w:eastAsia="Times New Roman" w:hAnsi="Times New Roman" w:cs="Times New Roman"/>
          <w:i/>
          <w:iCs/>
          <w:sz w:val="24"/>
          <w:szCs w:val="24"/>
          <w:lang w:eastAsia="fr-FR"/>
        </w:rPr>
        <w:t>shades</w:t>
      </w:r>
      <w:proofErr w:type="spellEnd"/>
      <w:r w:rsidRPr="00B7474B">
        <w:rPr>
          <w:rFonts w:ascii="Times New Roman" w:eastAsia="Times New Roman" w:hAnsi="Times New Roman" w:cs="Times New Roman"/>
          <w:i/>
          <w:iCs/>
          <w:sz w:val="24"/>
          <w:szCs w:val="24"/>
          <w:lang w:eastAsia="fr-FR"/>
        </w:rPr>
        <w:t xml:space="preserve"> are </w:t>
      </w:r>
      <w:proofErr w:type="spellStart"/>
      <w:r w:rsidRPr="00B7474B">
        <w:rPr>
          <w:rFonts w:ascii="Times New Roman" w:eastAsia="Times New Roman" w:hAnsi="Times New Roman" w:cs="Times New Roman"/>
          <w:i/>
          <w:iCs/>
          <w:sz w:val="24"/>
          <w:szCs w:val="24"/>
          <w:lang w:eastAsia="fr-FR"/>
        </w:rPr>
        <w:t>higher</w:t>
      </w:r>
      <w:proofErr w:type="spellEnd"/>
      <w:r w:rsidRPr="00B7474B">
        <w:rPr>
          <w:rFonts w:ascii="Times New Roman" w:eastAsia="Times New Roman" w:hAnsi="Times New Roman" w:cs="Times New Roman"/>
          <w:i/>
          <w:iCs/>
          <w:sz w:val="24"/>
          <w:szCs w:val="24"/>
          <w:lang w:eastAsia="fr-FR"/>
        </w:rPr>
        <w:t xml:space="preserve"> values"</w:t>
      </w:r>
      <w:r w:rsidRPr="00B7474B">
        <w:rPr>
          <w:rFonts w:ascii="Times New Roman" w:eastAsia="Times New Roman" w:hAnsi="Times New Roman" w:cs="Times New Roman"/>
          <w:sz w:val="24"/>
          <w:szCs w:val="24"/>
          <w:lang w:eastAsia="fr-FR"/>
        </w:rPr>
        <w:t xml:space="preserve"> (dimewiki.worldbank.org, 2021). L'IFPRI, comme le montre le </w:t>
      </w:r>
      <w:proofErr w:type="spellStart"/>
      <w:r w:rsidRPr="00B7474B">
        <w:rPr>
          <w:rFonts w:ascii="Times New Roman" w:eastAsia="Times New Roman" w:hAnsi="Times New Roman" w:cs="Times New Roman"/>
          <w:sz w:val="24"/>
          <w:szCs w:val="24"/>
          <w:lang w:eastAsia="fr-FR"/>
        </w:rPr>
        <w:t>Research</w:t>
      </w:r>
      <w:proofErr w:type="spellEnd"/>
      <w:r w:rsidRPr="00B7474B">
        <w:rPr>
          <w:rFonts w:ascii="Times New Roman" w:eastAsia="Times New Roman" w:hAnsi="Times New Roman" w:cs="Times New Roman"/>
          <w:sz w:val="24"/>
          <w:szCs w:val="24"/>
          <w:lang w:eastAsia="fr-FR"/>
        </w:rPr>
        <w:t xml:space="preserve"> Note 128 sur le Myanmar (van </w:t>
      </w:r>
      <w:proofErr w:type="spellStart"/>
      <w:r w:rsidRPr="00B7474B">
        <w:rPr>
          <w:rFonts w:ascii="Times New Roman" w:eastAsia="Times New Roman" w:hAnsi="Times New Roman" w:cs="Times New Roman"/>
          <w:sz w:val="24"/>
          <w:szCs w:val="24"/>
          <w:lang w:eastAsia="fr-FR"/>
        </w:rPr>
        <w:t>Asselt</w:t>
      </w:r>
      <w:proofErr w:type="spellEnd"/>
      <w:r w:rsidRPr="00B7474B">
        <w:rPr>
          <w:rFonts w:ascii="Times New Roman" w:eastAsia="Times New Roman" w:hAnsi="Times New Roman" w:cs="Times New Roman"/>
          <w:sz w:val="24"/>
          <w:szCs w:val="24"/>
          <w:lang w:eastAsia="fr-FR"/>
        </w:rPr>
        <w:t xml:space="preserve"> et al., 2026), utilise un vert vif (#6CC24A environ) comme couleur signature pour tout ce qui touche à la sécurité alimentaire et à l'agriculture. La Banque mondiale utilise le bleu électrique (#009FDA) et le bleu nuit (#002244) comme couleurs institutionnelles officielles (</w:t>
      </w:r>
      <w:proofErr w:type="spellStart"/>
      <w:r w:rsidRPr="00B7474B">
        <w:rPr>
          <w:rFonts w:ascii="Times New Roman" w:eastAsia="Times New Roman" w:hAnsi="Times New Roman" w:cs="Times New Roman"/>
          <w:sz w:val="24"/>
          <w:szCs w:val="24"/>
          <w:lang w:eastAsia="fr-FR"/>
        </w:rPr>
        <w:t>Branding</w:t>
      </w:r>
      <w:proofErr w:type="spellEnd"/>
      <w:r w:rsidRPr="00B7474B">
        <w:rPr>
          <w:rFonts w:ascii="Times New Roman" w:eastAsia="Times New Roman" w:hAnsi="Times New Roman" w:cs="Times New Roman"/>
          <w:sz w:val="24"/>
          <w:szCs w:val="24"/>
          <w:lang w:eastAsia="fr-FR"/>
        </w:rPr>
        <w:t xml:space="preserve"> and Visual Identity Guidelines, novembre 2017). UNICEF utilise le cyan (#1CABE2) pour tout ce qui touche aux enfants, à la nutrition infantile et à l'éducation (UNICEF Brand Book, v3.1).</w:t>
      </w:r>
    </w:p>
    <w:p w14:paraId="3081985B"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Ce document établit les palettes à utiliser pour chacun des 10 TP, cohérentes avec ces standards, adaptées au contexte nigérian, et implémentables directement dans </w:t>
      </w:r>
      <w:proofErr w:type="spellStart"/>
      <w:r w:rsidRPr="00B7474B">
        <w:rPr>
          <w:rFonts w:ascii="Courier New" w:eastAsia="Times New Roman" w:hAnsi="Courier New" w:cs="Courier New"/>
          <w:sz w:val="20"/>
          <w:szCs w:val="20"/>
          <w:lang w:eastAsia="fr-FR"/>
        </w:rPr>
        <w:t>theme_ensae.R</w:t>
      </w:r>
      <w:proofErr w:type="spellEnd"/>
      <w:r w:rsidRPr="00B7474B">
        <w:rPr>
          <w:rFonts w:ascii="Times New Roman" w:eastAsia="Times New Roman" w:hAnsi="Times New Roman" w:cs="Times New Roman"/>
          <w:sz w:val="24"/>
          <w:szCs w:val="24"/>
          <w:lang w:eastAsia="fr-FR"/>
        </w:rPr>
        <w:t>.</w:t>
      </w:r>
    </w:p>
    <w:p w14:paraId="76BEA99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59453D4A">
          <v:rect id="_x0000_i1026" style="width:0;height:1.5pt" o:hralign="center" o:hrstd="t" o:hr="t" fillcolor="#a0a0a0" stroked="f"/>
        </w:pict>
      </w:r>
    </w:p>
    <w:p w14:paraId="0B7CA0C2"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1 — Profil démographique des ménages</w:t>
      </w:r>
    </w:p>
    <w:p w14:paraId="472FEE0B"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 xml:space="preserve">Couleur dominante : Bleu </w:t>
      </w:r>
      <w:proofErr w:type="gramStart"/>
      <w:r w:rsidRPr="00B7474B">
        <w:rPr>
          <w:rFonts w:ascii="Times New Roman" w:eastAsia="Times New Roman" w:hAnsi="Times New Roman" w:cs="Times New Roman"/>
          <w:b/>
          <w:bCs/>
          <w:sz w:val="24"/>
          <w:szCs w:val="24"/>
          <w:lang w:eastAsia="fr-FR"/>
        </w:rPr>
        <w:t>ardoise institutionnel</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386"/>
        <w:gridCol w:w="901"/>
        <w:gridCol w:w="5575"/>
      </w:tblGrid>
      <w:tr w:rsidR="00B7474B" w:rsidRPr="00B7474B" w14:paraId="3C8F41CB" w14:textId="77777777" w:rsidTr="00B7474B">
        <w:trPr>
          <w:tblHeader/>
          <w:tblCellSpacing w:w="15" w:type="dxa"/>
        </w:trPr>
        <w:tc>
          <w:tcPr>
            <w:tcW w:w="0" w:type="auto"/>
            <w:vAlign w:val="center"/>
            <w:hideMark/>
          </w:tcPr>
          <w:p w14:paraId="14CC0559"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71F5E9A4"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02112F45"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684F12C0"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77FB0ADB" w14:textId="77777777" w:rsidTr="00B7474B">
        <w:trPr>
          <w:tblCellSpacing w:w="15" w:type="dxa"/>
        </w:trPr>
        <w:tc>
          <w:tcPr>
            <w:tcW w:w="0" w:type="auto"/>
            <w:vAlign w:val="center"/>
            <w:hideMark/>
          </w:tcPr>
          <w:p w14:paraId="5EDBE4C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34E3C26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UNICEF</w:t>
            </w:r>
          </w:p>
        </w:tc>
        <w:tc>
          <w:tcPr>
            <w:tcW w:w="0" w:type="auto"/>
            <w:vAlign w:val="center"/>
            <w:hideMark/>
          </w:tcPr>
          <w:p w14:paraId="20A6317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#1CABE2</w:t>
            </w:r>
          </w:p>
        </w:tc>
        <w:tc>
          <w:tcPr>
            <w:tcW w:w="0" w:type="auto"/>
            <w:vAlign w:val="center"/>
            <w:hideMark/>
          </w:tcPr>
          <w:p w14:paraId="22C4EE6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UNICEF est l'agence onusienne de référence sur la démographie des ménages et les structures familiales. Son cyan est la couleur universelle des études de population.</w:t>
            </w:r>
          </w:p>
        </w:tc>
      </w:tr>
      <w:tr w:rsidR="00B7474B" w:rsidRPr="00B7474B" w14:paraId="226FEBCD" w14:textId="77777777" w:rsidTr="00B7474B">
        <w:trPr>
          <w:tblCellSpacing w:w="15" w:type="dxa"/>
        </w:trPr>
        <w:tc>
          <w:tcPr>
            <w:tcW w:w="0" w:type="auto"/>
            <w:vAlign w:val="center"/>
            <w:hideMark/>
          </w:tcPr>
          <w:p w14:paraId="74DC762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Secondaire</w:t>
            </w:r>
          </w:p>
        </w:tc>
        <w:tc>
          <w:tcPr>
            <w:tcW w:w="0" w:type="auto"/>
            <w:vAlign w:val="center"/>
            <w:hideMark/>
          </w:tcPr>
          <w:p w14:paraId="48ADCD7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nuit</w:t>
            </w:r>
          </w:p>
        </w:tc>
        <w:tc>
          <w:tcPr>
            <w:tcW w:w="0" w:type="auto"/>
            <w:vAlign w:val="center"/>
            <w:hideMark/>
          </w:tcPr>
          <w:p w14:paraId="4EAF846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#374EA2</w:t>
            </w:r>
          </w:p>
        </w:tc>
        <w:tc>
          <w:tcPr>
            <w:tcW w:w="0" w:type="auto"/>
            <w:vAlign w:val="center"/>
            <w:hideMark/>
          </w:tcPr>
          <w:p w14:paraId="3E7826A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Utilisé par UNICEF pour les données adultes/chef de ménage.</w:t>
            </w:r>
          </w:p>
        </w:tc>
      </w:tr>
      <w:tr w:rsidR="00B7474B" w:rsidRPr="00B7474B" w14:paraId="380B8491" w14:textId="77777777" w:rsidTr="00B7474B">
        <w:trPr>
          <w:tblCellSpacing w:w="15" w:type="dxa"/>
        </w:trPr>
        <w:tc>
          <w:tcPr>
            <w:tcW w:w="0" w:type="auto"/>
            <w:vAlign w:val="center"/>
            <w:hideMark/>
          </w:tcPr>
          <w:p w14:paraId="3AB5D91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lastRenderedPageBreak/>
              <w:t>Accent M/F</w:t>
            </w:r>
          </w:p>
        </w:tc>
        <w:tc>
          <w:tcPr>
            <w:tcW w:w="0" w:type="auto"/>
            <w:vAlign w:val="center"/>
            <w:hideMark/>
          </w:tcPr>
          <w:p w14:paraId="6D56E58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homme</w:t>
            </w:r>
          </w:p>
        </w:tc>
        <w:tc>
          <w:tcPr>
            <w:tcW w:w="0" w:type="auto"/>
            <w:vAlign w:val="center"/>
            <w:hideMark/>
          </w:tcPr>
          <w:p w14:paraId="39AF7A0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#0058AB</w:t>
            </w:r>
          </w:p>
        </w:tc>
        <w:tc>
          <w:tcPr>
            <w:tcW w:w="0" w:type="auto"/>
            <w:vAlign w:val="center"/>
            <w:hideMark/>
          </w:tcPr>
          <w:p w14:paraId="1BE840D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Convention internationale : bleu = hommes dans les pyramides des âges (WHO, HMD).</w:t>
            </w:r>
          </w:p>
        </w:tc>
      </w:tr>
      <w:tr w:rsidR="00B7474B" w:rsidRPr="00B7474B" w14:paraId="42832B7D" w14:textId="77777777" w:rsidTr="00B7474B">
        <w:trPr>
          <w:tblCellSpacing w:w="15" w:type="dxa"/>
        </w:trPr>
        <w:tc>
          <w:tcPr>
            <w:tcW w:w="0" w:type="auto"/>
            <w:vAlign w:val="center"/>
            <w:hideMark/>
          </w:tcPr>
          <w:p w14:paraId="2CE9851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Accent M/F</w:t>
            </w:r>
          </w:p>
        </w:tc>
        <w:tc>
          <w:tcPr>
            <w:tcW w:w="0" w:type="auto"/>
            <w:vAlign w:val="center"/>
            <w:hideMark/>
          </w:tcPr>
          <w:p w14:paraId="15A2C79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Rose/Corail femme</w:t>
            </w:r>
          </w:p>
        </w:tc>
        <w:tc>
          <w:tcPr>
            <w:tcW w:w="0" w:type="auto"/>
            <w:vAlign w:val="center"/>
            <w:hideMark/>
          </w:tcPr>
          <w:p w14:paraId="20CF298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#E8416F</w:t>
            </w:r>
          </w:p>
        </w:tc>
        <w:tc>
          <w:tcPr>
            <w:tcW w:w="0" w:type="auto"/>
            <w:vAlign w:val="center"/>
            <w:hideMark/>
          </w:tcPr>
          <w:p w14:paraId="46799CD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Convention internationale : rose/rouge = femmes dans les pyramides des âges.</w:t>
            </w:r>
          </w:p>
        </w:tc>
      </w:tr>
      <w:tr w:rsidR="00B7474B" w:rsidRPr="00B7474B" w14:paraId="78619F42" w14:textId="77777777" w:rsidTr="00B7474B">
        <w:trPr>
          <w:tblCellSpacing w:w="15" w:type="dxa"/>
        </w:trPr>
        <w:tc>
          <w:tcPr>
            <w:tcW w:w="0" w:type="auto"/>
            <w:vAlign w:val="center"/>
            <w:hideMark/>
          </w:tcPr>
          <w:p w14:paraId="3D28418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Rural</w:t>
            </w:r>
          </w:p>
        </w:tc>
        <w:tc>
          <w:tcPr>
            <w:tcW w:w="0" w:type="auto"/>
            <w:vAlign w:val="center"/>
            <w:hideMark/>
          </w:tcPr>
          <w:p w14:paraId="4C66160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sauge</w:t>
            </w:r>
          </w:p>
        </w:tc>
        <w:tc>
          <w:tcPr>
            <w:tcW w:w="0" w:type="auto"/>
            <w:vAlign w:val="center"/>
            <w:hideMark/>
          </w:tcPr>
          <w:p w14:paraId="036809C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#80BD41</w:t>
            </w:r>
          </w:p>
        </w:tc>
        <w:tc>
          <w:tcPr>
            <w:tcW w:w="0" w:type="auto"/>
            <w:vAlign w:val="center"/>
            <w:hideMark/>
          </w:tcPr>
          <w:p w14:paraId="494BB4B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 rural/agriculture dans les conventions FAO/IFPRI.</w:t>
            </w:r>
          </w:p>
        </w:tc>
      </w:tr>
      <w:tr w:rsidR="00B7474B" w:rsidRPr="00B7474B" w14:paraId="66CA8846" w14:textId="77777777" w:rsidTr="00B7474B">
        <w:trPr>
          <w:tblCellSpacing w:w="15" w:type="dxa"/>
        </w:trPr>
        <w:tc>
          <w:tcPr>
            <w:tcW w:w="0" w:type="auto"/>
            <w:vAlign w:val="center"/>
            <w:hideMark/>
          </w:tcPr>
          <w:p w14:paraId="542796B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Urbain</w:t>
            </w:r>
          </w:p>
        </w:tc>
        <w:tc>
          <w:tcPr>
            <w:tcW w:w="0" w:type="auto"/>
            <w:vAlign w:val="center"/>
            <w:hideMark/>
          </w:tcPr>
          <w:p w14:paraId="0DCCFDE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Gris ardoise</w:t>
            </w:r>
          </w:p>
        </w:tc>
        <w:tc>
          <w:tcPr>
            <w:tcW w:w="0" w:type="auto"/>
            <w:vAlign w:val="center"/>
            <w:hideMark/>
          </w:tcPr>
          <w:p w14:paraId="0C35A5E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#6C757D</w:t>
            </w:r>
          </w:p>
        </w:tc>
        <w:tc>
          <w:tcPr>
            <w:tcW w:w="0" w:type="auto"/>
            <w:vAlign w:val="center"/>
            <w:hideMark/>
          </w:tcPr>
          <w:p w14:paraId="012AECC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Gris = urbain/infrastructures dans les rapports HABITAT.</w:t>
            </w:r>
          </w:p>
        </w:tc>
      </w:tr>
    </w:tbl>
    <w:p w14:paraId="02DADA8C"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pyramide des âges (bleu/rose obligatoires), </w:t>
      </w:r>
      <w:proofErr w:type="spellStart"/>
      <w:r w:rsidRPr="00B7474B">
        <w:rPr>
          <w:rFonts w:ascii="Times New Roman" w:eastAsia="Times New Roman" w:hAnsi="Times New Roman" w:cs="Times New Roman"/>
          <w:sz w:val="24"/>
          <w:szCs w:val="24"/>
          <w:lang w:eastAsia="fr-FR"/>
        </w:rPr>
        <w:t>boxplots</w:t>
      </w:r>
      <w:proofErr w:type="spellEnd"/>
      <w:r w:rsidRPr="00B7474B">
        <w:rPr>
          <w:rFonts w:ascii="Times New Roman" w:eastAsia="Times New Roman" w:hAnsi="Times New Roman" w:cs="Times New Roman"/>
          <w:sz w:val="24"/>
          <w:szCs w:val="24"/>
          <w:lang w:eastAsia="fr-FR"/>
        </w:rPr>
        <w:t xml:space="preserve"> taille des ménages (rural/urbain en vert/gris),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liens de parenté (palette séquentielle bleu), tableau </w:t>
      </w:r>
      <w:proofErr w:type="spellStart"/>
      <w:r w:rsidRPr="00B7474B">
        <w:rPr>
          <w:rFonts w:ascii="Times New Roman" w:eastAsia="Times New Roman" w:hAnsi="Times New Roman" w:cs="Times New Roman"/>
          <w:sz w:val="24"/>
          <w:szCs w:val="24"/>
          <w:lang w:eastAsia="fr-FR"/>
        </w:rPr>
        <w:t>gtsummary</w:t>
      </w:r>
      <w:proofErr w:type="spellEnd"/>
      <w:r w:rsidRPr="00B7474B">
        <w:rPr>
          <w:rFonts w:ascii="Times New Roman" w:eastAsia="Times New Roman" w:hAnsi="Times New Roman" w:cs="Times New Roman"/>
          <w:sz w:val="24"/>
          <w:szCs w:val="24"/>
          <w:lang w:eastAsia="fr-FR"/>
        </w:rPr>
        <w:t xml:space="preserve"> (header bleu UNICEF).</w:t>
      </w:r>
    </w:p>
    <w:p w14:paraId="20FEE821"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la structure par âge et sexe d'une population, la composition des ménages, les disparités résidentielles en termes de taille et de composition familiale.</w:t>
      </w:r>
    </w:p>
    <w:p w14:paraId="6E1C077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504D3213">
          <v:rect id="_x0000_i1027" style="width:0;height:1.5pt" o:hralign="center" o:hrstd="t" o:hr="t" fillcolor="#a0a0a0" stroked="f"/>
        </w:pict>
      </w:r>
    </w:p>
    <w:p w14:paraId="44574A07"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2 — Éducation et alphabétisation</w:t>
      </w:r>
    </w:p>
    <w:p w14:paraId="63BFDAAA"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Couleur dominante : Violet/Indigo — capital humain et connaissance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185"/>
        <w:gridCol w:w="901"/>
        <w:gridCol w:w="5798"/>
      </w:tblGrid>
      <w:tr w:rsidR="00B7474B" w:rsidRPr="00B7474B" w14:paraId="232434E8" w14:textId="77777777" w:rsidTr="00B7474B">
        <w:trPr>
          <w:tblHeader/>
          <w:tblCellSpacing w:w="15" w:type="dxa"/>
        </w:trPr>
        <w:tc>
          <w:tcPr>
            <w:tcW w:w="0" w:type="auto"/>
            <w:vAlign w:val="center"/>
            <w:hideMark/>
          </w:tcPr>
          <w:p w14:paraId="523489B8"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44942924"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02FB26FE"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78139ABD"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3025742F" w14:textId="77777777" w:rsidTr="00B7474B">
        <w:trPr>
          <w:tblCellSpacing w:w="15" w:type="dxa"/>
        </w:trPr>
        <w:tc>
          <w:tcPr>
            <w:tcW w:w="0" w:type="auto"/>
            <w:vAlign w:val="center"/>
            <w:hideMark/>
          </w:tcPr>
          <w:p w14:paraId="3F0E769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28E804D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Violet UNESCO</w:t>
            </w:r>
          </w:p>
        </w:tc>
        <w:tc>
          <w:tcPr>
            <w:tcW w:w="0" w:type="auto"/>
            <w:vAlign w:val="center"/>
            <w:hideMark/>
          </w:tcPr>
          <w:p w14:paraId="680EE70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#5C2D91</w:t>
            </w:r>
          </w:p>
        </w:tc>
        <w:tc>
          <w:tcPr>
            <w:tcW w:w="0" w:type="auto"/>
            <w:vAlign w:val="center"/>
            <w:hideMark/>
          </w:tcPr>
          <w:p w14:paraId="1EC2BEF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UNESCO, agence onusienne dédiée à l'éducation, utilise le violet comme couleur institutionnelle principale. Cette convention est reprise dans tous les rapports EFA (Education for All) et SDG4.</w:t>
            </w:r>
          </w:p>
        </w:tc>
      </w:tr>
      <w:tr w:rsidR="00B7474B" w:rsidRPr="00B7474B" w14:paraId="18D2449A" w14:textId="77777777" w:rsidTr="00B7474B">
        <w:trPr>
          <w:tblCellSpacing w:w="15" w:type="dxa"/>
        </w:trPr>
        <w:tc>
          <w:tcPr>
            <w:tcW w:w="0" w:type="auto"/>
            <w:vAlign w:val="center"/>
            <w:hideMark/>
          </w:tcPr>
          <w:p w14:paraId="27E6F01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Secondaire</w:t>
            </w:r>
          </w:p>
        </w:tc>
        <w:tc>
          <w:tcPr>
            <w:tcW w:w="0" w:type="auto"/>
            <w:vAlign w:val="center"/>
            <w:hideMark/>
          </w:tcPr>
          <w:p w14:paraId="6196557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Lavande</w:t>
            </w:r>
          </w:p>
        </w:tc>
        <w:tc>
          <w:tcPr>
            <w:tcW w:w="0" w:type="auto"/>
            <w:vAlign w:val="center"/>
            <w:hideMark/>
          </w:tcPr>
          <w:p w14:paraId="5F5A64C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#9B59B6</w:t>
            </w:r>
          </w:p>
        </w:tc>
        <w:tc>
          <w:tcPr>
            <w:tcW w:w="0" w:type="auto"/>
            <w:vAlign w:val="center"/>
            <w:hideMark/>
          </w:tcPr>
          <w:p w14:paraId="29D9850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Niveau intermédiaire de la palette séquentielle éducation.</w:t>
            </w:r>
          </w:p>
        </w:tc>
      </w:tr>
      <w:tr w:rsidR="00B7474B" w:rsidRPr="00B7474B" w14:paraId="25953D93" w14:textId="77777777" w:rsidTr="00B7474B">
        <w:trPr>
          <w:tblCellSpacing w:w="15" w:type="dxa"/>
        </w:trPr>
        <w:tc>
          <w:tcPr>
            <w:tcW w:w="0" w:type="auto"/>
            <w:vAlign w:val="center"/>
            <w:hideMark/>
          </w:tcPr>
          <w:p w14:paraId="559E8B9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Accent</w:t>
            </w:r>
          </w:p>
        </w:tc>
        <w:tc>
          <w:tcPr>
            <w:tcW w:w="0" w:type="auto"/>
            <w:vAlign w:val="center"/>
            <w:hideMark/>
          </w:tcPr>
          <w:p w14:paraId="3E5E93F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Indigo</w:t>
            </w:r>
          </w:p>
        </w:tc>
        <w:tc>
          <w:tcPr>
            <w:tcW w:w="0" w:type="auto"/>
            <w:vAlign w:val="center"/>
            <w:hideMark/>
          </w:tcPr>
          <w:p w14:paraId="4D5F890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#3D3B8E</w:t>
            </w:r>
          </w:p>
        </w:tc>
        <w:tc>
          <w:tcPr>
            <w:tcW w:w="0" w:type="auto"/>
            <w:vAlign w:val="center"/>
            <w:hideMark/>
          </w:tcPr>
          <w:p w14:paraId="6519B08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Pour les niveaux d'éducation tertiaire (plus foncé = plus élevé).</w:t>
            </w:r>
          </w:p>
        </w:tc>
      </w:tr>
      <w:tr w:rsidR="00B7474B" w:rsidRPr="00B7474B" w14:paraId="41E13F19" w14:textId="77777777" w:rsidTr="00B7474B">
        <w:trPr>
          <w:tblCellSpacing w:w="15" w:type="dxa"/>
        </w:trPr>
        <w:tc>
          <w:tcPr>
            <w:tcW w:w="0" w:type="auto"/>
            <w:vAlign w:val="center"/>
            <w:hideMark/>
          </w:tcPr>
          <w:p w14:paraId="6967FBC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Faible</w:t>
            </w:r>
          </w:p>
        </w:tc>
        <w:tc>
          <w:tcPr>
            <w:tcW w:w="0" w:type="auto"/>
            <w:vAlign w:val="center"/>
            <w:hideMark/>
          </w:tcPr>
          <w:p w14:paraId="5532F72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Lilas clair</w:t>
            </w:r>
          </w:p>
        </w:tc>
        <w:tc>
          <w:tcPr>
            <w:tcW w:w="0" w:type="auto"/>
            <w:vAlign w:val="center"/>
            <w:hideMark/>
          </w:tcPr>
          <w:p w14:paraId="1F4088A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#D7BDE2</w:t>
            </w:r>
          </w:p>
        </w:tc>
        <w:tc>
          <w:tcPr>
            <w:tcW w:w="0" w:type="auto"/>
            <w:vAlign w:val="center"/>
            <w:hideMark/>
          </w:tcPr>
          <w:p w14:paraId="09C767A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Pour aucun niveau d'instruction (valeur basse de l'échelle séquentielle).</w:t>
            </w:r>
          </w:p>
        </w:tc>
      </w:tr>
      <w:tr w:rsidR="00B7474B" w:rsidRPr="00B7474B" w14:paraId="5077DD11" w14:textId="77777777" w:rsidTr="00B7474B">
        <w:trPr>
          <w:tblCellSpacing w:w="15" w:type="dxa"/>
        </w:trPr>
        <w:tc>
          <w:tcPr>
            <w:tcW w:w="0" w:type="auto"/>
            <w:vAlign w:val="center"/>
            <w:hideMark/>
          </w:tcPr>
          <w:p w14:paraId="793E877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Sexe F</w:t>
            </w:r>
          </w:p>
        </w:tc>
        <w:tc>
          <w:tcPr>
            <w:tcW w:w="0" w:type="auto"/>
            <w:vAlign w:val="center"/>
            <w:hideMark/>
          </w:tcPr>
          <w:p w14:paraId="6EDF8A7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Magenta</w:t>
            </w:r>
          </w:p>
        </w:tc>
        <w:tc>
          <w:tcPr>
            <w:tcW w:w="0" w:type="auto"/>
            <w:vAlign w:val="center"/>
            <w:hideMark/>
          </w:tcPr>
          <w:p w14:paraId="10D0C85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#C0392B</w:t>
            </w:r>
          </w:p>
        </w:tc>
        <w:tc>
          <w:tcPr>
            <w:tcW w:w="0" w:type="auto"/>
            <w:vAlign w:val="center"/>
            <w:hideMark/>
          </w:tcPr>
          <w:p w14:paraId="34A2468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Écart de genre en éducation : le rouge/magenta signale une inégalité critique (convention UNGEI).</w:t>
            </w:r>
          </w:p>
        </w:tc>
      </w:tr>
      <w:tr w:rsidR="00B7474B" w:rsidRPr="00B7474B" w14:paraId="58A6B847" w14:textId="77777777" w:rsidTr="00B7474B">
        <w:trPr>
          <w:tblCellSpacing w:w="15" w:type="dxa"/>
        </w:trPr>
        <w:tc>
          <w:tcPr>
            <w:tcW w:w="0" w:type="auto"/>
            <w:vAlign w:val="center"/>
            <w:hideMark/>
          </w:tcPr>
          <w:p w14:paraId="2168A7F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Fond</w:t>
            </w:r>
          </w:p>
        </w:tc>
        <w:tc>
          <w:tcPr>
            <w:tcW w:w="0" w:type="auto"/>
            <w:vAlign w:val="center"/>
            <w:hideMark/>
          </w:tcPr>
          <w:p w14:paraId="4700CA4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Blanc cassé</w:t>
            </w:r>
          </w:p>
        </w:tc>
        <w:tc>
          <w:tcPr>
            <w:tcW w:w="0" w:type="auto"/>
            <w:vAlign w:val="center"/>
            <w:hideMark/>
          </w:tcPr>
          <w:p w14:paraId="045D094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#FDFEFE</w:t>
            </w:r>
          </w:p>
        </w:tc>
        <w:tc>
          <w:tcPr>
            <w:tcW w:w="0" w:type="auto"/>
            <w:vAlign w:val="center"/>
            <w:hideMark/>
          </w:tcPr>
          <w:p w14:paraId="003A539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Pour la lisibilité des </w:t>
            </w:r>
            <w:proofErr w:type="spellStart"/>
            <w:r w:rsidRPr="00B7474B">
              <w:rPr>
                <w:rFonts w:ascii="Times New Roman" w:eastAsia="Times New Roman" w:hAnsi="Times New Roman" w:cs="Times New Roman"/>
                <w:sz w:val="24"/>
                <w:szCs w:val="24"/>
                <w:lang w:eastAsia="fr-FR"/>
              </w:rPr>
              <w:t>heatmaps</w:t>
            </w:r>
            <w:proofErr w:type="spellEnd"/>
            <w:r w:rsidRPr="00B7474B">
              <w:rPr>
                <w:rFonts w:ascii="Times New Roman" w:eastAsia="Times New Roman" w:hAnsi="Times New Roman" w:cs="Times New Roman"/>
                <w:sz w:val="24"/>
                <w:szCs w:val="24"/>
                <w:lang w:eastAsia="fr-FR"/>
              </w:rPr>
              <w:t xml:space="preserve"> par État.</w:t>
            </w:r>
          </w:p>
        </w:tc>
      </w:tr>
    </w:tbl>
    <w:p w14:paraId="0EF85A82"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100% empilés niveau d'éducation par sexe (palette séquentielle violet clair → foncé), </w:t>
      </w:r>
      <w:proofErr w:type="spellStart"/>
      <w:r w:rsidRPr="00B7474B">
        <w:rPr>
          <w:rFonts w:ascii="Times New Roman" w:eastAsia="Times New Roman" w:hAnsi="Times New Roman" w:cs="Times New Roman"/>
          <w:sz w:val="24"/>
          <w:szCs w:val="24"/>
          <w:lang w:eastAsia="fr-FR"/>
        </w:rPr>
        <w:t>heatmap</w:t>
      </w:r>
      <w:proofErr w:type="spellEnd"/>
      <w:r w:rsidRPr="00B7474B">
        <w:rPr>
          <w:rFonts w:ascii="Times New Roman" w:eastAsia="Times New Roman" w:hAnsi="Times New Roman" w:cs="Times New Roman"/>
          <w:sz w:val="24"/>
          <w:szCs w:val="24"/>
          <w:lang w:eastAsia="fr-FR"/>
        </w:rPr>
        <w:t xml:space="preserve"> États × alphabétisation (séquentielle blanc → violet foncé), </w:t>
      </w:r>
      <w:proofErr w:type="spellStart"/>
      <w:r w:rsidRPr="00B7474B">
        <w:rPr>
          <w:rFonts w:ascii="Times New Roman" w:eastAsia="Times New Roman" w:hAnsi="Times New Roman" w:cs="Times New Roman"/>
          <w:sz w:val="24"/>
          <w:szCs w:val="24"/>
          <w:lang w:eastAsia="fr-FR"/>
        </w:rPr>
        <w:t>boxplots</w:t>
      </w:r>
      <w:proofErr w:type="spellEnd"/>
      <w:r w:rsidRPr="00B7474B">
        <w:rPr>
          <w:rFonts w:ascii="Times New Roman" w:eastAsia="Times New Roman" w:hAnsi="Times New Roman" w:cs="Times New Roman"/>
          <w:sz w:val="24"/>
          <w:szCs w:val="24"/>
          <w:lang w:eastAsia="fr-FR"/>
        </w:rPr>
        <w:t xml:space="preserve"> âge × éducation.</w:t>
      </w:r>
    </w:p>
    <w:p w14:paraId="68B4DF80"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le gradient d'accumulation de capital humain, les inégalités de genre en scolarisation, les disparités géographiques d'instruction entre États nigérians.</w:t>
      </w:r>
    </w:p>
    <w:p w14:paraId="7DEF2D2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3C86D5D9">
          <v:rect id="_x0000_i1028" style="width:0;height:1.5pt" o:hralign="center" o:hrstd="t" o:hr="t" fillcolor="#a0a0a0" stroked="f"/>
        </w:pict>
      </w:r>
    </w:p>
    <w:p w14:paraId="5BA33FF3"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3 — Accès aux soins et dépenses de santé</w:t>
      </w:r>
    </w:p>
    <w:p w14:paraId="20D93BF3"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Couleur dominante : Bleu-vert turquoise — santé et soins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144"/>
        <w:gridCol w:w="901"/>
        <w:gridCol w:w="5573"/>
      </w:tblGrid>
      <w:tr w:rsidR="00B7474B" w:rsidRPr="00B7474B" w14:paraId="12959B83" w14:textId="77777777" w:rsidTr="00B7474B">
        <w:trPr>
          <w:tblHeader/>
          <w:tblCellSpacing w:w="15" w:type="dxa"/>
        </w:trPr>
        <w:tc>
          <w:tcPr>
            <w:tcW w:w="0" w:type="auto"/>
            <w:vAlign w:val="center"/>
            <w:hideMark/>
          </w:tcPr>
          <w:p w14:paraId="48DD979E"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780E6708"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5B93878E"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45C430EC"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2994D808" w14:textId="77777777" w:rsidTr="00B7474B">
        <w:trPr>
          <w:tblCellSpacing w:w="15" w:type="dxa"/>
        </w:trPr>
        <w:tc>
          <w:tcPr>
            <w:tcW w:w="0" w:type="auto"/>
            <w:vAlign w:val="center"/>
            <w:hideMark/>
          </w:tcPr>
          <w:p w14:paraId="107BB8E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75710DE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Turquoise OMS</w:t>
            </w:r>
          </w:p>
        </w:tc>
        <w:tc>
          <w:tcPr>
            <w:tcW w:w="0" w:type="auto"/>
            <w:vAlign w:val="center"/>
            <w:hideMark/>
          </w:tcPr>
          <w:p w14:paraId="0D2EE8D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#009688</w:t>
            </w:r>
          </w:p>
        </w:tc>
        <w:tc>
          <w:tcPr>
            <w:tcW w:w="0" w:type="auto"/>
            <w:vAlign w:val="center"/>
            <w:hideMark/>
          </w:tcPr>
          <w:p w14:paraId="5BA6D06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L'OMS (WHO) utilise le bleu-vert turquoise dans ses rapports statistiques annuels (World </w:t>
            </w:r>
            <w:proofErr w:type="spellStart"/>
            <w:r w:rsidRPr="00B7474B">
              <w:rPr>
                <w:rFonts w:ascii="Times New Roman" w:eastAsia="Times New Roman" w:hAnsi="Times New Roman" w:cs="Times New Roman"/>
                <w:sz w:val="24"/>
                <w:szCs w:val="24"/>
                <w:lang w:eastAsia="fr-FR"/>
              </w:rPr>
              <w:t>Health</w:t>
            </w:r>
            <w:proofErr w:type="spellEnd"/>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Statistics</w:t>
            </w:r>
            <w:proofErr w:type="spellEnd"/>
            <w:r w:rsidRPr="00B7474B">
              <w:rPr>
                <w:rFonts w:ascii="Times New Roman" w:eastAsia="Times New Roman" w:hAnsi="Times New Roman" w:cs="Times New Roman"/>
                <w:sz w:val="24"/>
                <w:szCs w:val="24"/>
                <w:lang w:eastAsia="fr-FR"/>
              </w:rPr>
              <w:t xml:space="preserve">) et ses </w:t>
            </w:r>
            <w:proofErr w:type="spellStart"/>
            <w:r w:rsidRPr="00B7474B">
              <w:rPr>
                <w:rFonts w:ascii="Times New Roman" w:eastAsia="Times New Roman" w:hAnsi="Times New Roman" w:cs="Times New Roman"/>
                <w:sz w:val="24"/>
                <w:szCs w:val="24"/>
                <w:lang w:eastAsia="fr-FR"/>
              </w:rPr>
              <w:t>dashboards</w:t>
            </w:r>
            <w:proofErr w:type="spellEnd"/>
            <w:r w:rsidRPr="00B7474B">
              <w:rPr>
                <w:rFonts w:ascii="Times New Roman" w:eastAsia="Times New Roman" w:hAnsi="Times New Roman" w:cs="Times New Roman"/>
                <w:sz w:val="24"/>
                <w:szCs w:val="24"/>
                <w:lang w:eastAsia="fr-FR"/>
              </w:rPr>
              <w:t xml:space="preserve"> de systèmes de santé. Cette teinte est associée universellement aux soins médicaux.</w:t>
            </w:r>
          </w:p>
        </w:tc>
      </w:tr>
      <w:tr w:rsidR="00B7474B" w:rsidRPr="00B7474B" w14:paraId="7227554B" w14:textId="77777777" w:rsidTr="00B7474B">
        <w:trPr>
          <w:tblCellSpacing w:w="15" w:type="dxa"/>
        </w:trPr>
        <w:tc>
          <w:tcPr>
            <w:tcW w:w="0" w:type="auto"/>
            <w:vAlign w:val="center"/>
            <w:hideMark/>
          </w:tcPr>
          <w:p w14:paraId="4E3066A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Secondaire</w:t>
            </w:r>
          </w:p>
        </w:tc>
        <w:tc>
          <w:tcPr>
            <w:tcW w:w="0" w:type="auto"/>
            <w:vAlign w:val="center"/>
            <w:hideMark/>
          </w:tcPr>
          <w:p w14:paraId="31DDD90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Cyan santé</w:t>
            </w:r>
          </w:p>
        </w:tc>
        <w:tc>
          <w:tcPr>
            <w:tcW w:w="0" w:type="auto"/>
            <w:vAlign w:val="center"/>
            <w:hideMark/>
          </w:tcPr>
          <w:p w14:paraId="26DC81C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#00ACC1</w:t>
            </w:r>
          </w:p>
        </w:tc>
        <w:tc>
          <w:tcPr>
            <w:tcW w:w="0" w:type="auto"/>
            <w:vAlign w:val="center"/>
            <w:hideMark/>
          </w:tcPr>
          <w:p w14:paraId="746C19D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Pour les graphiques de recours aux soins.</w:t>
            </w:r>
          </w:p>
        </w:tc>
      </w:tr>
      <w:tr w:rsidR="00B7474B" w:rsidRPr="00B7474B" w14:paraId="2FDB9E65" w14:textId="77777777" w:rsidTr="00B7474B">
        <w:trPr>
          <w:tblCellSpacing w:w="15" w:type="dxa"/>
        </w:trPr>
        <w:tc>
          <w:tcPr>
            <w:tcW w:w="0" w:type="auto"/>
            <w:vAlign w:val="center"/>
            <w:hideMark/>
          </w:tcPr>
          <w:p w14:paraId="6A000D8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Urgence/choc</w:t>
            </w:r>
          </w:p>
        </w:tc>
        <w:tc>
          <w:tcPr>
            <w:tcW w:w="0" w:type="auto"/>
            <w:vAlign w:val="center"/>
            <w:hideMark/>
          </w:tcPr>
          <w:p w14:paraId="1F1350C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Rouge vif</w:t>
            </w:r>
          </w:p>
        </w:tc>
        <w:tc>
          <w:tcPr>
            <w:tcW w:w="0" w:type="auto"/>
            <w:vAlign w:val="center"/>
            <w:hideMark/>
          </w:tcPr>
          <w:p w14:paraId="430DC0B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#E53935</w:t>
            </w:r>
          </w:p>
        </w:tc>
        <w:tc>
          <w:tcPr>
            <w:tcW w:w="0" w:type="auto"/>
            <w:vAlign w:val="center"/>
            <w:hideMark/>
          </w:tcPr>
          <w:p w14:paraId="01A847E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Morbidité, maladies graves, hospitalisations : le rouge signale le risque sanitaire (convention universelle croix rouge).</w:t>
            </w:r>
          </w:p>
        </w:tc>
      </w:tr>
      <w:tr w:rsidR="00B7474B" w:rsidRPr="00B7474B" w14:paraId="6D06F458" w14:textId="77777777" w:rsidTr="00B7474B">
        <w:trPr>
          <w:tblCellSpacing w:w="15" w:type="dxa"/>
        </w:trPr>
        <w:tc>
          <w:tcPr>
            <w:tcW w:w="0" w:type="auto"/>
            <w:vAlign w:val="center"/>
            <w:hideMark/>
          </w:tcPr>
          <w:p w14:paraId="17585FF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Public</w:t>
            </w:r>
          </w:p>
        </w:tc>
        <w:tc>
          <w:tcPr>
            <w:tcW w:w="0" w:type="auto"/>
            <w:vAlign w:val="center"/>
            <w:hideMark/>
          </w:tcPr>
          <w:p w14:paraId="34671CF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foncé</w:t>
            </w:r>
          </w:p>
        </w:tc>
        <w:tc>
          <w:tcPr>
            <w:tcW w:w="0" w:type="auto"/>
            <w:vAlign w:val="center"/>
            <w:hideMark/>
          </w:tcPr>
          <w:p w14:paraId="72CF7D8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#1565C0</w:t>
            </w:r>
          </w:p>
        </w:tc>
        <w:tc>
          <w:tcPr>
            <w:tcW w:w="0" w:type="auto"/>
            <w:vAlign w:val="center"/>
            <w:hideMark/>
          </w:tcPr>
          <w:p w14:paraId="1D0F3F9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Secteur public (hôpitaux publics) : bleu institutionnel.</w:t>
            </w:r>
          </w:p>
        </w:tc>
      </w:tr>
      <w:tr w:rsidR="00B7474B" w:rsidRPr="00B7474B" w14:paraId="7554F456" w14:textId="77777777" w:rsidTr="00B7474B">
        <w:trPr>
          <w:tblCellSpacing w:w="15" w:type="dxa"/>
        </w:trPr>
        <w:tc>
          <w:tcPr>
            <w:tcW w:w="0" w:type="auto"/>
            <w:vAlign w:val="center"/>
            <w:hideMark/>
          </w:tcPr>
          <w:p w14:paraId="3ED8BD2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Privé</w:t>
            </w:r>
          </w:p>
        </w:tc>
        <w:tc>
          <w:tcPr>
            <w:tcW w:w="0" w:type="auto"/>
            <w:vAlign w:val="center"/>
            <w:hideMark/>
          </w:tcPr>
          <w:p w14:paraId="1BDDF55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émeraude</w:t>
            </w:r>
          </w:p>
        </w:tc>
        <w:tc>
          <w:tcPr>
            <w:tcW w:w="0" w:type="auto"/>
            <w:vAlign w:val="center"/>
            <w:hideMark/>
          </w:tcPr>
          <w:p w14:paraId="2D1AA2F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#2E7D32</w:t>
            </w:r>
          </w:p>
        </w:tc>
        <w:tc>
          <w:tcPr>
            <w:tcW w:w="0" w:type="auto"/>
            <w:vAlign w:val="center"/>
            <w:hideMark/>
          </w:tcPr>
          <w:p w14:paraId="71EB923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Secteur privé : vert = profit, marché.</w:t>
            </w:r>
          </w:p>
        </w:tc>
      </w:tr>
      <w:tr w:rsidR="00B7474B" w:rsidRPr="00B7474B" w14:paraId="2992286A" w14:textId="77777777" w:rsidTr="00B7474B">
        <w:trPr>
          <w:tblCellSpacing w:w="15" w:type="dxa"/>
        </w:trPr>
        <w:tc>
          <w:tcPr>
            <w:tcW w:w="0" w:type="auto"/>
            <w:vAlign w:val="center"/>
            <w:hideMark/>
          </w:tcPr>
          <w:p w14:paraId="572E757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Informel</w:t>
            </w:r>
          </w:p>
        </w:tc>
        <w:tc>
          <w:tcPr>
            <w:tcW w:w="0" w:type="auto"/>
            <w:vAlign w:val="center"/>
            <w:hideMark/>
          </w:tcPr>
          <w:p w14:paraId="2C5D113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Ocre</w:t>
            </w:r>
          </w:p>
        </w:tc>
        <w:tc>
          <w:tcPr>
            <w:tcW w:w="0" w:type="auto"/>
            <w:vAlign w:val="center"/>
            <w:hideMark/>
          </w:tcPr>
          <w:p w14:paraId="0969A97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#F9A825</w:t>
            </w:r>
          </w:p>
        </w:tc>
        <w:tc>
          <w:tcPr>
            <w:tcW w:w="0" w:type="auto"/>
            <w:vAlign w:val="center"/>
            <w:hideMark/>
          </w:tcPr>
          <w:p w14:paraId="35982A0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Tradipraticiens, automédication : ocre = informel/traditionnel.</w:t>
            </w:r>
          </w:p>
        </w:tc>
      </w:tr>
      <w:tr w:rsidR="00B7474B" w:rsidRPr="00B7474B" w14:paraId="23F55B0B" w14:textId="77777777" w:rsidTr="00B7474B">
        <w:trPr>
          <w:tblCellSpacing w:w="15" w:type="dxa"/>
        </w:trPr>
        <w:tc>
          <w:tcPr>
            <w:tcW w:w="0" w:type="auto"/>
            <w:vAlign w:val="center"/>
            <w:hideMark/>
          </w:tcPr>
          <w:p w14:paraId="67252F5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Dépense</w:t>
            </w:r>
          </w:p>
        </w:tc>
        <w:tc>
          <w:tcPr>
            <w:tcW w:w="0" w:type="auto"/>
            <w:vAlign w:val="center"/>
            <w:hideMark/>
          </w:tcPr>
          <w:p w14:paraId="1897003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Orange</w:t>
            </w:r>
          </w:p>
        </w:tc>
        <w:tc>
          <w:tcPr>
            <w:tcW w:w="0" w:type="auto"/>
            <w:vAlign w:val="center"/>
            <w:hideMark/>
          </w:tcPr>
          <w:p w14:paraId="73F01A5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#EF6C00</w:t>
            </w:r>
          </w:p>
        </w:tc>
        <w:tc>
          <w:tcPr>
            <w:tcW w:w="0" w:type="auto"/>
            <w:vAlign w:val="center"/>
            <w:hideMark/>
          </w:tcPr>
          <w:p w14:paraId="5D30609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Dépenses catastrophiques de santé : orange-rouge = alerte financière.</w:t>
            </w:r>
          </w:p>
        </w:tc>
      </w:tr>
    </w:tbl>
    <w:p w14:paraId="16B26999"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types de maladies (rouge graduellement atténué), </w:t>
      </w:r>
      <w:proofErr w:type="spellStart"/>
      <w:r w:rsidRPr="00B7474B">
        <w:rPr>
          <w:rFonts w:ascii="Times New Roman" w:eastAsia="Times New Roman" w:hAnsi="Times New Roman" w:cs="Times New Roman"/>
          <w:sz w:val="24"/>
          <w:szCs w:val="24"/>
          <w:lang w:eastAsia="fr-FR"/>
        </w:rPr>
        <w:t>violin</w:t>
      </w:r>
      <w:proofErr w:type="spellEnd"/>
      <w:r w:rsidRPr="00B7474B">
        <w:rPr>
          <w:rFonts w:ascii="Times New Roman" w:eastAsia="Times New Roman" w:hAnsi="Times New Roman" w:cs="Times New Roman"/>
          <w:sz w:val="24"/>
          <w:szCs w:val="24"/>
          <w:lang w:eastAsia="fr-FR"/>
        </w:rPr>
        <w:t xml:space="preserve"> plots dépenses (orange),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prestataires (bleu public / vert privé / ocre informel), </w:t>
      </w:r>
      <w:proofErr w:type="spellStart"/>
      <w:r w:rsidRPr="00B7474B">
        <w:rPr>
          <w:rFonts w:ascii="Times New Roman" w:eastAsia="Times New Roman" w:hAnsi="Times New Roman" w:cs="Times New Roman"/>
          <w:sz w:val="24"/>
          <w:szCs w:val="24"/>
          <w:lang w:eastAsia="fr-FR"/>
        </w:rPr>
        <w:t>scatter</w:t>
      </w:r>
      <w:proofErr w:type="spellEnd"/>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outliers</w:t>
      </w:r>
      <w:proofErr w:type="spellEnd"/>
      <w:r w:rsidRPr="00B7474B">
        <w:rPr>
          <w:rFonts w:ascii="Times New Roman" w:eastAsia="Times New Roman" w:hAnsi="Times New Roman" w:cs="Times New Roman"/>
          <w:sz w:val="24"/>
          <w:szCs w:val="24"/>
          <w:lang w:eastAsia="fr-FR"/>
        </w:rPr>
        <w:t xml:space="preserve"> (rouge).</w:t>
      </w:r>
    </w:p>
    <w:p w14:paraId="5589D9B0"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l'accès différencié aux soins selon le type de prestataire, le fardeau financier des dépenses de santé, les inégalités socioéconomiques dans le recours aux soins formels.</w:t>
      </w:r>
    </w:p>
    <w:p w14:paraId="24711D3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1BC6C299">
          <v:rect id="_x0000_i1029" style="width:0;height:1.5pt" o:hralign="center" o:hrstd="t" o:hr="t" fillcolor="#a0a0a0" stroked="f"/>
        </w:pict>
      </w:r>
    </w:p>
    <w:p w14:paraId="227B8102"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4 — Parcelles agricoles et tenure foncière</w:t>
      </w:r>
    </w:p>
    <w:p w14:paraId="7710E704"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Couleur dominante : Vert terreux et brun — terres et foncier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883"/>
        <w:gridCol w:w="901"/>
        <w:gridCol w:w="5940"/>
      </w:tblGrid>
      <w:tr w:rsidR="00B7474B" w:rsidRPr="00B7474B" w14:paraId="17637B18" w14:textId="77777777" w:rsidTr="00B7474B">
        <w:trPr>
          <w:tblHeader/>
          <w:tblCellSpacing w:w="15" w:type="dxa"/>
        </w:trPr>
        <w:tc>
          <w:tcPr>
            <w:tcW w:w="0" w:type="auto"/>
            <w:vAlign w:val="center"/>
            <w:hideMark/>
          </w:tcPr>
          <w:p w14:paraId="5E7B749F"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4135CE74"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483E180C"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112D7162"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5F0CB2A3" w14:textId="77777777" w:rsidTr="00B7474B">
        <w:trPr>
          <w:tblCellSpacing w:w="15" w:type="dxa"/>
        </w:trPr>
        <w:tc>
          <w:tcPr>
            <w:tcW w:w="0" w:type="auto"/>
            <w:vAlign w:val="center"/>
            <w:hideMark/>
          </w:tcPr>
          <w:p w14:paraId="5E760DE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72011E8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FAO</w:t>
            </w:r>
          </w:p>
        </w:tc>
        <w:tc>
          <w:tcPr>
            <w:tcW w:w="0" w:type="auto"/>
            <w:vAlign w:val="center"/>
            <w:hideMark/>
          </w:tcPr>
          <w:p w14:paraId="2FFC19C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#4C9A2A</w:t>
            </w:r>
          </w:p>
        </w:tc>
        <w:tc>
          <w:tcPr>
            <w:tcW w:w="0" w:type="auto"/>
            <w:vAlign w:val="center"/>
            <w:hideMark/>
          </w:tcPr>
          <w:p w14:paraId="7576865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La FAO utilise le vert vif comme couleur institutionnelle principale pour tout ce qui touche aux terres agricoles, à l'usage des sols et à la tenure foncière (FAO Brand Guidelines, publications GAEZ).</w:t>
            </w:r>
          </w:p>
        </w:tc>
      </w:tr>
      <w:tr w:rsidR="00B7474B" w:rsidRPr="00B7474B" w14:paraId="3A81C9D6" w14:textId="77777777" w:rsidTr="00B7474B">
        <w:trPr>
          <w:tblCellSpacing w:w="15" w:type="dxa"/>
        </w:trPr>
        <w:tc>
          <w:tcPr>
            <w:tcW w:w="0" w:type="auto"/>
            <w:vAlign w:val="center"/>
            <w:hideMark/>
          </w:tcPr>
          <w:p w14:paraId="052DFAF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Secondaire</w:t>
            </w:r>
          </w:p>
        </w:tc>
        <w:tc>
          <w:tcPr>
            <w:tcW w:w="0" w:type="auto"/>
            <w:vAlign w:val="center"/>
            <w:hideMark/>
          </w:tcPr>
          <w:p w14:paraId="5000E6B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forêt</w:t>
            </w:r>
          </w:p>
        </w:tc>
        <w:tc>
          <w:tcPr>
            <w:tcW w:w="0" w:type="auto"/>
            <w:vAlign w:val="center"/>
            <w:hideMark/>
          </w:tcPr>
          <w:p w14:paraId="4D9EC06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#1B5E20</w:t>
            </w:r>
          </w:p>
        </w:tc>
        <w:tc>
          <w:tcPr>
            <w:tcW w:w="0" w:type="auto"/>
            <w:vAlign w:val="center"/>
            <w:hideMark/>
          </w:tcPr>
          <w:p w14:paraId="5E493BA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Pour les grandes exploitations, l'intensité foncière.</w:t>
            </w:r>
          </w:p>
        </w:tc>
      </w:tr>
      <w:tr w:rsidR="00B7474B" w:rsidRPr="00B7474B" w14:paraId="3E1CC757" w14:textId="77777777" w:rsidTr="00B7474B">
        <w:trPr>
          <w:tblCellSpacing w:w="15" w:type="dxa"/>
        </w:trPr>
        <w:tc>
          <w:tcPr>
            <w:tcW w:w="0" w:type="auto"/>
            <w:vAlign w:val="center"/>
            <w:hideMark/>
          </w:tcPr>
          <w:p w14:paraId="2028E69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Foncier clair</w:t>
            </w:r>
          </w:p>
        </w:tc>
        <w:tc>
          <w:tcPr>
            <w:tcW w:w="0" w:type="auto"/>
            <w:vAlign w:val="center"/>
            <w:hideMark/>
          </w:tcPr>
          <w:p w14:paraId="5C24070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clair</w:t>
            </w:r>
          </w:p>
        </w:tc>
        <w:tc>
          <w:tcPr>
            <w:tcW w:w="0" w:type="auto"/>
            <w:vAlign w:val="center"/>
            <w:hideMark/>
          </w:tcPr>
          <w:p w14:paraId="6D2D6F6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#A5D6A7</w:t>
            </w:r>
          </w:p>
        </w:tc>
        <w:tc>
          <w:tcPr>
            <w:tcW w:w="0" w:type="auto"/>
            <w:vAlign w:val="center"/>
            <w:hideMark/>
          </w:tcPr>
          <w:p w14:paraId="0317AB8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Petites parcelles, faible superficie.</w:t>
            </w:r>
          </w:p>
        </w:tc>
      </w:tr>
      <w:tr w:rsidR="00B7474B" w:rsidRPr="00B7474B" w14:paraId="3FD47B5B" w14:textId="77777777" w:rsidTr="00B7474B">
        <w:trPr>
          <w:tblCellSpacing w:w="15" w:type="dxa"/>
        </w:trPr>
        <w:tc>
          <w:tcPr>
            <w:tcW w:w="0" w:type="auto"/>
            <w:vAlign w:val="center"/>
            <w:hideMark/>
          </w:tcPr>
          <w:p w14:paraId="7118384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GPS/déclaré</w:t>
            </w:r>
          </w:p>
        </w:tc>
        <w:tc>
          <w:tcPr>
            <w:tcW w:w="0" w:type="auto"/>
            <w:vAlign w:val="center"/>
            <w:hideMark/>
          </w:tcPr>
          <w:p w14:paraId="4933432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Ocre doré</w:t>
            </w:r>
          </w:p>
        </w:tc>
        <w:tc>
          <w:tcPr>
            <w:tcW w:w="0" w:type="auto"/>
            <w:vAlign w:val="center"/>
            <w:hideMark/>
          </w:tcPr>
          <w:p w14:paraId="4EA3D65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#F57F17</w:t>
            </w:r>
          </w:p>
        </w:tc>
        <w:tc>
          <w:tcPr>
            <w:tcW w:w="0" w:type="auto"/>
            <w:vAlign w:val="center"/>
            <w:hideMark/>
          </w:tcPr>
          <w:p w14:paraId="7E633AD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Variable GPS versus déclaré : orange = mesure objective (GPS), vert = déclaration subjective.</w:t>
            </w:r>
          </w:p>
        </w:tc>
      </w:tr>
      <w:tr w:rsidR="00B7474B" w:rsidRPr="00B7474B" w14:paraId="1068BFED" w14:textId="77777777" w:rsidTr="00B7474B">
        <w:trPr>
          <w:tblCellSpacing w:w="15" w:type="dxa"/>
        </w:trPr>
        <w:tc>
          <w:tcPr>
            <w:tcW w:w="0" w:type="auto"/>
            <w:vAlign w:val="center"/>
            <w:hideMark/>
          </w:tcPr>
          <w:p w14:paraId="558D2FA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Propriété</w:t>
            </w:r>
          </w:p>
        </w:tc>
        <w:tc>
          <w:tcPr>
            <w:tcW w:w="0" w:type="auto"/>
            <w:vAlign w:val="center"/>
            <w:hideMark/>
          </w:tcPr>
          <w:p w14:paraId="2469A1C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foncé</w:t>
            </w:r>
          </w:p>
        </w:tc>
        <w:tc>
          <w:tcPr>
            <w:tcW w:w="0" w:type="auto"/>
            <w:vAlign w:val="center"/>
            <w:hideMark/>
          </w:tcPr>
          <w:p w14:paraId="036F80F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#2E7D32</w:t>
            </w:r>
          </w:p>
        </w:tc>
        <w:tc>
          <w:tcPr>
            <w:tcW w:w="0" w:type="auto"/>
            <w:vAlign w:val="center"/>
            <w:hideMark/>
          </w:tcPr>
          <w:p w14:paraId="67B4713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Propriété pleine : sécurité foncière maximale.</w:t>
            </w:r>
          </w:p>
        </w:tc>
      </w:tr>
      <w:tr w:rsidR="00B7474B" w:rsidRPr="00B7474B" w14:paraId="4C6D43C0" w14:textId="77777777" w:rsidTr="00B7474B">
        <w:trPr>
          <w:tblCellSpacing w:w="15" w:type="dxa"/>
        </w:trPr>
        <w:tc>
          <w:tcPr>
            <w:tcW w:w="0" w:type="auto"/>
            <w:vAlign w:val="center"/>
            <w:hideMark/>
          </w:tcPr>
          <w:p w14:paraId="1D97924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Location</w:t>
            </w:r>
          </w:p>
        </w:tc>
        <w:tc>
          <w:tcPr>
            <w:tcW w:w="0" w:type="auto"/>
            <w:vAlign w:val="center"/>
            <w:hideMark/>
          </w:tcPr>
          <w:p w14:paraId="5AD2B96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ardoise</w:t>
            </w:r>
          </w:p>
        </w:tc>
        <w:tc>
          <w:tcPr>
            <w:tcW w:w="0" w:type="auto"/>
            <w:vAlign w:val="center"/>
            <w:hideMark/>
          </w:tcPr>
          <w:p w14:paraId="6120876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#455A64</w:t>
            </w:r>
          </w:p>
        </w:tc>
        <w:tc>
          <w:tcPr>
            <w:tcW w:w="0" w:type="auto"/>
            <w:vAlign w:val="center"/>
            <w:hideMark/>
          </w:tcPr>
          <w:p w14:paraId="37F851F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Tenure précaire : couleurs froides = instabilité.</w:t>
            </w:r>
          </w:p>
        </w:tc>
      </w:tr>
      <w:tr w:rsidR="00B7474B" w:rsidRPr="00B7474B" w14:paraId="662F6DAE" w14:textId="77777777" w:rsidTr="00B7474B">
        <w:trPr>
          <w:tblCellSpacing w:w="15" w:type="dxa"/>
        </w:trPr>
        <w:tc>
          <w:tcPr>
            <w:tcW w:w="0" w:type="auto"/>
            <w:vAlign w:val="center"/>
            <w:hideMark/>
          </w:tcPr>
          <w:p w14:paraId="16CD007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Métayage</w:t>
            </w:r>
          </w:p>
        </w:tc>
        <w:tc>
          <w:tcPr>
            <w:tcW w:w="0" w:type="auto"/>
            <w:vAlign w:val="center"/>
            <w:hideMark/>
          </w:tcPr>
          <w:p w14:paraId="51983F7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Ocre</w:t>
            </w:r>
          </w:p>
        </w:tc>
        <w:tc>
          <w:tcPr>
            <w:tcW w:w="0" w:type="auto"/>
            <w:vAlign w:val="center"/>
            <w:hideMark/>
          </w:tcPr>
          <w:p w14:paraId="58C73E0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#795548</w:t>
            </w:r>
          </w:p>
        </w:tc>
        <w:tc>
          <w:tcPr>
            <w:tcW w:w="0" w:type="auto"/>
            <w:vAlign w:val="center"/>
            <w:hideMark/>
          </w:tcPr>
          <w:p w14:paraId="6EA25F5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Brun = contrainte, dépendance foncière.</w:t>
            </w:r>
          </w:p>
        </w:tc>
      </w:tr>
      <w:tr w:rsidR="00B7474B" w:rsidRPr="00B7474B" w14:paraId="2F4FAA88" w14:textId="77777777" w:rsidTr="00B7474B">
        <w:trPr>
          <w:tblCellSpacing w:w="15" w:type="dxa"/>
        </w:trPr>
        <w:tc>
          <w:tcPr>
            <w:tcW w:w="0" w:type="auto"/>
            <w:vAlign w:val="center"/>
            <w:hideMark/>
          </w:tcPr>
          <w:p w14:paraId="448FA28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Prêt/héritage</w:t>
            </w:r>
          </w:p>
        </w:tc>
        <w:tc>
          <w:tcPr>
            <w:tcW w:w="0" w:type="auto"/>
            <w:vAlign w:val="center"/>
            <w:hideMark/>
          </w:tcPr>
          <w:p w14:paraId="555AC14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Gris vert</w:t>
            </w:r>
          </w:p>
        </w:tc>
        <w:tc>
          <w:tcPr>
            <w:tcW w:w="0" w:type="auto"/>
            <w:vAlign w:val="center"/>
            <w:hideMark/>
          </w:tcPr>
          <w:p w14:paraId="15B4948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#78909C</w:t>
            </w:r>
          </w:p>
        </w:tc>
        <w:tc>
          <w:tcPr>
            <w:tcW w:w="0" w:type="auto"/>
            <w:vAlign w:val="center"/>
            <w:hideMark/>
          </w:tcPr>
          <w:p w14:paraId="4BB30EE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Arrangements informels.</w:t>
            </w:r>
          </w:p>
        </w:tc>
      </w:tr>
    </w:tbl>
    <w:p w14:paraId="1E4DEB7D"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histogrammes superficie (vert séquentiel), </w:t>
      </w:r>
      <w:proofErr w:type="spellStart"/>
      <w:r w:rsidRPr="00B7474B">
        <w:rPr>
          <w:rFonts w:ascii="Times New Roman" w:eastAsia="Times New Roman" w:hAnsi="Times New Roman" w:cs="Times New Roman"/>
          <w:sz w:val="24"/>
          <w:szCs w:val="24"/>
          <w:lang w:eastAsia="fr-FR"/>
        </w:rPr>
        <w:t>scatter</w:t>
      </w:r>
      <w:proofErr w:type="spellEnd"/>
      <w:r w:rsidRPr="00B7474B">
        <w:rPr>
          <w:rFonts w:ascii="Times New Roman" w:eastAsia="Times New Roman" w:hAnsi="Times New Roman" w:cs="Times New Roman"/>
          <w:sz w:val="24"/>
          <w:szCs w:val="24"/>
          <w:lang w:eastAsia="fr-FR"/>
        </w:rPr>
        <w:t xml:space="preserve"> GPS vs déclaré (points en vert/orange),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tenure (palette multi-catégorielle), </w:t>
      </w:r>
      <w:proofErr w:type="spellStart"/>
      <w:r w:rsidRPr="00B7474B">
        <w:rPr>
          <w:rFonts w:ascii="Times New Roman" w:eastAsia="Times New Roman" w:hAnsi="Times New Roman" w:cs="Times New Roman"/>
          <w:sz w:val="24"/>
          <w:szCs w:val="24"/>
          <w:lang w:eastAsia="fr-FR"/>
        </w:rPr>
        <w:t>heatmap</w:t>
      </w:r>
      <w:proofErr w:type="spellEnd"/>
      <w:r w:rsidRPr="00B7474B">
        <w:rPr>
          <w:rFonts w:ascii="Times New Roman" w:eastAsia="Times New Roman" w:hAnsi="Times New Roman" w:cs="Times New Roman"/>
          <w:sz w:val="24"/>
          <w:szCs w:val="24"/>
          <w:lang w:eastAsia="fr-FR"/>
        </w:rPr>
        <w:t xml:space="preserve"> États × vagues (vert séquentiel).</w:t>
      </w:r>
    </w:p>
    <w:p w14:paraId="2E4FEA36"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la distribution de la superficie agricole, la sécurité foncière, les biais de déclaration, les disparités régionales dans la structure agraire.</w:t>
      </w:r>
    </w:p>
    <w:p w14:paraId="4AD8DE4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3324161D">
          <v:rect id="_x0000_i1030" style="width:0;height:1.5pt" o:hralign="center" o:hrstd="t" o:hr="t" fillcolor="#a0a0a0" stroked="f"/>
        </w:pict>
      </w:r>
    </w:p>
    <w:p w14:paraId="7CD325C6"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5 — Cultures, intrants et rendements agricoles</w:t>
      </w:r>
    </w:p>
    <w:p w14:paraId="4B5D05AE"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Couleur dominante : Vert IFPRI + orange intrants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877"/>
        <w:gridCol w:w="901"/>
        <w:gridCol w:w="5703"/>
      </w:tblGrid>
      <w:tr w:rsidR="00B7474B" w:rsidRPr="00B7474B" w14:paraId="7B4AC680" w14:textId="77777777" w:rsidTr="00B7474B">
        <w:trPr>
          <w:tblHeader/>
          <w:tblCellSpacing w:w="15" w:type="dxa"/>
        </w:trPr>
        <w:tc>
          <w:tcPr>
            <w:tcW w:w="0" w:type="auto"/>
            <w:vAlign w:val="center"/>
            <w:hideMark/>
          </w:tcPr>
          <w:p w14:paraId="4AAFBBA7"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52BECE88"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7D062194"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6F43135D"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14D1BB25" w14:textId="77777777" w:rsidTr="00B7474B">
        <w:trPr>
          <w:tblCellSpacing w:w="15" w:type="dxa"/>
        </w:trPr>
        <w:tc>
          <w:tcPr>
            <w:tcW w:w="0" w:type="auto"/>
            <w:vAlign w:val="center"/>
            <w:hideMark/>
          </w:tcPr>
          <w:p w14:paraId="7EAE161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7793028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IFPRI</w:t>
            </w:r>
          </w:p>
        </w:tc>
        <w:tc>
          <w:tcPr>
            <w:tcW w:w="0" w:type="auto"/>
            <w:vAlign w:val="center"/>
            <w:hideMark/>
          </w:tcPr>
          <w:p w14:paraId="5DD473C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#6CC24A</w:t>
            </w:r>
          </w:p>
        </w:tc>
        <w:tc>
          <w:tcPr>
            <w:tcW w:w="0" w:type="auto"/>
            <w:vAlign w:val="center"/>
            <w:hideMark/>
          </w:tcPr>
          <w:p w14:paraId="3A6A231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Couleur signature de l'IFPRI visible sur tous ses rapports (Myanmar RN-128, Global Food Policy Report). C'est la référence mondiale pour la recherche sur les systèmes alimentaires et la production agricole.</w:t>
            </w:r>
          </w:p>
        </w:tc>
      </w:tr>
      <w:tr w:rsidR="00B7474B" w:rsidRPr="00B7474B" w14:paraId="4BDC419B" w14:textId="77777777" w:rsidTr="00B7474B">
        <w:trPr>
          <w:tblCellSpacing w:w="15" w:type="dxa"/>
        </w:trPr>
        <w:tc>
          <w:tcPr>
            <w:tcW w:w="0" w:type="auto"/>
            <w:vAlign w:val="center"/>
            <w:hideMark/>
          </w:tcPr>
          <w:p w14:paraId="4D05495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Céréales</w:t>
            </w:r>
          </w:p>
        </w:tc>
        <w:tc>
          <w:tcPr>
            <w:tcW w:w="0" w:type="auto"/>
            <w:vAlign w:val="center"/>
            <w:hideMark/>
          </w:tcPr>
          <w:p w14:paraId="5EDB72B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Jaune doré</w:t>
            </w:r>
          </w:p>
        </w:tc>
        <w:tc>
          <w:tcPr>
            <w:tcW w:w="0" w:type="auto"/>
            <w:vAlign w:val="center"/>
            <w:hideMark/>
          </w:tcPr>
          <w:p w14:paraId="23CC7D5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#F9A825</w:t>
            </w:r>
          </w:p>
        </w:tc>
        <w:tc>
          <w:tcPr>
            <w:tcW w:w="0" w:type="auto"/>
            <w:vAlign w:val="center"/>
            <w:hideMark/>
          </w:tcPr>
          <w:p w14:paraId="76F2636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Maïs, mil, sorgho : jaune/or = couleur universelle des céréales.</w:t>
            </w:r>
          </w:p>
        </w:tc>
      </w:tr>
      <w:tr w:rsidR="00B7474B" w:rsidRPr="00B7474B" w14:paraId="642455A9" w14:textId="77777777" w:rsidTr="00B7474B">
        <w:trPr>
          <w:tblCellSpacing w:w="15" w:type="dxa"/>
        </w:trPr>
        <w:tc>
          <w:tcPr>
            <w:tcW w:w="0" w:type="auto"/>
            <w:vAlign w:val="center"/>
            <w:hideMark/>
          </w:tcPr>
          <w:p w14:paraId="5BCDB36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Légumineuses</w:t>
            </w:r>
          </w:p>
        </w:tc>
        <w:tc>
          <w:tcPr>
            <w:tcW w:w="0" w:type="auto"/>
            <w:vAlign w:val="center"/>
            <w:hideMark/>
          </w:tcPr>
          <w:p w14:paraId="7D680C9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olive</w:t>
            </w:r>
          </w:p>
        </w:tc>
        <w:tc>
          <w:tcPr>
            <w:tcW w:w="0" w:type="auto"/>
            <w:vAlign w:val="center"/>
            <w:hideMark/>
          </w:tcPr>
          <w:p w14:paraId="1BB81A6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#827717</w:t>
            </w:r>
          </w:p>
        </w:tc>
        <w:tc>
          <w:tcPr>
            <w:tcW w:w="0" w:type="auto"/>
            <w:vAlign w:val="center"/>
            <w:hideMark/>
          </w:tcPr>
          <w:p w14:paraId="00DAC78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Niébé, arachide : vert foncé terreux.</w:t>
            </w:r>
          </w:p>
        </w:tc>
      </w:tr>
      <w:tr w:rsidR="00B7474B" w:rsidRPr="00B7474B" w14:paraId="395120AD" w14:textId="77777777" w:rsidTr="00B7474B">
        <w:trPr>
          <w:tblCellSpacing w:w="15" w:type="dxa"/>
        </w:trPr>
        <w:tc>
          <w:tcPr>
            <w:tcW w:w="0" w:type="auto"/>
            <w:vAlign w:val="center"/>
            <w:hideMark/>
          </w:tcPr>
          <w:p w14:paraId="60F71E4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Tubercules</w:t>
            </w:r>
          </w:p>
        </w:tc>
        <w:tc>
          <w:tcPr>
            <w:tcW w:w="0" w:type="auto"/>
            <w:vAlign w:val="center"/>
            <w:hideMark/>
          </w:tcPr>
          <w:p w14:paraId="0351154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Brun orangé</w:t>
            </w:r>
          </w:p>
        </w:tc>
        <w:tc>
          <w:tcPr>
            <w:tcW w:w="0" w:type="auto"/>
            <w:vAlign w:val="center"/>
            <w:hideMark/>
          </w:tcPr>
          <w:p w14:paraId="58A956C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#BF360C</w:t>
            </w:r>
          </w:p>
        </w:tc>
        <w:tc>
          <w:tcPr>
            <w:tcW w:w="0" w:type="auto"/>
            <w:vAlign w:val="center"/>
            <w:hideMark/>
          </w:tcPr>
          <w:p w14:paraId="7373B76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Manioc, igname : brun = racines et tubercules.</w:t>
            </w:r>
          </w:p>
        </w:tc>
      </w:tr>
      <w:tr w:rsidR="00B7474B" w:rsidRPr="00B7474B" w14:paraId="3F50205F" w14:textId="77777777" w:rsidTr="00B7474B">
        <w:trPr>
          <w:tblCellSpacing w:w="15" w:type="dxa"/>
        </w:trPr>
        <w:tc>
          <w:tcPr>
            <w:tcW w:w="0" w:type="auto"/>
            <w:vAlign w:val="center"/>
            <w:hideMark/>
          </w:tcPr>
          <w:p w14:paraId="785F505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Cultures de rente</w:t>
            </w:r>
          </w:p>
        </w:tc>
        <w:tc>
          <w:tcPr>
            <w:tcW w:w="0" w:type="auto"/>
            <w:vAlign w:val="center"/>
            <w:hideMark/>
          </w:tcPr>
          <w:p w14:paraId="7B9AA62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Violet</w:t>
            </w:r>
          </w:p>
        </w:tc>
        <w:tc>
          <w:tcPr>
            <w:tcW w:w="0" w:type="auto"/>
            <w:vAlign w:val="center"/>
            <w:hideMark/>
          </w:tcPr>
          <w:p w14:paraId="76E4D9A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#6A1B9A</w:t>
            </w:r>
          </w:p>
        </w:tc>
        <w:tc>
          <w:tcPr>
            <w:tcW w:w="0" w:type="auto"/>
            <w:vAlign w:val="center"/>
            <w:hideMark/>
          </w:tcPr>
          <w:p w14:paraId="447E60B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Coton, cacao : violet = valeur marchande.</w:t>
            </w:r>
          </w:p>
        </w:tc>
      </w:tr>
      <w:tr w:rsidR="00B7474B" w:rsidRPr="00B7474B" w14:paraId="2B215FE5" w14:textId="77777777" w:rsidTr="00B7474B">
        <w:trPr>
          <w:tblCellSpacing w:w="15" w:type="dxa"/>
        </w:trPr>
        <w:tc>
          <w:tcPr>
            <w:tcW w:w="0" w:type="auto"/>
            <w:vAlign w:val="center"/>
            <w:hideMark/>
          </w:tcPr>
          <w:p w14:paraId="7FF6AD9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Engrais chimique</w:t>
            </w:r>
          </w:p>
        </w:tc>
        <w:tc>
          <w:tcPr>
            <w:tcW w:w="0" w:type="auto"/>
            <w:vAlign w:val="center"/>
            <w:hideMark/>
          </w:tcPr>
          <w:p w14:paraId="356E1B8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Orange vif</w:t>
            </w:r>
          </w:p>
        </w:tc>
        <w:tc>
          <w:tcPr>
            <w:tcW w:w="0" w:type="auto"/>
            <w:vAlign w:val="center"/>
            <w:hideMark/>
          </w:tcPr>
          <w:p w14:paraId="5C21C66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#E65100</w:t>
            </w:r>
          </w:p>
        </w:tc>
        <w:tc>
          <w:tcPr>
            <w:tcW w:w="0" w:type="auto"/>
            <w:vAlign w:val="center"/>
            <w:hideMark/>
          </w:tcPr>
          <w:p w14:paraId="16C5538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Intrant industriel : orange = produit chimique, intensification.</w:t>
            </w:r>
          </w:p>
        </w:tc>
      </w:tr>
      <w:tr w:rsidR="00B7474B" w:rsidRPr="00B7474B" w14:paraId="30D407EC" w14:textId="77777777" w:rsidTr="00B7474B">
        <w:trPr>
          <w:tblCellSpacing w:w="15" w:type="dxa"/>
        </w:trPr>
        <w:tc>
          <w:tcPr>
            <w:tcW w:w="0" w:type="auto"/>
            <w:vAlign w:val="center"/>
            <w:hideMark/>
          </w:tcPr>
          <w:p w14:paraId="3A689A7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Engrais organique</w:t>
            </w:r>
          </w:p>
        </w:tc>
        <w:tc>
          <w:tcPr>
            <w:tcW w:w="0" w:type="auto"/>
            <w:vAlign w:val="center"/>
            <w:hideMark/>
          </w:tcPr>
          <w:p w14:paraId="59FAFC5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Brun vert</w:t>
            </w:r>
          </w:p>
        </w:tc>
        <w:tc>
          <w:tcPr>
            <w:tcW w:w="0" w:type="auto"/>
            <w:vAlign w:val="center"/>
            <w:hideMark/>
          </w:tcPr>
          <w:p w14:paraId="0CAF23B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#558B2F</w:t>
            </w:r>
          </w:p>
        </w:tc>
        <w:tc>
          <w:tcPr>
            <w:tcW w:w="0" w:type="auto"/>
            <w:vAlign w:val="center"/>
            <w:hideMark/>
          </w:tcPr>
          <w:p w14:paraId="35F91CD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Intrant naturel : vert foncé = organique.</w:t>
            </w:r>
          </w:p>
        </w:tc>
      </w:tr>
      <w:tr w:rsidR="00B7474B" w:rsidRPr="00B7474B" w14:paraId="13D09681" w14:textId="77777777" w:rsidTr="00B7474B">
        <w:trPr>
          <w:tblCellSpacing w:w="15" w:type="dxa"/>
        </w:trPr>
        <w:tc>
          <w:tcPr>
            <w:tcW w:w="0" w:type="auto"/>
            <w:vAlign w:val="center"/>
            <w:hideMark/>
          </w:tcPr>
          <w:p w14:paraId="5140BBD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Non-adoption</w:t>
            </w:r>
          </w:p>
        </w:tc>
        <w:tc>
          <w:tcPr>
            <w:tcW w:w="0" w:type="auto"/>
            <w:vAlign w:val="center"/>
            <w:hideMark/>
          </w:tcPr>
          <w:p w14:paraId="3B729EB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Gris</w:t>
            </w:r>
          </w:p>
        </w:tc>
        <w:tc>
          <w:tcPr>
            <w:tcW w:w="0" w:type="auto"/>
            <w:vAlign w:val="center"/>
            <w:hideMark/>
          </w:tcPr>
          <w:p w14:paraId="373F9F2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#9E9E9E</w:t>
            </w:r>
          </w:p>
        </w:tc>
        <w:tc>
          <w:tcPr>
            <w:tcW w:w="0" w:type="auto"/>
            <w:vAlign w:val="center"/>
            <w:hideMark/>
          </w:tcPr>
          <w:p w14:paraId="1EC8AE3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Ménages n'utilisant pas d'intrants.</w:t>
            </w:r>
          </w:p>
        </w:tc>
      </w:tr>
    </w:tbl>
    <w:p w14:paraId="442A8584"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cultures (couleurs par catégorie agro), </w:t>
      </w:r>
      <w:proofErr w:type="spellStart"/>
      <w:r w:rsidRPr="00B7474B">
        <w:rPr>
          <w:rFonts w:ascii="Times New Roman" w:eastAsia="Times New Roman" w:hAnsi="Times New Roman" w:cs="Times New Roman"/>
          <w:sz w:val="24"/>
          <w:szCs w:val="24"/>
          <w:lang w:eastAsia="fr-FR"/>
        </w:rPr>
        <w:t>boxplots</w:t>
      </w:r>
      <w:proofErr w:type="spellEnd"/>
      <w:r w:rsidRPr="00B7474B">
        <w:rPr>
          <w:rFonts w:ascii="Times New Roman" w:eastAsia="Times New Roman" w:hAnsi="Times New Roman" w:cs="Times New Roman"/>
          <w:sz w:val="24"/>
          <w:szCs w:val="24"/>
          <w:lang w:eastAsia="fr-FR"/>
        </w:rPr>
        <w:t xml:space="preserve"> rendements par État (vert IFPRI séquentiel),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adoption intrants W1 vs W4 (orange/vert), </w:t>
      </w:r>
      <w:proofErr w:type="spellStart"/>
      <w:r w:rsidRPr="00B7474B">
        <w:rPr>
          <w:rFonts w:ascii="Times New Roman" w:eastAsia="Times New Roman" w:hAnsi="Times New Roman" w:cs="Times New Roman"/>
          <w:sz w:val="24"/>
          <w:szCs w:val="24"/>
          <w:lang w:eastAsia="fr-FR"/>
        </w:rPr>
        <w:t>violin</w:t>
      </w:r>
      <w:proofErr w:type="spellEnd"/>
      <w:r w:rsidRPr="00B7474B">
        <w:rPr>
          <w:rFonts w:ascii="Times New Roman" w:eastAsia="Times New Roman" w:hAnsi="Times New Roman" w:cs="Times New Roman"/>
          <w:sz w:val="24"/>
          <w:szCs w:val="24"/>
          <w:lang w:eastAsia="fr-FR"/>
        </w:rPr>
        <w:t xml:space="preserve"> plots rendements.</w:t>
      </w:r>
    </w:p>
    <w:p w14:paraId="2E50EAB4"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la diversification culturale, l'intensité d'utilisation des intrants, les rendements agricoles et leur variabilité régionale, l'évolution de l'adoption technologique.</w:t>
      </w:r>
    </w:p>
    <w:p w14:paraId="7148B56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0A7128A9">
          <v:rect id="_x0000_i1031" style="width:0;height:1.5pt" o:hralign="center" o:hrstd="t" o:hr="t" fillcolor="#a0a0a0" stroked="f"/>
        </w:pict>
      </w:r>
    </w:p>
    <w:p w14:paraId="0D636113"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6 — Élevage et revenus animaux</w:t>
      </w:r>
    </w:p>
    <w:p w14:paraId="388FBBBE"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Couleur dominante : Brun chaud et ocre — bétail et pastoralisme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161"/>
        <w:gridCol w:w="901"/>
        <w:gridCol w:w="5582"/>
      </w:tblGrid>
      <w:tr w:rsidR="00B7474B" w:rsidRPr="00B7474B" w14:paraId="48DD78E0" w14:textId="77777777" w:rsidTr="00B7474B">
        <w:trPr>
          <w:tblHeader/>
          <w:tblCellSpacing w:w="15" w:type="dxa"/>
        </w:trPr>
        <w:tc>
          <w:tcPr>
            <w:tcW w:w="0" w:type="auto"/>
            <w:vAlign w:val="center"/>
            <w:hideMark/>
          </w:tcPr>
          <w:p w14:paraId="7D223772"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24B5FEEF"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7501EDAA"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6607809A"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5FFD4C21" w14:textId="77777777" w:rsidTr="00B7474B">
        <w:trPr>
          <w:tblCellSpacing w:w="15" w:type="dxa"/>
        </w:trPr>
        <w:tc>
          <w:tcPr>
            <w:tcW w:w="0" w:type="auto"/>
            <w:vAlign w:val="center"/>
            <w:hideMark/>
          </w:tcPr>
          <w:p w14:paraId="7372F68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1C695C8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Brun </w:t>
            </w:r>
            <w:proofErr w:type="spellStart"/>
            <w:r w:rsidRPr="00B7474B">
              <w:rPr>
                <w:rFonts w:ascii="Times New Roman" w:eastAsia="Times New Roman" w:hAnsi="Times New Roman" w:cs="Times New Roman"/>
                <w:sz w:val="24"/>
                <w:szCs w:val="24"/>
                <w:lang w:eastAsia="fr-FR"/>
              </w:rPr>
              <w:t>sienna</w:t>
            </w:r>
            <w:proofErr w:type="spellEnd"/>
          </w:p>
        </w:tc>
        <w:tc>
          <w:tcPr>
            <w:tcW w:w="0" w:type="auto"/>
            <w:vAlign w:val="center"/>
            <w:hideMark/>
          </w:tcPr>
          <w:p w14:paraId="110EC69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#A0522D</w:t>
            </w:r>
          </w:p>
        </w:tc>
        <w:tc>
          <w:tcPr>
            <w:tcW w:w="0" w:type="auto"/>
            <w:vAlign w:val="center"/>
            <w:hideMark/>
          </w:tcPr>
          <w:p w14:paraId="7EE6314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Couleur universellement associée au bétail, au cuir, à l'élevage. Utilisée dans les rapports FAO-AGAL (Animal Production and </w:t>
            </w:r>
            <w:proofErr w:type="spellStart"/>
            <w:r w:rsidRPr="00B7474B">
              <w:rPr>
                <w:rFonts w:ascii="Times New Roman" w:eastAsia="Times New Roman" w:hAnsi="Times New Roman" w:cs="Times New Roman"/>
                <w:sz w:val="24"/>
                <w:szCs w:val="24"/>
                <w:lang w:eastAsia="fr-FR"/>
              </w:rPr>
              <w:t>Health</w:t>
            </w:r>
            <w:proofErr w:type="spellEnd"/>
            <w:r w:rsidRPr="00B7474B">
              <w:rPr>
                <w:rFonts w:ascii="Times New Roman" w:eastAsia="Times New Roman" w:hAnsi="Times New Roman" w:cs="Times New Roman"/>
                <w:sz w:val="24"/>
                <w:szCs w:val="24"/>
                <w:lang w:eastAsia="fr-FR"/>
              </w:rPr>
              <w:t>).</w:t>
            </w:r>
          </w:p>
        </w:tc>
      </w:tr>
      <w:tr w:rsidR="00B7474B" w:rsidRPr="00B7474B" w14:paraId="4863167B" w14:textId="77777777" w:rsidTr="00B7474B">
        <w:trPr>
          <w:tblCellSpacing w:w="15" w:type="dxa"/>
        </w:trPr>
        <w:tc>
          <w:tcPr>
            <w:tcW w:w="0" w:type="auto"/>
            <w:vAlign w:val="center"/>
            <w:hideMark/>
          </w:tcPr>
          <w:p w14:paraId="135E780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Bovins</w:t>
            </w:r>
          </w:p>
        </w:tc>
        <w:tc>
          <w:tcPr>
            <w:tcW w:w="0" w:type="auto"/>
            <w:vAlign w:val="center"/>
            <w:hideMark/>
          </w:tcPr>
          <w:p w14:paraId="2A2EE5C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Brun foncé</w:t>
            </w:r>
          </w:p>
        </w:tc>
        <w:tc>
          <w:tcPr>
            <w:tcW w:w="0" w:type="auto"/>
            <w:vAlign w:val="center"/>
            <w:hideMark/>
          </w:tcPr>
          <w:p w14:paraId="6430EEB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#5D4037</w:t>
            </w:r>
          </w:p>
        </w:tc>
        <w:tc>
          <w:tcPr>
            <w:tcW w:w="0" w:type="auto"/>
            <w:vAlign w:val="center"/>
            <w:hideMark/>
          </w:tcPr>
          <w:p w14:paraId="44428E8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Plus grande valeur : ton le plus foncé.</w:t>
            </w:r>
          </w:p>
        </w:tc>
      </w:tr>
      <w:tr w:rsidR="00B7474B" w:rsidRPr="00B7474B" w14:paraId="7B6D6DE0" w14:textId="77777777" w:rsidTr="00B7474B">
        <w:trPr>
          <w:tblCellSpacing w:w="15" w:type="dxa"/>
        </w:trPr>
        <w:tc>
          <w:tcPr>
            <w:tcW w:w="0" w:type="auto"/>
            <w:vAlign w:val="center"/>
            <w:hideMark/>
          </w:tcPr>
          <w:p w14:paraId="1C62381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Petits ruminants</w:t>
            </w:r>
          </w:p>
        </w:tc>
        <w:tc>
          <w:tcPr>
            <w:tcW w:w="0" w:type="auto"/>
            <w:vAlign w:val="center"/>
            <w:hideMark/>
          </w:tcPr>
          <w:p w14:paraId="7F0D8D4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Ocre</w:t>
            </w:r>
          </w:p>
        </w:tc>
        <w:tc>
          <w:tcPr>
            <w:tcW w:w="0" w:type="auto"/>
            <w:vAlign w:val="center"/>
            <w:hideMark/>
          </w:tcPr>
          <w:p w14:paraId="45F3053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#FF8F00</w:t>
            </w:r>
          </w:p>
        </w:tc>
        <w:tc>
          <w:tcPr>
            <w:tcW w:w="0" w:type="auto"/>
            <w:vAlign w:val="center"/>
            <w:hideMark/>
          </w:tcPr>
          <w:p w14:paraId="171AD51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Ovins et caprins : teinte intermédiaire.</w:t>
            </w:r>
          </w:p>
        </w:tc>
      </w:tr>
      <w:tr w:rsidR="00B7474B" w:rsidRPr="00B7474B" w14:paraId="20D37C8E" w14:textId="77777777" w:rsidTr="00B7474B">
        <w:trPr>
          <w:tblCellSpacing w:w="15" w:type="dxa"/>
        </w:trPr>
        <w:tc>
          <w:tcPr>
            <w:tcW w:w="0" w:type="auto"/>
            <w:vAlign w:val="center"/>
            <w:hideMark/>
          </w:tcPr>
          <w:p w14:paraId="301D361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Volailles</w:t>
            </w:r>
          </w:p>
        </w:tc>
        <w:tc>
          <w:tcPr>
            <w:tcW w:w="0" w:type="auto"/>
            <w:vAlign w:val="center"/>
            <w:hideMark/>
          </w:tcPr>
          <w:p w14:paraId="6BB1ED9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Jaune</w:t>
            </w:r>
          </w:p>
        </w:tc>
        <w:tc>
          <w:tcPr>
            <w:tcW w:w="0" w:type="auto"/>
            <w:vAlign w:val="center"/>
            <w:hideMark/>
          </w:tcPr>
          <w:p w14:paraId="23F4D21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#FDD835</w:t>
            </w:r>
          </w:p>
        </w:tc>
        <w:tc>
          <w:tcPr>
            <w:tcW w:w="0" w:type="auto"/>
            <w:vAlign w:val="center"/>
            <w:hideMark/>
          </w:tcPr>
          <w:p w14:paraId="022D599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Volaille : jaune vif, animal le plus léger.</w:t>
            </w:r>
          </w:p>
        </w:tc>
      </w:tr>
      <w:tr w:rsidR="00B7474B" w:rsidRPr="00B7474B" w14:paraId="42635E0A" w14:textId="77777777" w:rsidTr="00B7474B">
        <w:trPr>
          <w:tblCellSpacing w:w="15" w:type="dxa"/>
        </w:trPr>
        <w:tc>
          <w:tcPr>
            <w:tcW w:w="0" w:type="auto"/>
            <w:vAlign w:val="center"/>
            <w:hideMark/>
          </w:tcPr>
          <w:p w14:paraId="6C5E26F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Porcs</w:t>
            </w:r>
          </w:p>
        </w:tc>
        <w:tc>
          <w:tcPr>
            <w:tcW w:w="0" w:type="auto"/>
            <w:vAlign w:val="center"/>
            <w:hideMark/>
          </w:tcPr>
          <w:p w14:paraId="730A626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Rose saumon</w:t>
            </w:r>
          </w:p>
        </w:tc>
        <w:tc>
          <w:tcPr>
            <w:tcW w:w="0" w:type="auto"/>
            <w:vAlign w:val="center"/>
            <w:hideMark/>
          </w:tcPr>
          <w:p w14:paraId="706D963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#EF9A9A</w:t>
            </w:r>
          </w:p>
        </w:tc>
        <w:tc>
          <w:tcPr>
            <w:tcW w:w="0" w:type="auto"/>
            <w:vAlign w:val="center"/>
            <w:hideMark/>
          </w:tcPr>
          <w:p w14:paraId="372931A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Rose = porcin.</w:t>
            </w:r>
          </w:p>
        </w:tc>
      </w:tr>
      <w:tr w:rsidR="00B7474B" w:rsidRPr="00B7474B" w14:paraId="75E437D1" w14:textId="77777777" w:rsidTr="00B7474B">
        <w:trPr>
          <w:tblCellSpacing w:w="15" w:type="dxa"/>
        </w:trPr>
        <w:tc>
          <w:tcPr>
            <w:tcW w:w="0" w:type="auto"/>
            <w:vAlign w:val="center"/>
            <w:hideMark/>
          </w:tcPr>
          <w:p w14:paraId="791B753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Revenus animaux</w:t>
            </w:r>
          </w:p>
        </w:tc>
        <w:tc>
          <w:tcPr>
            <w:tcW w:w="0" w:type="auto"/>
            <w:vAlign w:val="center"/>
            <w:hideMark/>
          </w:tcPr>
          <w:p w14:paraId="2D6C485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émeraude</w:t>
            </w:r>
          </w:p>
        </w:tc>
        <w:tc>
          <w:tcPr>
            <w:tcW w:w="0" w:type="auto"/>
            <w:vAlign w:val="center"/>
            <w:hideMark/>
          </w:tcPr>
          <w:p w14:paraId="2E204CE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#00695C</w:t>
            </w:r>
          </w:p>
        </w:tc>
        <w:tc>
          <w:tcPr>
            <w:tcW w:w="0" w:type="auto"/>
            <w:vAlign w:val="center"/>
            <w:hideMark/>
          </w:tcPr>
          <w:p w14:paraId="2834350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Conversion en valeur monétaire : vert = revenu.</w:t>
            </w:r>
          </w:p>
        </w:tc>
      </w:tr>
      <w:tr w:rsidR="00B7474B" w:rsidRPr="00B7474B" w14:paraId="4B364AF5" w14:textId="77777777" w:rsidTr="00B7474B">
        <w:trPr>
          <w:tblCellSpacing w:w="15" w:type="dxa"/>
        </w:trPr>
        <w:tc>
          <w:tcPr>
            <w:tcW w:w="0" w:type="auto"/>
            <w:vAlign w:val="center"/>
            <w:hideMark/>
          </w:tcPr>
          <w:p w14:paraId="4F3E560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Perte/décès</w:t>
            </w:r>
          </w:p>
        </w:tc>
        <w:tc>
          <w:tcPr>
            <w:tcW w:w="0" w:type="auto"/>
            <w:vAlign w:val="center"/>
            <w:hideMark/>
          </w:tcPr>
          <w:p w14:paraId="2577CD6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Gris froid</w:t>
            </w:r>
          </w:p>
        </w:tc>
        <w:tc>
          <w:tcPr>
            <w:tcW w:w="0" w:type="auto"/>
            <w:vAlign w:val="center"/>
            <w:hideMark/>
          </w:tcPr>
          <w:p w14:paraId="0010718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#607D8B</w:t>
            </w:r>
          </w:p>
        </w:tc>
        <w:tc>
          <w:tcPr>
            <w:tcW w:w="0" w:type="auto"/>
            <w:vAlign w:val="center"/>
            <w:hideMark/>
          </w:tcPr>
          <w:p w14:paraId="11DFA12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Mortalité animale, déclin du cheptel.</w:t>
            </w:r>
          </w:p>
        </w:tc>
      </w:tr>
    </w:tbl>
    <w:p w14:paraId="7CE66ED0"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taux de possession (brun séquentiel), </w:t>
      </w:r>
      <w:proofErr w:type="spellStart"/>
      <w:r w:rsidRPr="00B7474B">
        <w:rPr>
          <w:rFonts w:ascii="Times New Roman" w:eastAsia="Times New Roman" w:hAnsi="Times New Roman" w:cs="Times New Roman"/>
          <w:sz w:val="24"/>
          <w:szCs w:val="24"/>
          <w:lang w:eastAsia="fr-FR"/>
        </w:rPr>
        <w:t>heatmap</w:t>
      </w:r>
      <w:proofErr w:type="spellEnd"/>
      <w:r w:rsidRPr="00B7474B">
        <w:rPr>
          <w:rFonts w:ascii="Times New Roman" w:eastAsia="Times New Roman" w:hAnsi="Times New Roman" w:cs="Times New Roman"/>
          <w:sz w:val="24"/>
          <w:szCs w:val="24"/>
          <w:lang w:eastAsia="fr-FR"/>
        </w:rPr>
        <w:t xml:space="preserve"> possession bovins × État (blanc → brun foncé), </w:t>
      </w:r>
      <w:proofErr w:type="spellStart"/>
      <w:r w:rsidRPr="00B7474B">
        <w:rPr>
          <w:rFonts w:ascii="Times New Roman" w:eastAsia="Times New Roman" w:hAnsi="Times New Roman" w:cs="Times New Roman"/>
          <w:sz w:val="24"/>
          <w:szCs w:val="24"/>
          <w:lang w:eastAsia="fr-FR"/>
        </w:rPr>
        <w:t>violin</w:t>
      </w:r>
      <w:proofErr w:type="spellEnd"/>
      <w:r w:rsidRPr="00B7474B">
        <w:rPr>
          <w:rFonts w:ascii="Times New Roman" w:eastAsia="Times New Roman" w:hAnsi="Times New Roman" w:cs="Times New Roman"/>
          <w:sz w:val="24"/>
          <w:szCs w:val="24"/>
          <w:lang w:eastAsia="fr-FR"/>
        </w:rPr>
        <w:t xml:space="preserve"> plots revenus animaux (vert), </w:t>
      </w:r>
      <w:proofErr w:type="spellStart"/>
      <w:r w:rsidRPr="00B7474B">
        <w:rPr>
          <w:rFonts w:ascii="Times New Roman" w:eastAsia="Times New Roman" w:hAnsi="Times New Roman" w:cs="Times New Roman"/>
          <w:sz w:val="24"/>
          <w:szCs w:val="24"/>
          <w:lang w:eastAsia="fr-FR"/>
        </w:rPr>
        <w:t>boxplots</w:t>
      </w:r>
      <w:proofErr w:type="spellEnd"/>
      <w:r w:rsidRPr="00B7474B">
        <w:rPr>
          <w:rFonts w:ascii="Times New Roman" w:eastAsia="Times New Roman" w:hAnsi="Times New Roman" w:cs="Times New Roman"/>
          <w:sz w:val="24"/>
          <w:szCs w:val="24"/>
          <w:lang w:eastAsia="fr-FR"/>
        </w:rPr>
        <w:t xml:space="preserve"> comparatifs W2 vs W4.</w:t>
      </w:r>
    </w:p>
    <w:p w14:paraId="2F361913"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la structure du cheptel, la valeur économique de l'élevage, la diversification animale comme stratégie de résilience.</w:t>
      </w:r>
    </w:p>
    <w:p w14:paraId="496CBCF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323191DE">
          <v:rect id="_x0000_i1032" style="width:0;height:1.5pt" o:hralign="center" o:hrstd="t" o:hr="t" fillcolor="#a0a0a0" stroked="f"/>
        </w:pict>
      </w:r>
    </w:p>
    <w:p w14:paraId="6B99A851"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7 — Dépenses de consommation et inégalités</w:t>
      </w:r>
    </w:p>
    <w:p w14:paraId="00DB16CD"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Couleur dominante : Bleu Banque mondiale + rouge-orange pour les inégalités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914"/>
        <w:gridCol w:w="901"/>
        <w:gridCol w:w="5792"/>
      </w:tblGrid>
      <w:tr w:rsidR="00B7474B" w:rsidRPr="00B7474B" w14:paraId="62AB7798" w14:textId="77777777" w:rsidTr="00B7474B">
        <w:trPr>
          <w:tblHeader/>
          <w:tblCellSpacing w:w="15" w:type="dxa"/>
        </w:trPr>
        <w:tc>
          <w:tcPr>
            <w:tcW w:w="0" w:type="auto"/>
            <w:vAlign w:val="center"/>
            <w:hideMark/>
          </w:tcPr>
          <w:p w14:paraId="7006752F"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42CA8D8D"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6FA53ACD"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30CDCFD9"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79112DDF" w14:textId="77777777" w:rsidTr="00B7474B">
        <w:trPr>
          <w:tblCellSpacing w:w="15" w:type="dxa"/>
        </w:trPr>
        <w:tc>
          <w:tcPr>
            <w:tcW w:w="0" w:type="auto"/>
            <w:vAlign w:val="center"/>
            <w:hideMark/>
          </w:tcPr>
          <w:p w14:paraId="6717F22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1CB1F6F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WB</w:t>
            </w:r>
          </w:p>
        </w:tc>
        <w:tc>
          <w:tcPr>
            <w:tcW w:w="0" w:type="auto"/>
            <w:vAlign w:val="center"/>
            <w:hideMark/>
          </w:tcPr>
          <w:p w14:paraId="725C6D6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#009FDA</w:t>
            </w:r>
          </w:p>
        </w:tc>
        <w:tc>
          <w:tcPr>
            <w:tcW w:w="0" w:type="auto"/>
            <w:vAlign w:val="center"/>
            <w:hideMark/>
          </w:tcPr>
          <w:p w14:paraId="5EDDABB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Couleur officielle de la Banque mondiale (</w:t>
            </w:r>
            <w:proofErr w:type="spellStart"/>
            <w:r w:rsidRPr="00B7474B">
              <w:rPr>
                <w:rFonts w:ascii="Times New Roman" w:eastAsia="Times New Roman" w:hAnsi="Times New Roman" w:cs="Times New Roman"/>
                <w:sz w:val="24"/>
                <w:szCs w:val="24"/>
                <w:lang w:eastAsia="fr-FR"/>
              </w:rPr>
              <w:t>Branding</w:t>
            </w:r>
            <w:proofErr w:type="spellEnd"/>
            <w:r w:rsidRPr="00B7474B">
              <w:rPr>
                <w:rFonts w:ascii="Times New Roman" w:eastAsia="Times New Roman" w:hAnsi="Times New Roman" w:cs="Times New Roman"/>
                <w:sz w:val="24"/>
                <w:szCs w:val="24"/>
                <w:lang w:eastAsia="fr-FR"/>
              </w:rPr>
              <w:t xml:space="preserve"> Guidelines, 2017). Tout ce qui touche à la mesure du niveau de vie, la pauvreté, la consommation relève du champ de la Banque mondiale.</w:t>
            </w:r>
          </w:p>
        </w:tc>
      </w:tr>
      <w:tr w:rsidR="00B7474B" w:rsidRPr="00B7474B" w14:paraId="279A338F" w14:textId="77777777" w:rsidTr="00B7474B">
        <w:trPr>
          <w:tblCellSpacing w:w="15" w:type="dxa"/>
        </w:trPr>
        <w:tc>
          <w:tcPr>
            <w:tcW w:w="0" w:type="auto"/>
            <w:vAlign w:val="center"/>
            <w:hideMark/>
          </w:tcPr>
          <w:p w14:paraId="2319AC2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Secondaire</w:t>
            </w:r>
          </w:p>
        </w:tc>
        <w:tc>
          <w:tcPr>
            <w:tcW w:w="0" w:type="auto"/>
            <w:vAlign w:val="center"/>
            <w:hideMark/>
          </w:tcPr>
          <w:p w14:paraId="2AEE8D5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nuit WB</w:t>
            </w:r>
          </w:p>
        </w:tc>
        <w:tc>
          <w:tcPr>
            <w:tcW w:w="0" w:type="auto"/>
            <w:vAlign w:val="center"/>
            <w:hideMark/>
          </w:tcPr>
          <w:p w14:paraId="1CB02FE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#002244</w:t>
            </w:r>
          </w:p>
        </w:tc>
        <w:tc>
          <w:tcPr>
            <w:tcW w:w="0" w:type="auto"/>
            <w:vAlign w:val="center"/>
            <w:hideMark/>
          </w:tcPr>
          <w:p w14:paraId="2E2A4B5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Deuxième couleur officielle de la Banque mondiale.</w:t>
            </w:r>
          </w:p>
        </w:tc>
      </w:tr>
      <w:tr w:rsidR="00B7474B" w:rsidRPr="00B7474B" w14:paraId="2EEF3286" w14:textId="77777777" w:rsidTr="00B7474B">
        <w:trPr>
          <w:tblCellSpacing w:w="15" w:type="dxa"/>
        </w:trPr>
        <w:tc>
          <w:tcPr>
            <w:tcW w:w="0" w:type="auto"/>
            <w:vAlign w:val="center"/>
            <w:hideMark/>
          </w:tcPr>
          <w:p w14:paraId="61B8C9B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Inégalité haute</w:t>
            </w:r>
          </w:p>
        </w:tc>
        <w:tc>
          <w:tcPr>
            <w:tcW w:w="0" w:type="auto"/>
            <w:vAlign w:val="center"/>
            <w:hideMark/>
          </w:tcPr>
          <w:p w14:paraId="091E75D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Rouge</w:t>
            </w:r>
          </w:p>
        </w:tc>
        <w:tc>
          <w:tcPr>
            <w:tcW w:w="0" w:type="auto"/>
            <w:vAlign w:val="center"/>
            <w:hideMark/>
          </w:tcPr>
          <w:p w14:paraId="709BEAE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#C0392B</w:t>
            </w:r>
          </w:p>
        </w:tc>
        <w:tc>
          <w:tcPr>
            <w:tcW w:w="0" w:type="auto"/>
            <w:vAlign w:val="center"/>
            <w:hideMark/>
          </w:tcPr>
          <w:p w14:paraId="288FC7C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Gini élevé, forte inégalité : rouge = alerte, problème politique.</w:t>
            </w:r>
          </w:p>
        </w:tc>
      </w:tr>
      <w:tr w:rsidR="00B7474B" w:rsidRPr="00B7474B" w14:paraId="0DEEECFC" w14:textId="77777777" w:rsidTr="00B7474B">
        <w:trPr>
          <w:tblCellSpacing w:w="15" w:type="dxa"/>
        </w:trPr>
        <w:tc>
          <w:tcPr>
            <w:tcW w:w="0" w:type="auto"/>
            <w:vAlign w:val="center"/>
            <w:hideMark/>
          </w:tcPr>
          <w:p w14:paraId="2971F86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Inégalité faible</w:t>
            </w:r>
          </w:p>
        </w:tc>
        <w:tc>
          <w:tcPr>
            <w:tcW w:w="0" w:type="auto"/>
            <w:vAlign w:val="center"/>
            <w:hideMark/>
          </w:tcPr>
          <w:p w14:paraId="14524F7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w:t>
            </w:r>
          </w:p>
        </w:tc>
        <w:tc>
          <w:tcPr>
            <w:tcW w:w="0" w:type="auto"/>
            <w:vAlign w:val="center"/>
            <w:hideMark/>
          </w:tcPr>
          <w:p w14:paraId="34BF8B3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#27AE60</w:t>
            </w:r>
          </w:p>
        </w:tc>
        <w:tc>
          <w:tcPr>
            <w:tcW w:w="0" w:type="auto"/>
            <w:vAlign w:val="center"/>
            <w:hideMark/>
          </w:tcPr>
          <w:p w14:paraId="334C373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Gini bas, meilleure distribution : vert = situation favorable.</w:t>
            </w:r>
          </w:p>
        </w:tc>
      </w:tr>
      <w:tr w:rsidR="00B7474B" w:rsidRPr="00B7474B" w14:paraId="20849DAB" w14:textId="77777777" w:rsidTr="00B7474B">
        <w:trPr>
          <w:tblCellSpacing w:w="15" w:type="dxa"/>
        </w:trPr>
        <w:tc>
          <w:tcPr>
            <w:tcW w:w="0" w:type="auto"/>
            <w:vAlign w:val="center"/>
            <w:hideMark/>
          </w:tcPr>
          <w:p w14:paraId="2206354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Quintile 1 (pauvres)</w:t>
            </w:r>
          </w:p>
        </w:tc>
        <w:tc>
          <w:tcPr>
            <w:tcW w:w="0" w:type="auto"/>
            <w:vAlign w:val="center"/>
            <w:hideMark/>
          </w:tcPr>
          <w:p w14:paraId="63367AF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clair</w:t>
            </w:r>
          </w:p>
        </w:tc>
        <w:tc>
          <w:tcPr>
            <w:tcW w:w="0" w:type="auto"/>
            <w:vAlign w:val="center"/>
            <w:hideMark/>
          </w:tcPr>
          <w:p w14:paraId="3C18734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#AED6F1</w:t>
            </w:r>
          </w:p>
        </w:tc>
        <w:tc>
          <w:tcPr>
            <w:tcW w:w="0" w:type="auto"/>
            <w:vAlign w:val="center"/>
            <w:hideMark/>
          </w:tcPr>
          <w:p w14:paraId="110C50C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Valeur basse de la distribution de consommation.</w:t>
            </w:r>
          </w:p>
        </w:tc>
      </w:tr>
      <w:tr w:rsidR="00B7474B" w:rsidRPr="00B7474B" w14:paraId="78F4C4DD" w14:textId="77777777" w:rsidTr="00B7474B">
        <w:trPr>
          <w:tblCellSpacing w:w="15" w:type="dxa"/>
        </w:trPr>
        <w:tc>
          <w:tcPr>
            <w:tcW w:w="0" w:type="auto"/>
            <w:vAlign w:val="center"/>
            <w:hideMark/>
          </w:tcPr>
          <w:p w14:paraId="1AA170C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Quintile 5 (riches)</w:t>
            </w:r>
          </w:p>
        </w:tc>
        <w:tc>
          <w:tcPr>
            <w:tcW w:w="0" w:type="auto"/>
            <w:vAlign w:val="center"/>
            <w:hideMark/>
          </w:tcPr>
          <w:p w14:paraId="3E6F687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foncé</w:t>
            </w:r>
          </w:p>
        </w:tc>
        <w:tc>
          <w:tcPr>
            <w:tcW w:w="0" w:type="auto"/>
            <w:vAlign w:val="center"/>
            <w:hideMark/>
          </w:tcPr>
          <w:p w14:paraId="53077A9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#1A5276</w:t>
            </w:r>
          </w:p>
        </w:tc>
        <w:tc>
          <w:tcPr>
            <w:tcW w:w="0" w:type="auto"/>
            <w:vAlign w:val="center"/>
            <w:hideMark/>
          </w:tcPr>
          <w:p w14:paraId="60F6D92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Valeur haute.</w:t>
            </w:r>
          </w:p>
        </w:tc>
      </w:tr>
      <w:tr w:rsidR="00B7474B" w:rsidRPr="00B7474B" w14:paraId="2D788F7A" w14:textId="77777777" w:rsidTr="00B7474B">
        <w:trPr>
          <w:tblCellSpacing w:w="15" w:type="dxa"/>
        </w:trPr>
        <w:tc>
          <w:tcPr>
            <w:tcW w:w="0" w:type="auto"/>
            <w:vAlign w:val="center"/>
            <w:hideMark/>
          </w:tcPr>
          <w:p w14:paraId="6131587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Rural</w:t>
            </w:r>
          </w:p>
        </w:tc>
        <w:tc>
          <w:tcPr>
            <w:tcW w:w="0" w:type="auto"/>
            <w:vAlign w:val="center"/>
            <w:hideMark/>
          </w:tcPr>
          <w:p w14:paraId="3D1C4CD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sauge</w:t>
            </w:r>
          </w:p>
        </w:tc>
        <w:tc>
          <w:tcPr>
            <w:tcW w:w="0" w:type="auto"/>
            <w:vAlign w:val="center"/>
            <w:hideMark/>
          </w:tcPr>
          <w:p w14:paraId="01BB912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#80BD41</w:t>
            </w:r>
          </w:p>
        </w:tc>
        <w:tc>
          <w:tcPr>
            <w:tcW w:w="0" w:type="auto"/>
            <w:vAlign w:val="center"/>
            <w:hideMark/>
          </w:tcPr>
          <w:p w14:paraId="13BBFA2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Convention FAO rural.</w:t>
            </w:r>
          </w:p>
        </w:tc>
      </w:tr>
      <w:tr w:rsidR="00B7474B" w:rsidRPr="00B7474B" w14:paraId="6A3BE5E5" w14:textId="77777777" w:rsidTr="00B7474B">
        <w:trPr>
          <w:tblCellSpacing w:w="15" w:type="dxa"/>
        </w:trPr>
        <w:tc>
          <w:tcPr>
            <w:tcW w:w="0" w:type="auto"/>
            <w:vAlign w:val="center"/>
            <w:hideMark/>
          </w:tcPr>
          <w:p w14:paraId="0524F59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Urbain</w:t>
            </w:r>
          </w:p>
        </w:tc>
        <w:tc>
          <w:tcPr>
            <w:tcW w:w="0" w:type="auto"/>
            <w:vAlign w:val="center"/>
            <w:hideMark/>
          </w:tcPr>
          <w:p w14:paraId="75EF6E0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gris</w:t>
            </w:r>
          </w:p>
        </w:tc>
        <w:tc>
          <w:tcPr>
            <w:tcW w:w="0" w:type="auto"/>
            <w:vAlign w:val="center"/>
            <w:hideMark/>
          </w:tcPr>
          <w:p w14:paraId="7D5C4B1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#5D6D7E</w:t>
            </w:r>
          </w:p>
        </w:tc>
        <w:tc>
          <w:tcPr>
            <w:tcW w:w="0" w:type="auto"/>
            <w:vAlign w:val="center"/>
            <w:hideMark/>
          </w:tcPr>
          <w:p w14:paraId="58B9C80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Convention HABITAT urbain.</w:t>
            </w:r>
          </w:p>
        </w:tc>
      </w:tr>
      <w:tr w:rsidR="00B7474B" w:rsidRPr="00B7474B" w14:paraId="6E3C0087" w14:textId="77777777" w:rsidTr="00B7474B">
        <w:trPr>
          <w:tblCellSpacing w:w="15" w:type="dxa"/>
        </w:trPr>
        <w:tc>
          <w:tcPr>
            <w:tcW w:w="0" w:type="auto"/>
            <w:vAlign w:val="center"/>
            <w:hideMark/>
          </w:tcPr>
          <w:p w14:paraId="16EF803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Alimentaire</w:t>
            </w:r>
          </w:p>
        </w:tc>
        <w:tc>
          <w:tcPr>
            <w:tcW w:w="0" w:type="auto"/>
            <w:vAlign w:val="center"/>
            <w:hideMark/>
          </w:tcPr>
          <w:p w14:paraId="7D16D21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olive</w:t>
            </w:r>
          </w:p>
        </w:tc>
        <w:tc>
          <w:tcPr>
            <w:tcW w:w="0" w:type="auto"/>
            <w:vAlign w:val="center"/>
            <w:hideMark/>
          </w:tcPr>
          <w:p w14:paraId="6F87805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#8D9E2A</w:t>
            </w:r>
          </w:p>
        </w:tc>
        <w:tc>
          <w:tcPr>
            <w:tcW w:w="0" w:type="auto"/>
            <w:vAlign w:val="center"/>
            <w:hideMark/>
          </w:tcPr>
          <w:p w14:paraId="3C5399B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Part alimentaire des dépenses.</w:t>
            </w:r>
          </w:p>
        </w:tc>
      </w:tr>
      <w:tr w:rsidR="00B7474B" w:rsidRPr="00B7474B" w14:paraId="38ACB185" w14:textId="77777777" w:rsidTr="00B7474B">
        <w:trPr>
          <w:tblCellSpacing w:w="15" w:type="dxa"/>
        </w:trPr>
        <w:tc>
          <w:tcPr>
            <w:tcW w:w="0" w:type="auto"/>
            <w:vAlign w:val="center"/>
            <w:hideMark/>
          </w:tcPr>
          <w:p w14:paraId="0EED241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Non-alimentaire</w:t>
            </w:r>
          </w:p>
        </w:tc>
        <w:tc>
          <w:tcPr>
            <w:tcW w:w="0" w:type="auto"/>
            <w:vAlign w:val="center"/>
            <w:hideMark/>
          </w:tcPr>
          <w:p w14:paraId="3A8E79A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ardoise</w:t>
            </w:r>
          </w:p>
        </w:tc>
        <w:tc>
          <w:tcPr>
            <w:tcW w:w="0" w:type="auto"/>
            <w:vAlign w:val="center"/>
            <w:hideMark/>
          </w:tcPr>
          <w:p w14:paraId="06DE83D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#34495E</w:t>
            </w:r>
          </w:p>
        </w:tc>
        <w:tc>
          <w:tcPr>
            <w:tcW w:w="0" w:type="auto"/>
            <w:vAlign w:val="center"/>
            <w:hideMark/>
          </w:tcPr>
          <w:p w14:paraId="2175A0F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Part non-alimentaire.</w:t>
            </w:r>
          </w:p>
        </w:tc>
      </w:tr>
    </w:tbl>
    <w:p w14:paraId="5422FEFA"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courbes de Lorenz (une couleur par vague, palette séquentielle bleu WB), </w:t>
      </w:r>
      <w:proofErr w:type="spellStart"/>
      <w:r w:rsidRPr="00B7474B">
        <w:rPr>
          <w:rFonts w:ascii="Times New Roman" w:eastAsia="Times New Roman" w:hAnsi="Times New Roman" w:cs="Times New Roman"/>
          <w:sz w:val="24"/>
          <w:szCs w:val="24"/>
          <w:lang w:eastAsia="fr-FR"/>
        </w:rPr>
        <w:t>violin</w:t>
      </w:r>
      <w:proofErr w:type="spellEnd"/>
      <w:r w:rsidRPr="00B7474B">
        <w:rPr>
          <w:rFonts w:ascii="Times New Roman" w:eastAsia="Times New Roman" w:hAnsi="Times New Roman" w:cs="Times New Roman"/>
          <w:sz w:val="24"/>
          <w:szCs w:val="24"/>
          <w:lang w:eastAsia="fr-FR"/>
        </w:rPr>
        <w:t xml:space="preserve"> plots rural/urbain (vert/gris), dot plot Cleveland par État (terciles rouge/orange/vert),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100% empilés alimentaire/non-alimentaire.</w:t>
      </w:r>
    </w:p>
    <w:p w14:paraId="5D9C977B"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la distribution du niveau de vie, le degré d'inégalité économique, la structure des dépenses des ménages selon leur richesse relative.</w:t>
      </w:r>
    </w:p>
    <w:p w14:paraId="5B6C41A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32B5CD83">
          <v:rect id="_x0000_i1033" style="width:0;height:1.5pt" o:hralign="center" o:hrstd="t" o:hr="t" fillcolor="#a0a0a0" stroked="f"/>
        </w:pict>
      </w:r>
    </w:p>
    <w:p w14:paraId="631F295C"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8 — Marchés, finance et infrastructures</w:t>
      </w:r>
    </w:p>
    <w:p w14:paraId="3D82A722"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Couleur dominante : Bleu cyan infrastructure + orange finance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454"/>
        <w:gridCol w:w="901"/>
        <w:gridCol w:w="4783"/>
      </w:tblGrid>
      <w:tr w:rsidR="00B7474B" w:rsidRPr="00B7474B" w14:paraId="5062FC7C" w14:textId="77777777" w:rsidTr="00B7474B">
        <w:trPr>
          <w:tblHeader/>
          <w:tblCellSpacing w:w="15" w:type="dxa"/>
        </w:trPr>
        <w:tc>
          <w:tcPr>
            <w:tcW w:w="0" w:type="auto"/>
            <w:vAlign w:val="center"/>
            <w:hideMark/>
          </w:tcPr>
          <w:p w14:paraId="58528EBA"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723A6B6E"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46385073"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79731E6C"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70E980CC" w14:textId="77777777" w:rsidTr="00B7474B">
        <w:trPr>
          <w:tblCellSpacing w:w="15" w:type="dxa"/>
        </w:trPr>
        <w:tc>
          <w:tcPr>
            <w:tcW w:w="0" w:type="auto"/>
            <w:vAlign w:val="center"/>
            <w:hideMark/>
          </w:tcPr>
          <w:p w14:paraId="007D069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577213F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infrastructure</w:t>
            </w:r>
          </w:p>
        </w:tc>
        <w:tc>
          <w:tcPr>
            <w:tcW w:w="0" w:type="auto"/>
            <w:vAlign w:val="center"/>
            <w:hideMark/>
          </w:tcPr>
          <w:p w14:paraId="4E74A70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#0277BD</w:t>
            </w:r>
          </w:p>
        </w:tc>
        <w:tc>
          <w:tcPr>
            <w:tcW w:w="0" w:type="auto"/>
            <w:vAlign w:val="center"/>
            <w:hideMark/>
          </w:tcPr>
          <w:p w14:paraId="6C39652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Les rapports HABITAT et Banque mondiale sur les infrastructures utilisent systématiquement des bleus profonds pour signifier la connectivité physique (eau, routes, réseaux).</w:t>
            </w:r>
          </w:p>
        </w:tc>
      </w:tr>
      <w:tr w:rsidR="00B7474B" w:rsidRPr="00B7474B" w14:paraId="09C61F56" w14:textId="77777777" w:rsidTr="00B7474B">
        <w:trPr>
          <w:tblCellSpacing w:w="15" w:type="dxa"/>
        </w:trPr>
        <w:tc>
          <w:tcPr>
            <w:tcW w:w="0" w:type="auto"/>
            <w:vAlign w:val="center"/>
            <w:hideMark/>
          </w:tcPr>
          <w:p w14:paraId="48FEFBD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Eau</w:t>
            </w:r>
          </w:p>
        </w:tc>
        <w:tc>
          <w:tcPr>
            <w:tcW w:w="0" w:type="auto"/>
            <w:vAlign w:val="center"/>
            <w:hideMark/>
          </w:tcPr>
          <w:p w14:paraId="790FFF9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clair</w:t>
            </w:r>
          </w:p>
        </w:tc>
        <w:tc>
          <w:tcPr>
            <w:tcW w:w="0" w:type="auto"/>
            <w:vAlign w:val="center"/>
            <w:hideMark/>
          </w:tcPr>
          <w:p w14:paraId="75CDC65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#29B6F6</w:t>
            </w:r>
          </w:p>
        </w:tc>
        <w:tc>
          <w:tcPr>
            <w:tcW w:w="0" w:type="auto"/>
            <w:vAlign w:val="center"/>
            <w:hideMark/>
          </w:tcPr>
          <w:p w14:paraId="723F845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Convention universelle : bleu = eau (DIME Analytics Wiki, 2021 : "</w:t>
            </w:r>
            <w:proofErr w:type="spellStart"/>
            <w:r w:rsidRPr="00B7474B">
              <w:rPr>
                <w:rFonts w:ascii="Times New Roman" w:eastAsia="Times New Roman" w:hAnsi="Times New Roman" w:cs="Times New Roman"/>
                <w:sz w:val="24"/>
                <w:szCs w:val="24"/>
                <w:lang w:eastAsia="fr-FR"/>
              </w:rPr>
              <w:t>blue</w:t>
            </w:r>
            <w:proofErr w:type="spellEnd"/>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is</w:t>
            </w:r>
            <w:proofErr w:type="spellEnd"/>
            <w:r w:rsidRPr="00B7474B">
              <w:rPr>
                <w:rFonts w:ascii="Times New Roman" w:eastAsia="Times New Roman" w:hAnsi="Times New Roman" w:cs="Times New Roman"/>
                <w:sz w:val="24"/>
                <w:szCs w:val="24"/>
                <w:lang w:eastAsia="fr-FR"/>
              </w:rPr>
              <w:t xml:space="preserve"> water").</w:t>
            </w:r>
          </w:p>
        </w:tc>
      </w:tr>
      <w:tr w:rsidR="00B7474B" w:rsidRPr="00B7474B" w14:paraId="72F3A77F" w14:textId="77777777" w:rsidTr="00B7474B">
        <w:trPr>
          <w:tblCellSpacing w:w="15" w:type="dxa"/>
        </w:trPr>
        <w:tc>
          <w:tcPr>
            <w:tcW w:w="0" w:type="auto"/>
            <w:vAlign w:val="center"/>
            <w:hideMark/>
          </w:tcPr>
          <w:p w14:paraId="10ACCC3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Route bitumée</w:t>
            </w:r>
          </w:p>
        </w:tc>
        <w:tc>
          <w:tcPr>
            <w:tcW w:w="0" w:type="auto"/>
            <w:vAlign w:val="center"/>
            <w:hideMark/>
          </w:tcPr>
          <w:p w14:paraId="5023D0C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Gris foncé</w:t>
            </w:r>
          </w:p>
        </w:tc>
        <w:tc>
          <w:tcPr>
            <w:tcW w:w="0" w:type="auto"/>
            <w:vAlign w:val="center"/>
            <w:hideMark/>
          </w:tcPr>
          <w:p w14:paraId="090DE20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#455A64</w:t>
            </w:r>
          </w:p>
        </w:tc>
        <w:tc>
          <w:tcPr>
            <w:tcW w:w="0" w:type="auto"/>
            <w:vAlign w:val="center"/>
            <w:hideMark/>
          </w:tcPr>
          <w:p w14:paraId="74A4D7B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Route de qualité : gris = béton, asphalte.</w:t>
            </w:r>
          </w:p>
        </w:tc>
      </w:tr>
      <w:tr w:rsidR="00B7474B" w:rsidRPr="00B7474B" w14:paraId="64190542" w14:textId="77777777" w:rsidTr="00B7474B">
        <w:trPr>
          <w:tblCellSpacing w:w="15" w:type="dxa"/>
        </w:trPr>
        <w:tc>
          <w:tcPr>
            <w:tcW w:w="0" w:type="auto"/>
            <w:vAlign w:val="center"/>
            <w:hideMark/>
          </w:tcPr>
          <w:p w14:paraId="086D994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Route latérite</w:t>
            </w:r>
          </w:p>
        </w:tc>
        <w:tc>
          <w:tcPr>
            <w:tcW w:w="0" w:type="auto"/>
            <w:vAlign w:val="center"/>
            <w:hideMark/>
          </w:tcPr>
          <w:p w14:paraId="6F9D8F5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Ocre</w:t>
            </w:r>
          </w:p>
        </w:tc>
        <w:tc>
          <w:tcPr>
            <w:tcW w:w="0" w:type="auto"/>
            <w:vAlign w:val="center"/>
            <w:hideMark/>
          </w:tcPr>
          <w:p w14:paraId="0A91851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#A1887F</w:t>
            </w:r>
          </w:p>
        </w:tc>
        <w:tc>
          <w:tcPr>
            <w:tcW w:w="0" w:type="auto"/>
            <w:vAlign w:val="center"/>
            <w:hideMark/>
          </w:tcPr>
          <w:p w14:paraId="0BAC17C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Piste/latérite : brun orangé = terre battue.</w:t>
            </w:r>
          </w:p>
        </w:tc>
      </w:tr>
      <w:tr w:rsidR="00B7474B" w:rsidRPr="00B7474B" w14:paraId="52E3FEF8" w14:textId="77777777" w:rsidTr="00B7474B">
        <w:trPr>
          <w:tblCellSpacing w:w="15" w:type="dxa"/>
        </w:trPr>
        <w:tc>
          <w:tcPr>
            <w:tcW w:w="0" w:type="auto"/>
            <w:vAlign w:val="center"/>
            <w:hideMark/>
          </w:tcPr>
          <w:p w14:paraId="2EEB984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Électricité</w:t>
            </w:r>
          </w:p>
        </w:tc>
        <w:tc>
          <w:tcPr>
            <w:tcW w:w="0" w:type="auto"/>
            <w:vAlign w:val="center"/>
            <w:hideMark/>
          </w:tcPr>
          <w:p w14:paraId="1F3CE94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Jaune électrique</w:t>
            </w:r>
          </w:p>
        </w:tc>
        <w:tc>
          <w:tcPr>
            <w:tcW w:w="0" w:type="auto"/>
            <w:vAlign w:val="center"/>
            <w:hideMark/>
          </w:tcPr>
          <w:p w14:paraId="7ECF1A3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#F9A825</w:t>
            </w:r>
          </w:p>
        </w:tc>
        <w:tc>
          <w:tcPr>
            <w:tcW w:w="0" w:type="auto"/>
            <w:vAlign w:val="center"/>
            <w:hideMark/>
          </w:tcPr>
          <w:p w14:paraId="6A2CC73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Jaune = électricité, énergie (convention universelle).</w:t>
            </w:r>
          </w:p>
        </w:tc>
      </w:tr>
      <w:tr w:rsidR="00B7474B" w:rsidRPr="00B7474B" w14:paraId="73A55270" w14:textId="77777777" w:rsidTr="00B7474B">
        <w:trPr>
          <w:tblCellSpacing w:w="15" w:type="dxa"/>
        </w:trPr>
        <w:tc>
          <w:tcPr>
            <w:tcW w:w="0" w:type="auto"/>
            <w:vAlign w:val="center"/>
            <w:hideMark/>
          </w:tcPr>
          <w:p w14:paraId="0FB9567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Téléphone/internet</w:t>
            </w:r>
          </w:p>
        </w:tc>
        <w:tc>
          <w:tcPr>
            <w:tcW w:w="0" w:type="auto"/>
            <w:vAlign w:val="center"/>
            <w:hideMark/>
          </w:tcPr>
          <w:p w14:paraId="543631E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Violet</w:t>
            </w:r>
          </w:p>
        </w:tc>
        <w:tc>
          <w:tcPr>
            <w:tcW w:w="0" w:type="auto"/>
            <w:vAlign w:val="center"/>
            <w:hideMark/>
          </w:tcPr>
          <w:p w14:paraId="3E25204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#7B1FA2</w:t>
            </w:r>
          </w:p>
        </w:tc>
        <w:tc>
          <w:tcPr>
            <w:tcW w:w="0" w:type="auto"/>
            <w:vAlign w:val="center"/>
            <w:hideMark/>
          </w:tcPr>
          <w:p w14:paraId="3153B72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Violet = numérique, </w:t>
            </w:r>
            <w:proofErr w:type="spellStart"/>
            <w:r w:rsidRPr="00B7474B">
              <w:rPr>
                <w:rFonts w:ascii="Times New Roman" w:eastAsia="Times New Roman" w:hAnsi="Times New Roman" w:cs="Times New Roman"/>
                <w:sz w:val="24"/>
                <w:szCs w:val="24"/>
                <w:lang w:eastAsia="fr-FR"/>
              </w:rPr>
              <w:t>telecoms</w:t>
            </w:r>
            <w:proofErr w:type="spellEnd"/>
            <w:r w:rsidRPr="00B7474B">
              <w:rPr>
                <w:rFonts w:ascii="Times New Roman" w:eastAsia="Times New Roman" w:hAnsi="Times New Roman" w:cs="Times New Roman"/>
                <w:sz w:val="24"/>
                <w:szCs w:val="24"/>
                <w:lang w:eastAsia="fr-FR"/>
              </w:rPr>
              <w:t xml:space="preserve"> (couleur tech).</w:t>
            </w:r>
          </w:p>
        </w:tc>
      </w:tr>
      <w:tr w:rsidR="00B7474B" w:rsidRPr="00B7474B" w14:paraId="1EB109F9" w14:textId="77777777" w:rsidTr="00B7474B">
        <w:trPr>
          <w:tblCellSpacing w:w="15" w:type="dxa"/>
        </w:trPr>
        <w:tc>
          <w:tcPr>
            <w:tcW w:w="0" w:type="auto"/>
            <w:vAlign w:val="center"/>
            <w:hideMark/>
          </w:tcPr>
          <w:p w14:paraId="285890A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Finance/banque</w:t>
            </w:r>
          </w:p>
        </w:tc>
        <w:tc>
          <w:tcPr>
            <w:tcW w:w="0" w:type="auto"/>
            <w:vAlign w:val="center"/>
            <w:hideMark/>
          </w:tcPr>
          <w:p w14:paraId="68B1CA7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émeraude</w:t>
            </w:r>
          </w:p>
        </w:tc>
        <w:tc>
          <w:tcPr>
            <w:tcW w:w="0" w:type="auto"/>
            <w:vAlign w:val="center"/>
            <w:hideMark/>
          </w:tcPr>
          <w:p w14:paraId="07B0AD0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#00695C</w:t>
            </w:r>
          </w:p>
        </w:tc>
        <w:tc>
          <w:tcPr>
            <w:tcW w:w="0" w:type="auto"/>
            <w:vAlign w:val="center"/>
            <w:hideMark/>
          </w:tcPr>
          <w:p w14:paraId="1FEB3DD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 argent, services financiers (convention universelle finance).</w:t>
            </w:r>
          </w:p>
        </w:tc>
      </w:tr>
      <w:tr w:rsidR="00B7474B" w:rsidRPr="00B7474B" w14:paraId="1BFF3D6A" w14:textId="77777777" w:rsidTr="00B7474B">
        <w:trPr>
          <w:tblCellSpacing w:w="15" w:type="dxa"/>
        </w:trPr>
        <w:tc>
          <w:tcPr>
            <w:tcW w:w="0" w:type="auto"/>
            <w:vAlign w:val="center"/>
            <w:hideMark/>
          </w:tcPr>
          <w:p w14:paraId="08D8624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Crédit</w:t>
            </w:r>
          </w:p>
        </w:tc>
        <w:tc>
          <w:tcPr>
            <w:tcW w:w="0" w:type="auto"/>
            <w:vAlign w:val="center"/>
            <w:hideMark/>
          </w:tcPr>
          <w:p w14:paraId="703E5EC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Orange</w:t>
            </w:r>
          </w:p>
        </w:tc>
        <w:tc>
          <w:tcPr>
            <w:tcW w:w="0" w:type="auto"/>
            <w:vAlign w:val="center"/>
            <w:hideMark/>
          </w:tcPr>
          <w:p w14:paraId="23C7129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#E65100</w:t>
            </w:r>
          </w:p>
        </w:tc>
        <w:tc>
          <w:tcPr>
            <w:tcW w:w="0" w:type="auto"/>
            <w:vAlign w:val="center"/>
            <w:hideMark/>
          </w:tcPr>
          <w:p w14:paraId="272044E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Orange = flux financiers, crédit, risque.</w:t>
            </w:r>
          </w:p>
        </w:tc>
      </w:tr>
      <w:tr w:rsidR="00B7474B" w:rsidRPr="00B7474B" w14:paraId="4AD59238" w14:textId="77777777" w:rsidTr="00B7474B">
        <w:trPr>
          <w:tblCellSpacing w:w="15" w:type="dxa"/>
        </w:trPr>
        <w:tc>
          <w:tcPr>
            <w:tcW w:w="0" w:type="auto"/>
            <w:vAlign w:val="center"/>
            <w:hideMark/>
          </w:tcPr>
          <w:p w14:paraId="29E3BE8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Isolement</w:t>
            </w:r>
          </w:p>
        </w:tc>
        <w:tc>
          <w:tcPr>
            <w:tcW w:w="0" w:type="auto"/>
            <w:vAlign w:val="center"/>
            <w:hideMark/>
          </w:tcPr>
          <w:p w14:paraId="21115BF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Rouge brique</w:t>
            </w:r>
          </w:p>
        </w:tc>
        <w:tc>
          <w:tcPr>
            <w:tcW w:w="0" w:type="auto"/>
            <w:vAlign w:val="center"/>
            <w:hideMark/>
          </w:tcPr>
          <w:p w14:paraId="3203116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#B71C1C</w:t>
            </w:r>
          </w:p>
        </w:tc>
        <w:tc>
          <w:tcPr>
            <w:tcW w:w="0" w:type="auto"/>
            <w:vAlign w:val="center"/>
            <w:hideMark/>
          </w:tcPr>
          <w:p w14:paraId="3ABEF54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Communautés très isolées : rouge = manque d'accès critique.</w:t>
            </w:r>
          </w:p>
        </w:tc>
      </w:tr>
    </w:tbl>
    <w:p w14:paraId="7E5742DC"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accès services (couleurs par type de service), dot plot indice d'infrastructure (terciles rouge/orange/vert), </w:t>
      </w:r>
      <w:proofErr w:type="spellStart"/>
      <w:r w:rsidRPr="00B7474B">
        <w:rPr>
          <w:rFonts w:ascii="Times New Roman" w:eastAsia="Times New Roman" w:hAnsi="Times New Roman" w:cs="Times New Roman"/>
          <w:sz w:val="24"/>
          <w:szCs w:val="24"/>
          <w:lang w:eastAsia="fr-FR"/>
        </w:rPr>
        <w:t>scatter</w:t>
      </w:r>
      <w:proofErr w:type="spellEnd"/>
      <w:r w:rsidRPr="00B7474B">
        <w:rPr>
          <w:rFonts w:ascii="Times New Roman" w:eastAsia="Times New Roman" w:hAnsi="Times New Roman" w:cs="Times New Roman"/>
          <w:sz w:val="24"/>
          <w:szCs w:val="24"/>
          <w:lang w:eastAsia="fr-FR"/>
        </w:rPr>
        <w:t xml:space="preserve"> distance × consommation.</w:t>
      </w:r>
    </w:p>
    <w:p w14:paraId="74ACEDED"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l'environnement d'accès aux services dans lequel opèrent les ménages, les contraintes d'infrastructure qui déterminent leur capacité à participer aux marchés.</w:t>
      </w:r>
    </w:p>
    <w:p w14:paraId="29308E9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0399E898">
          <v:rect id="_x0000_i1034" style="width:0;height:1.5pt" o:hralign="center" o:hrstd="t" o:hr="t" fillcolor="#a0a0a0" stroked="f"/>
        </w:pict>
      </w:r>
    </w:p>
    <w:p w14:paraId="46DBFE11"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9 — Activités non agricoles et pluriactivité</w:t>
      </w:r>
    </w:p>
    <w:p w14:paraId="00AEB4A3"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Couleur dominante : Orange-ambre — revenus, travail, économie informelle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482"/>
        <w:gridCol w:w="1156"/>
        <w:gridCol w:w="5117"/>
      </w:tblGrid>
      <w:tr w:rsidR="00B7474B" w:rsidRPr="00B7474B" w14:paraId="22217C39" w14:textId="77777777" w:rsidTr="00B7474B">
        <w:trPr>
          <w:tblHeader/>
          <w:tblCellSpacing w:w="15" w:type="dxa"/>
        </w:trPr>
        <w:tc>
          <w:tcPr>
            <w:tcW w:w="0" w:type="auto"/>
            <w:vAlign w:val="center"/>
            <w:hideMark/>
          </w:tcPr>
          <w:p w14:paraId="49547841"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Rôle</w:t>
            </w:r>
          </w:p>
        </w:tc>
        <w:tc>
          <w:tcPr>
            <w:tcW w:w="0" w:type="auto"/>
            <w:vAlign w:val="center"/>
            <w:hideMark/>
          </w:tcPr>
          <w:p w14:paraId="48962171"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Nom</w:t>
            </w:r>
          </w:p>
        </w:tc>
        <w:tc>
          <w:tcPr>
            <w:tcW w:w="0" w:type="auto"/>
            <w:vAlign w:val="center"/>
            <w:hideMark/>
          </w:tcPr>
          <w:p w14:paraId="428DCA76"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549CE59C"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Justification</w:t>
            </w:r>
          </w:p>
        </w:tc>
      </w:tr>
      <w:tr w:rsidR="00B7474B" w:rsidRPr="00B7474B" w14:paraId="685EF96B" w14:textId="77777777" w:rsidTr="00B7474B">
        <w:trPr>
          <w:tblCellSpacing w:w="15" w:type="dxa"/>
        </w:trPr>
        <w:tc>
          <w:tcPr>
            <w:tcW w:w="0" w:type="auto"/>
            <w:vAlign w:val="center"/>
            <w:hideMark/>
          </w:tcPr>
          <w:p w14:paraId="79A7556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Primaire</w:t>
            </w:r>
          </w:p>
        </w:tc>
        <w:tc>
          <w:tcPr>
            <w:tcW w:w="0" w:type="auto"/>
            <w:vAlign w:val="center"/>
            <w:hideMark/>
          </w:tcPr>
          <w:p w14:paraId="2384EB5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Orange ambre</w:t>
            </w:r>
          </w:p>
        </w:tc>
        <w:tc>
          <w:tcPr>
            <w:tcW w:w="0" w:type="auto"/>
            <w:vAlign w:val="center"/>
            <w:hideMark/>
          </w:tcPr>
          <w:p w14:paraId="3D458A6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#FF8F00</w:t>
            </w:r>
          </w:p>
        </w:tc>
        <w:tc>
          <w:tcPr>
            <w:tcW w:w="0" w:type="auto"/>
            <w:vAlign w:val="center"/>
            <w:hideMark/>
          </w:tcPr>
          <w:p w14:paraId="2FDA64E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L'OIT (ILO) utilise le jaune-orange dans ses rapports sur l'emploi et le travail décent (World </w:t>
            </w:r>
            <w:proofErr w:type="spellStart"/>
            <w:r w:rsidRPr="00B7474B">
              <w:rPr>
                <w:rFonts w:ascii="Times New Roman" w:eastAsia="Times New Roman" w:hAnsi="Times New Roman" w:cs="Times New Roman"/>
                <w:sz w:val="24"/>
                <w:szCs w:val="24"/>
                <w:lang w:eastAsia="fr-FR"/>
              </w:rPr>
              <w:t>Employment</w:t>
            </w:r>
            <w:proofErr w:type="spellEnd"/>
            <w:r w:rsidRPr="00B7474B">
              <w:rPr>
                <w:rFonts w:ascii="Times New Roman" w:eastAsia="Times New Roman" w:hAnsi="Times New Roman" w:cs="Times New Roman"/>
                <w:sz w:val="24"/>
                <w:szCs w:val="24"/>
                <w:lang w:eastAsia="fr-FR"/>
              </w:rPr>
              <w:t xml:space="preserve"> and Social Outlook). L'orange signale l'activité économique non agricole, la pluriactivité.</w:t>
            </w:r>
          </w:p>
        </w:tc>
      </w:tr>
      <w:tr w:rsidR="00B7474B" w:rsidRPr="00B7474B" w14:paraId="35E844F0" w14:textId="77777777" w:rsidTr="00B7474B">
        <w:trPr>
          <w:tblCellSpacing w:w="15" w:type="dxa"/>
        </w:trPr>
        <w:tc>
          <w:tcPr>
            <w:tcW w:w="0" w:type="auto"/>
            <w:vAlign w:val="center"/>
            <w:hideMark/>
          </w:tcPr>
          <w:p w14:paraId="1E935A7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Commerce</w:t>
            </w:r>
          </w:p>
        </w:tc>
        <w:tc>
          <w:tcPr>
            <w:tcW w:w="0" w:type="auto"/>
            <w:vAlign w:val="center"/>
            <w:hideMark/>
          </w:tcPr>
          <w:p w14:paraId="16030E0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Orange vif</w:t>
            </w:r>
          </w:p>
        </w:tc>
        <w:tc>
          <w:tcPr>
            <w:tcW w:w="0" w:type="auto"/>
            <w:vAlign w:val="center"/>
            <w:hideMark/>
          </w:tcPr>
          <w:p w14:paraId="0E3D16B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#E65100</w:t>
            </w:r>
          </w:p>
        </w:tc>
        <w:tc>
          <w:tcPr>
            <w:tcW w:w="0" w:type="auto"/>
            <w:vAlign w:val="center"/>
            <w:hideMark/>
          </w:tcPr>
          <w:p w14:paraId="589DB9A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Secteur commercial dominant.</w:t>
            </w:r>
          </w:p>
        </w:tc>
      </w:tr>
      <w:tr w:rsidR="00B7474B" w:rsidRPr="00B7474B" w14:paraId="5A3AC622" w14:textId="77777777" w:rsidTr="00B7474B">
        <w:trPr>
          <w:tblCellSpacing w:w="15" w:type="dxa"/>
        </w:trPr>
        <w:tc>
          <w:tcPr>
            <w:tcW w:w="0" w:type="auto"/>
            <w:vAlign w:val="center"/>
            <w:hideMark/>
          </w:tcPr>
          <w:p w14:paraId="2AA97C0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Artisanat</w:t>
            </w:r>
          </w:p>
        </w:tc>
        <w:tc>
          <w:tcPr>
            <w:tcW w:w="0" w:type="auto"/>
            <w:vAlign w:val="center"/>
            <w:hideMark/>
          </w:tcPr>
          <w:p w14:paraId="43083EB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Brun chaud</w:t>
            </w:r>
          </w:p>
        </w:tc>
        <w:tc>
          <w:tcPr>
            <w:tcW w:w="0" w:type="auto"/>
            <w:vAlign w:val="center"/>
            <w:hideMark/>
          </w:tcPr>
          <w:p w14:paraId="2E5B877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#795548</w:t>
            </w:r>
          </w:p>
        </w:tc>
        <w:tc>
          <w:tcPr>
            <w:tcW w:w="0" w:type="auto"/>
            <w:vAlign w:val="center"/>
            <w:hideMark/>
          </w:tcPr>
          <w:p w14:paraId="0869B46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Artisanat : matières premières, savoir-faire local.</w:t>
            </w:r>
          </w:p>
        </w:tc>
      </w:tr>
      <w:tr w:rsidR="00B7474B" w:rsidRPr="00B7474B" w14:paraId="6665980B" w14:textId="77777777" w:rsidTr="00B7474B">
        <w:trPr>
          <w:tblCellSpacing w:w="15" w:type="dxa"/>
        </w:trPr>
        <w:tc>
          <w:tcPr>
            <w:tcW w:w="0" w:type="auto"/>
            <w:vAlign w:val="center"/>
            <w:hideMark/>
          </w:tcPr>
          <w:p w14:paraId="1BCFE3B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Salariat</w:t>
            </w:r>
          </w:p>
        </w:tc>
        <w:tc>
          <w:tcPr>
            <w:tcW w:w="0" w:type="auto"/>
            <w:vAlign w:val="center"/>
            <w:hideMark/>
          </w:tcPr>
          <w:p w14:paraId="115FA36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w:t>
            </w:r>
          </w:p>
        </w:tc>
        <w:tc>
          <w:tcPr>
            <w:tcW w:w="0" w:type="auto"/>
            <w:vAlign w:val="center"/>
            <w:hideMark/>
          </w:tcPr>
          <w:p w14:paraId="1D0C313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#1565C0</w:t>
            </w:r>
          </w:p>
        </w:tc>
        <w:tc>
          <w:tcPr>
            <w:tcW w:w="0" w:type="auto"/>
            <w:vAlign w:val="center"/>
            <w:hideMark/>
          </w:tcPr>
          <w:p w14:paraId="77C89E1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Emploi salarié formel : bleu institutionnel.</w:t>
            </w:r>
          </w:p>
        </w:tc>
      </w:tr>
      <w:tr w:rsidR="00B7474B" w:rsidRPr="00B7474B" w14:paraId="02331DB0" w14:textId="77777777" w:rsidTr="00B7474B">
        <w:trPr>
          <w:tblCellSpacing w:w="15" w:type="dxa"/>
        </w:trPr>
        <w:tc>
          <w:tcPr>
            <w:tcW w:w="0" w:type="auto"/>
            <w:vAlign w:val="center"/>
            <w:hideMark/>
          </w:tcPr>
          <w:p w14:paraId="6286C71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Services</w:t>
            </w:r>
          </w:p>
        </w:tc>
        <w:tc>
          <w:tcPr>
            <w:tcW w:w="0" w:type="auto"/>
            <w:vAlign w:val="center"/>
            <w:hideMark/>
          </w:tcPr>
          <w:p w14:paraId="6791C40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w:t>
            </w:r>
          </w:p>
        </w:tc>
        <w:tc>
          <w:tcPr>
            <w:tcW w:w="0" w:type="auto"/>
            <w:vAlign w:val="center"/>
            <w:hideMark/>
          </w:tcPr>
          <w:p w14:paraId="5E1A439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#2E7D32</w:t>
            </w:r>
          </w:p>
        </w:tc>
        <w:tc>
          <w:tcPr>
            <w:tcW w:w="0" w:type="auto"/>
            <w:vAlign w:val="center"/>
            <w:hideMark/>
          </w:tcPr>
          <w:p w14:paraId="309FEC2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Services : vert = croissance.</w:t>
            </w:r>
          </w:p>
        </w:tc>
      </w:tr>
      <w:tr w:rsidR="00B7474B" w:rsidRPr="00B7474B" w14:paraId="05571597" w14:textId="77777777" w:rsidTr="00B7474B">
        <w:trPr>
          <w:tblCellSpacing w:w="15" w:type="dxa"/>
        </w:trPr>
        <w:tc>
          <w:tcPr>
            <w:tcW w:w="0" w:type="auto"/>
            <w:vAlign w:val="center"/>
            <w:hideMark/>
          </w:tcPr>
          <w:p w14:paraId="7E069F0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Homme</w:t>
            </w:r>
          </w:p>
        </w:tc>
        <w:tc>
          <w:tcPr>
            <w:tcW w:w="0" w:type="auto"/>
            <w:vAlign w:val="center"/>
            <w:hideMark/>
          </w:tcPr>
          <w:p w14:paraId="5F0FFBA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w:t>
            </w:r>
          </w:p>
        </w:tc>
        <w:tc>
          <w:tcPr>
            <w:tcW w:w="0" w:type="auto"/>
            <w:vAlign w:val="center"/>
            <w:hideMark/>
          </w:tcPr>
          <w:p w14:paraId="03362F4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#0D47A1</w:t>
            </w:r>
          </w:p>
        </w:tc>
        <w:tc>
          <w:tcPr>
            <w:tcW w:w="0" w:type="auto"/>
            <w:vAlign w:val="center"/>
            <w:hideMark/>
          </w:tcPr>
          <w:p w14:paraId="50C0891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Convention genre.</w:t>
            </w:r>
          </w:p>
        </w:tc>
      </w:tr>
      <w:tr w:rsidR="00B7474B" w:rsidRPr="00B7474B" w14:paraId="008E1288" w14:textId="77777777" w:rsidTr="00B7474B">
        <w:trPr>
          <w:tblCellSpacing w:w="15" w:type="dxa"/>
        </w:trPr>
        <w:tc>
          <w:tcPr>
            <w:tcW w:w="0" w:type="auto"/>
            <w:vAlign w:val="center"/>
            <w:hideMark/>
          </w:tcPr>
          <w:p w14:paraId="78E4061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Femme</w:t>
            </w:r>
          </w:p>
        </w:tc>
        <w:tc>
          <w:tcPr>
            <w:tcW w:w="0" w:type="auto"/>
            <w:vAlign w:val="center"/>
            <w:hideMark/>
          </w:tcPr>
          <w:p w14:paraId="5ECB729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Rose/Magenta</w:t>
            </w:r>
          </w:p>
        </w:tc>
        <w:tc>
          <w:tcPr>
            <w:tcW w:w="0" w:type="auto"/>
            <w:vAlign w:val="center"/>
            <w:hideMark/>
          </w:tcPr>
          <w:p w14:paraId="3DF7954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#AD1457</w:t>
            </w:r>
          </w:p>
        </w:tc>
        <w:tc>
          <w:tcPr>
            <w:tcW w:w="0" w:type="auto"/>
            <w:vAlign w:val="center"/>
            <w:hideMark/>
          </w:tcPr>
          <w:p w14:paraId="5E265B6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Convention genre.</w:t>
            </w:r>
          </w:p>
        </w:tc>
      </w:tr>
      <w:tr w:rsidR="00B7474B" w:rsidRPr="00B7474B" w14:paraId="650624CA" w14:textId="77777777" w:rsidTr="00B7474B">
        <w:trPr>
          <w:tblCellSpacing w:w="15" w:type="dxa"/>
        </w:trPr>
        <w:tc>
          <w:tcPr>
            <w:tcW w:w="0" w:type="auto"/>
            <w:vAlign w:val="center"/>
            <w:hideMark/>
          </w:tcPr>
          <w:p w14:paraId="6569AC2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Heures travaillées</w:t>
            </w:r>
          </w:p>
        </w:tc>
        <w:tc>
          <w:tcPr>
            <w:tcW w:w="0" w:type="auto"/>
            <w:vAlign w:val="center"/>
            <w:hideMark/>
          </w:tcPr>
          <w:p w14:paraId="21FDDEE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Gradient orange</w:t>
            </w:r>
          </w:p>
        </w:tc>
        <w:tc>
          <w:tcPr>
            <w:tcW w:w="0" w:type="auto"/>
            <w:vAlign w:val="center"/>
            <w:hideMark/>
          </w:tcPr>
          <w:p w14:paraId="235C686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#FFCC02</w:t>
            </w:r>
            <w:r w:rsidRPr="00B7474B">
              <w:rPr>
                <w:rFonts w:ascii="Times New Roman" w:eastAsia="Times New Roman" w:hAnsi="Times New Roman" w:cs="Times New Roman"/>
                <w:sz w:val="24"/>
                <w:szCs w:val="24"/>
                <w:lang w:eastAsia="fr-FR"/>
              </w:rPr>
              <w:t xml:space="preserve"> → </w:t>
            </w:r>
            <w:r w:rsidRPr="00B7474B">
              <w:rPr>
                <w:rFonts w:ascii="Courier New" w:eastAsia="Times New Roman" w:hAnsi="Courier New" w:cs="Courier New"/>
                <w:sz w:val="20"/>
                <w:szCs w:val="20"/>
                <w:lang w:eastAsia="fr-FR"/>
              </w:rPr>
              <w:t>#E65100</w:t>
            </w:r>
          </w:p>
        </w:tc>
        <w:tc>
          <w:tcPr>
            <w:tcW w:w="0" w:type="auto"/>
            <w:vAlign w:val="center"/>
            <w:hideMark/>
          </w:tcPr>
          <w:p w14:paraId="2B1F261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Faible → fort : séquentiel orange pour l'intensité du travail.</w:t>
            </w:r>
          </w:p>
        </w:tc>
      </w:tr>
    </w:tbl>
    <w:p w14:paraId="37BE35B2"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Types de figures concernées :</w:t>
      </w:r>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activités par sexe (bleu/rose avec </w:t>
      </w:r>
      <w:proofErr w:type="spellStart"/>
      <w:r w:rsidRPr="00B7474B">
        <w:rPr>
          <w:rFonts w:ascii="Times New Roman" w:eastAsia="Times New Roman" w:hAnsi="Times New Roman" w:cs="Times New Roman"/>
          <w:sz w:val="24"/>
          <w:szCs w:val="24"/>
          <w:lang w:eastAsia="fr-FR"/>
        </w:rPr>
        <w:t>facet_wrap</w:t>
      </w:r>
      <w:proofErr w:type="spellEnd"/>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violin</w:t>
      </w:r>
      <w:proofErr w:type="spellEnd"/>
      <w:r w:rsidRPr="00B7474B">
        <w:rPr>
          <w:rFonts w:ascii="Times New Roman" w:eastAsia="Times New Roman" w:hAnsi="Times New Roman" w:cs="Times New Roman"/>
          <w:sz w:val="24"/>
          <w:szCs w:val="24"/>
          <w:lang w:eastAsia="fr-FR"/>
        </w:rPr>
        <w:t xml:space="preserve"> plots revenus NF H/F (bleu/rose),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comparatifs W1/W4 (orange), </w:t>
      </w:r>
      <w:proofErr w:type="spellStart"/>
      <w:r w:rsidRPr="00B7474B">
        <w:rPr>
          <w:rFonts w:ascii="Times New Roman" w:eastAsia="Times New Roman" w:hAnsi="Times New Roman" w:cs="Times New Roman"/>
          <w:sz w:val="24"/>
          <w:szCs w:val="24"/>
          <w:lang w:eastAsia="fr-FR"/>
        </w:rPr>
        <w:t>scatter</w:t>
      </w:r>
      <w:proofErr w:type="spellEnd"/>
      <w:r w:rsidRPr="00B7474B">
        <w:rPr>
          <w:rFonts w:ascii="Times New Roman" w:eastAsia="Times New Roman" w:hAnsi="Times New Roman" w:cs="Times New Roman"/>
          <w:sz w:val="24"/>
          <w:szCs w:val="24"/>
          <w:lang w:eastAsia="fr-FR"/>
        </w:rPr>
        <w:t xml:space="preserve"> heures × revenus.</w:t>
      </w:r>
    </w:p>
    <w:p w14:paraId="171EBF1D"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Ce que ces couleurs représentent :</w:t>
      </w:r>
      <w:r w:rsidRPr="00B7474B">
        <w:rPr>
          <w:rFonts w:ascii="Times New Roman" w:eastAsia="Times New Roman" w:hAnsi="Times New Roman" w:cs="Times New Roman"/>
          <w:sz w:val="24"/>
          <w:szCs w:val="24"/>
          <w:lang w:eastAsia="fr-FR"/>
        </w:rPr>
        <w:t xml:space="preserve"> la diversification des sources de revenus, la participation différenciée par genre aux activités non agricoles, les stratégies de pluriactivité des ménages </w:t>
      </w:r>
      <w:proofErr w:type="gramStart"/>
      <w:r w:rsidRPr="00B7474B">
        <w:rPr>
          <w:rFonts w:ascii="Times New Roman" w:eastAsia="Times New Roman" w:hAnsi="Times New Roman" w:cs="Times New Roman"/>
          <w:sz w:val="24"/>
          <w:szCs w:val="24"/>
          <w:lang w:eastAsia="fr-FR"/>
        </w:rPr>
        <w:t>ruraux</w:t>
      </w:r>
      <w:proofErr w:type="gramEnd"/>
      <w:r w:rsidRPr="00B7474B">
        <w:rPr>
          <w:rFonts w:ascii="Times New Roman" w:eastAsia="Times New Roman" w:hAnsi="Times New Roman" w:cs="Times New Roman"/>
          <w:sz w:val="24"/>
          <w:szCs w:val="24"/>
          <w:lang w:eastAsia="fr-FR"/>
        </w:rPr>
        <w:t>.</w:t>
      </w:r>
    </w:p>
    <w:p w14:paraId="1196800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427CC611">
          <v:rect id="_x0000_i1035" style="width:0;height:1.5pt" o:hralign="center" o:hrstd="t" o:hr="t" fillcolor="#a0a0a0" stroked="f"/>
        </w:pict>
      </w:r>
    </w:p>
    <w:p w14:paraId="55BA1A67"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TP 10 — Analyse intégrée inter-vagues 2010-2018</w:t>
      </w:r>
    </w:p>
    <w:p w14:paraId="5F93D269"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 xml:space="preserve">Couleur dominante : Palette composite </w:t>
      </w:r>
      <w:proofErr w:type="spellStart"/>
      <w:r w:rsidRPr="00B7474B">
        <w:rPr>
          <w:rFonts w:ascii="Times New Roman" w:eastAsia="Times New Roman" w:hAnsi="Times New Roman" w:cs="Times New Roman"/>
          <w:b/>
          <w:bCs/>
          <w:sz w:val="24"/>
          <w:szCs w:val="24"/>
          <w:lang w:eastAsia="fr-FR"/>
        </w:rPr>
        <w:t>multi-thématique</w:t>
      </w:r>
      <w:proofErr w:type="spellEnd"/>
    </w:p>
    <w:p w14:paraId="44FBDCB0"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Le TP 10 est un rapport de synthèse. Chaque indicateur reprend la couleur de son TP d'origine, ce qui crée une cohérence narrative visuelle : le lecteur reconnaît d'un coup d'œil à quel domaine appartient chaque graphique du tableau de bord.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1680"/>
        <w:gridCol w:w="901"/>
        <w:gridCol w:w="1109"/>
      </w:tblGrid>
      <w:tr w:rsidR="00B7474B" w:rsidRPr="00B7474B" w14:paraId="7ABBE16A" w14:textId="77777777" w:rsidTr="00B7474B">
        <w:trPr>
          <w:tblHeader/>
          <w:tblCellSpacing w:w="15" w:type="dxa"/>
        </w:trPr>
        <w:tc>
          <w:tcPr>
            <w:tcW w:w="0" w:type="auto"/>
            <w:vAlign w:val="center"/>
            <w:hideMark/>
          </w:tcPr>
          <w:p w14:paraId="0D4E1DEA"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Indicateur</w:t>
            </w:r>
          </w:p>
        </w:tc>
        <w:tc>
          <w:tcPr>
            <w:tcW w:w="0" w:type="auto"/>
            <w:vAlign w:val="center"/>
            <w:hideMark/>
          </w:tcPr>
          <w:p w14:paraId="08DE428C"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Couleur</w:t>
            </w:r>
          </w:p>
        </w:tc>
        <w:tc>
          <w:tcPr>
            <w:tcW w:w="0" w:type="auto"/>
            <w:vAlign w:val="center"/>
            <w:hideMark/>
          </w:tcPr>
          <w:p w14:paraId="51ABB299"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w:t>
            </w:r>
          </w:p>
        </w:tc>
        <w:tc>
          <w:tcPr>
            <w:tcW w:w="0" w:type="auto"/>
            <w:vAlign w:val="center"/>
            <w:hideMark/>
          </w:tcPr>
          <w:p w14:paraId="42EF8B32"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TP source</w:t>
            </w:r>
          </w:p>
        </w:tc>
      </w:tr>
      <w:tr w:rsidR="00B7474B" w:rsidRPr="00B7474B" w14:paraId="25A76121" w14:textId="77777777" w:rsidTr="00B7474B">
        <w:trPr>
          <w:tblCellSpacing w:w="15" w:type="dxa"/>
        </w:trPr>
        <w:tc>
          <w:tcPr>
            <w:tcW w:w="0" w:type="auto"/>
            <w:vAlign w:val="center"/>
            <w:hideMark/>
          </w:tcPr>
          <w:p w14:paraId="14C3A11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Taille médiane ménage</w:t>
            </w:r>
          </w:p>
        </w:tc>
        <w:tc>
          <w:tcPr>
            <w:tcW w:w="0" w:type="auto"/>
            <w:vAlign w:val="center"/>
            <w:hideMark/>
          </w:tcPr>
          <w:p w14:paraId="3006988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UNICEF</w:t>
            </w:r>
          </w:p>
        </w:tc>
        <w:tc>
          <w:tcPr>
            <w:tcW w:w="0" w:type="auto"/>
            <w:vAlign w:val="center"/>
            <w:hideMark/>
          </w:tcPr>
          <w:p w14:paraId="0816A2A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#1CABE2</w:t>
            </w:r>
          </w:p>
        </w:tc>
        <w:tc>
          <w:tcPr>
            <w:tcW w:w="0" w:type="auto"/>
            <w:vAlign w:val="center"/>
            <w:hideMark/>
          </w:tcPr>
          <w:p w14:paraId="676B97B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TP 1</w:t>
            </w:r>
          </w:p>
        </w:tc>
      </w:tr>
      <w:tr w:rsidR="00B7474B" w:rsidRPr="00B7474B" w14:paraId="419AA6E6" w14:textId="77777777" w:rsidTr="00B7474B">
        <w:trPr>
          <w:tblCellSpacing w:w="15" w:type="dxa"/>
        </w:trPr>
        <w:tc>
          <w:tcPr>
            <w:tcW w:w="0" w:type="auto"/>
            <w:vAlign w:val="center"/>
            <w:hideMark/>
          </w:tcPr>
          <w:p w14:paraId="2146042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chefs de ménage féminins</w:t>
            </w:r>
          </w:p>
        </w:tc>
        <w:tc>
          <w:tcPr>
            <w:tcW w:w="0" w:type="auto"/>
            <w:vAlign w:val="center"/>
            <w:hideMark/>
          </w:tcPr>
          <w:p w14:paraId="161B46B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Rose/Magenta</w:t>
            </w:r>
          </w:p>
        </w:tc>
        <w:tc>
          <w:tcPr>
            <w:tcW w:w="0" w:type="auto"/>
            <w:vAlign w:val="center"/>
            <w:hideMark/>
          </w:tcPr>
          <w:p w14:paraId="2F745A1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#E8416F</w:t>
            </w:r>
          </w:p>
        </w:tc>
        <w:tc>
          <w:tcPr>
            <w:tcW w:w="0" w:type="auto"/>
            <w:vAlign w:val="center"/>
            <w:hideMark/>
          </w:tcPr>
          <w:p w14:paraId="1DB19B2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TP 1</w:t>
            </w:r>
          </w:p>
        </w:tc>
      </w:tr>
      <w:tr w:rsidR="00B7474B" w:rsidRPr="00B7474B" w14:paraId="076EFEB8" w14:textId="77777777" w:rsidTr="00B7474B">
        <w:trPr>
          <w:tblCellSpacing w:w="15" w:type="dxa"/>
        </w:trPr>
        <w:tc>
          <w:tcPr>
            <w:tcW w:w="0" w:type="auto"/>
            <w:vAlign w:val="center"/>
            <w:hideMark/>
          </w:tcPr>
          <w:p w14:paraId="65019D1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Superficie médiane exploitation</w:t>
            </w:r>
          </w:p>
        </w:tc>
        <w:tc>
          <w:tcPr>
            <w:tcW w:w="0" w:type="auto"/>
            <w:vAlign w:val="center"/>
            <w:hideMark/>
          </w:tcPr>
          <w:p w14:paraId="09F39B6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FAO</w:t>
            </w:r>
          </w:p>
        </w:tc>
        <w:tc>
          <w:tcPr>
            <w:tcW w:w="0" w:type="auto"/>
            <w:vAlign w:val="center"/>
            <w:hideMark/>
          </w:tcPr>
          <w:p w14:paraId="619C719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#4C9A2A</w:t>
            </w:r>
          </w:p>
        </w:tc>
        <w:tc>
          <w:tcPr>
            <w:tcW w:w="0" w:type="auto"/>
            <w:vAlign w:val="center"/>
            <w:hideMark/>
          </w:tcPr>
          <w:p w14:paraId="49BD8A4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TP 4</w:t>
            </w:r>
          </w:p>
        </w:tc>
      </w:tr>
      <w:tr w:rsidR="00B7474B" w:rsidRPr="00B7474B" w14:paraId="01065E42" w14:textId="77777777" w:rsidTr="00B7474B">
        <w:trPr>
          <w:tblCellSpacing w:w="15" w:type="dxa"/>
        </w:trPr>
        <w:tc>
          <w:tcPr>
            <w:tcW w:w="0" w:type="auto"/>
            <w:vAlign w:val="center"/>
            <w:hideMark/>
          </w:tcPr>
          <w:p w14:paraId="482E9769"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Taux adoption engrais</w:t>
            </w:r>
          </w:p>
        </w:tc>
        <w:tc>
          <w:tcPr>
            <w:tcW w:w="0" w:type="auto"/>
            <w:vAlign w:val="center"/>
            <w:hideMark/>
          </w:tcPr>
          <w:p w14:paraId="3E73645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IFPRI</w:t>
            </w:r>
          </w:p>
        </w:tc>
        <w:tc>
          <w:tcPr>
            <w:tcW w:w="0" w:type="auto"/>
            <w:vAlign w:val="center"/>
            <w:hideMark/>
          </w:tcPr>
          <w:p w14:paraId="6BDC7B1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#6CC24A</w:t>
            </w:r>
          </w:p>
        </w:tc>
        <w:tc>
          <w:tcPr>
            <w:tcW w:w="0" w:type="auto"/>
            <w:vAlign w:val="center"/>
            <w:hideMark/>
          </w:tcPr>
          <w:p w14:paraId="046A673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TP 5</w:t>
            </w:r>
          </w:p>
        </w:tc>
      </w:tr>
      <w:tr w:rsidR="00B7474B" w:rsidRPr="00B7474B" w14:paraId="16E6BC00" w14:textId="77777777" w:rsidTr="00B7474B">
        <w:trPr>
          <w:tblCellSpacing w:w="15" w:type="dxa"/>
        </w:trPr>
        <w:tc>
          <w:tcPr>
            <w:tcW w:w="0" w:type="auto"/>
            <w:vAlign w:val="center"/>
            <w:hideMark/>
          </w:tcPr>
          <w:p w14:paraId="6C5AC31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Consommation médiane</w:t>
            </w:r>
          </w:p>
        </w:tc>
        <w:tc>
          <w:tcPr>
            <w:tcW w:w="0" w:type="auto"/>
            <w:vAlign w:val="center"/>
            <w:hideMark/>
          </w:tcPr>
          <w:p w14:paraId="70FA731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WB</w:t>
            </w:r>
          </w:p>
        </w:tc>
        <w:tc>
          <w:tcPr>
            <w:tcW w:w="0" w:type="auto"/>
            <w:vAlign w:val="center"/>
            <w:hideMark/>
          </w:tcPr>
          <w:p w14:paraId="531F025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#009FDA</w:t>
            </w:r>
          </w:p>
        </w:tc>
        <w:tc>
          <w:tcPr>
            <w:tcW w:w="0" w:type="auto"/>
            <w:vAlign w:val="center"/>
            <w:hideMark/>
          </w:tcPr>
          <w:p w14:paraId="67AA9A1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TP 7</w:t>
            </w:r>
          </w:p>
        </w:tc>
      </w:tr>
      <w:tr w:rsidR="00B7474B" w:rsidRPr="00B7474B" w14:paraId="74DFF113" w14:textId="77777777" w:rsidTr="00B7474B">
        <w:trPr>
          <w:tblCellSpacing w:w="15" w:type="dxa"/>
        </w:trPr>
        <w:tc>
          <w:tcPr>
            <w:tcW w:w="0" w:type="auto"/>
            <w:vAlign w:val="center"/>
            <w:hideMark/>
          </w:tcPr>
          <w:p w14:paraId="2CC71CB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Coefficient de Gini</w:t>
            </w:r>
          </w:p>
        </w:tc>
        <w:tc>
          <w:tcPr>
            <w:tcW w:w="0" w:type="auto"/>
            <w:vAlign w:val="center"/>
            <w:hideMark/>
          </w:tcPr>
          <w:p w14:paraId="6DA4CA8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Rouge inégalité</w:t>
            </w:r>
          </w:p>
        </w:tc>
        <w:tc>
          <w:tcPr>
            <w:tcW w:w="0" w:type="auto"/>
            <w:vAlign w:val="center"/>
            <w:hideMark/>
          </w:tcPr>
          <w:p w14:paraId="65FB870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#C0392B</w:t>
            </w:r>
          </w:p>
        </w:tc>
        <w:tc>
          <w:tcPr>
            <w:tcW w:w="0" w:type="auto"/>
            <w:vAlign w:val="center"/>
            <w:hideMark/>
          </w:tcPr>
          <w:p w14:paraId="7D77B82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TP 7</w:t>
            </w:r>
          </w:p>
        </w:tc>
      </w:tr>
      <w:tr w:rsidR="00B7474B" w:rsidRPr="00B7474B" w14:paraId="1F33C3D4" w14:textId="77777777" w:rsidTr="00B7474B">
        <w:trPr>
          <w:tblCellSpacing w:w="15" w:type="dxa"/>
        </w:trPr>
        <w:tc>
          <w:tcPr>
            <w:tcW w:w="0" w:type="auto"/>
            <w:vAlign w:val="center"/>
            <w:hideMark/>
          </w:tcPr>
          <w:p w14:paraId="4E30688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enfants scolarisés</w:t>
            </w:r>
          </w:p>
        </w:tc>
        <w:tc>
          <w:tcPr>
            <w:tcW w:w="0" w:type="auto"/>
            <w:vAlign w:val="center"/>
            <w:hideMark/>
          </w:tcPr>
          <w:p w14:paraId="3225E76B"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Violet UNESCO</w:t>
            </w:r>
          </w:p>
        </w:tc>
        <w:tc>
          <w:tcPr>
            <w:tcW w:w="0" w:type="auto"/>
            <w:vAlign w:val="center"/>
            <w:hideMark/>
          </w:tcPr>
          <w:p w14:paraId="732BC37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#5C2D91</w:t>
            </w:r>
          </w:p>
        </w:tc>
        <w:tc>
          <w:tcPr>
            <w:tcW w:w="0" w:type="auto"/>
            <w:vAlign w:val="center"/>
            <w:hideMark/>
          </w:tcPr>
          <w:p w14:paraId="70F5C28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TP 2</w:t>
            </w:r>
          </w:p>
        </w:tc>
      </w:tr>
      <w:tr w:rsidR="00B7474B" w:rsidRPr="00B7474B" w14:paraId="75A6C725" w14:textId="77777777" w:rsidTr="00B7474B">
        <w:trPr>
          <w:tblCellSpacing w:w="15" w:type="dxa"/>
        </w:trPr>
        <w:tc>
          <w:tcPr>
            <w:tcW w:w="0" w:type="auto"/>
            <w:vAlign w:val="center"/>
            <w:hideMark/>
          </w:tcPr>
          <w:p w14:paraId="1FEC645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Accès infrastructures</w:t>
            </w:r>
          </w:p>
        </w:tc>
        <w:tc>
          <w:tcPr>
            <w:tcW w:w="0" w:type="auto"/>
            <w:vAlign w:val="center"/>
            <w:hideMark/>
          </w:tcPr>
          <w:p w14:paraId="4AD1827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infra</w:t>
            </w:r>
          </w:p>
        </w:tc>
        <w:tc>
          <w:tcPr>
            <w:tcW w:w="0" w:type="auto"/>
            <w:vAlign w:val="center"/>
            <w:hideMark/>
          </w:tcPr>
          <w:p w14:paraId="6287FA6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#0277BD</w:t>
            </w:r>
          </w:p>
        </w:tc>
        <w:tc>
          <w:tcPr>
            <w:tcW w:w="0" w:type="auto"/>
            <w:vAlign w:val="center"/>
            <w:hideMark/>
          </w:tcPr>
          <w:p w14:paraId="159E516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TP 8</w:t>
            </w:r>
          </w:p>
        </w:tc>
      </w:tr>
    </w:tbl>
    <w:p w14:paraId="1A32BCA5"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Pour les courbes de densité W1→W4 :</w:t>
      </w:r>
      <w:r w:rsidRPr="00B7474B">
        <w:rPr>
          <w:rFonts w:ascii="Times New Roman" w:eastAsia="Times New Roman" w:hAnsi="Times New Roman" w:cs="Times New Roman"/>
          <w:sz w:val="24"/>
          <w:szCs w:val="24"/>
          <w:lang w:eastAsia="fr-FR"/>
        </w:rPr>
        <w:t xml:space="preserve"> palette séquentielle temporelle allant du plus clair (W1 = 2010) au plus foncé (W4 = 2018), dans la couleur thématique de l'indicateur représenté.</w:t>
      </w:r>
    </w:p>
    <w:p w14:paraId="277BD67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47C75284">
          <v:rect id="_x0000_i1036" style="width:0;height:1.5pt" o:hralign="center" o:hrstd="t" o:hr="t" fillcolor="#a0a0a0" stroked="f"/>
        </w:pict>
      </w:r>
    </w:p>
    <w:p w14:paraId="54E05D5D"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Récapitulatif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2514"/>
        <w:gridCol w:w="1641"/>
        <w:gridCol w:w="1263"/>
        <w:gridCol w:w="3226"/>
      </w:tblGrid>
      <w:tr w:rsidR="00B7474B" w:rsidRPr="00B7474B" w14:paraId="61907E58" w14:textId="77777777" w:rsidTr="00B7474B">
        <w:trPr>
          <w:tblHeader/>
          <w:tblCellSpacing w:w="15" w:type="dxa"/>
        </w:trPr>
        <w:tc>
          <w:tcPr>
            <w:tcW w:w="0" w:type="auto"/>
            <w:vAlign w:val="center"/>
            <w:hideMark/>
          </w:tcPr>
          <w:p w14:paraId="3E6A9E77"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TP</w:t>
            </w:r>
          </w:p>
        </w:tc>
        <w:tc>
          <w:tcPr>
            <w:tcW w:w="0" w:type="auto"/>
            <w:vAlign w:val="center"/>
            <w:hideMark/>
          </w:tcPr>
          <w:p w14:paraId="1B4E015E"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Thème</w:t>
            </w:r>
          </w:p>
        </w:tc>
        <w:tc>
          <w:tcPr>
            <w:tcW w:w="0" w:type="auto"/>
            <w:vAlign w:val="center"/>
            <w:hideMark/>
          </w:tcPr>
          <w:p w14:paraId="1A97273A"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Couleur dominante</w:t>
            </w:r>
          </w:p>
        </w:tc>
        <w:tc>
          <w:tcPr>
            <w:tcW w:w="0" w:type="auto"/>
            <w:vAlign w:val="center"/>
            <w:hideMark/>
          </w:tcPr>
          <w:p w14:paraId="33C898C3"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HEX principal</w:t>
            </w:r>
          </w:p>
        </w:tc>
        <w:tc>
          <w:tcPr>
            <w:tcW w:w="0" w:type="auto"/>
            <w:vAlign w:val="center"/>
            <w:hideMark/>
          </w:tcPr>
          <w:p w14:paraId="31994FA0" w14:textId="77777777" w:rsidR="00B7474B" w:rsidRPr="00B7474B" w:rsidRDefault="00B7474B" w:rsidP="00B7474B">
            <w:pPr>
              <w:spacing w:after="0" w:line="240" w:lineRule="auto"/>
              <w:jc w:val="center"/>
              <w:rPr>
                <w:rFonts w:ascii="Times New Roman" w:eastAsia="Times New Roman" w:hAnsi="Times New Roman" w:cs="Times New Roman"/>
                <w:b/>
                <w:bCs/>
                <w:sz w:val="24"/>
                <w:szCs w:val="24"/>
                <w:lang w:eastAsia="fr-FR"/>
              </w:rPr>
            </w:pPr>
            <w:r w:rsidRPr="00B7474B">
              <w:rPr>
                <w:rFonts w:ascii="Times New Roman" w:eastAsia="Times New Roman" w:hAnsi="Times New Roman" w:cs="Times New Roman"/>
                <w:b/>
                <w:bCs/>
                <w:sz w:val="24"/>
                <w:szCs w:val="24"/>
                <w:lang w:eastAsia="fr-FR"/>
              </w:rPr>
              <w:t>Source de la convention</w:t>
            </w:r>
          </w:p>
        </w:tc>
      </w:tr>
      <w:tr w:rsidR="00B7474B" w:rsidRPr="00B7474B" w14:paraId="4F37F4D3" w14:textId="77777777" w:rsidTr="00B7474B">
        <w:trPr>
          <w:tblCellSpacing w:w="15" w:type="dxa"/>
        </w:trPr>
        <w:tc>
          <w:tcPr>
            <w:tcW w:w="0" w:type="auto"/>
            <w:vAlign w:val="center"/>
            <w:hideMark/>
          </w:tcPr>
          <w:p w14:paraId="7F4BF245"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1</w:t>
            </w:r>
          </w:p>
        </w:tc>
        <w:tc>
          <w:tcPr>
            <w:tcW w:w="0" w:type="auto"/>
            <w:vAlign w:val="center"/>
            <w:hideMark/>
          </w:tcPr>
          <w:p w14:paraId="1F9A4E6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Démographie</w:t>
            </w:r>
          </w:p>
        </w:tc>
        <w:tc>
          <w:tcPr>
            <w:tcW w:w="0" w:type="auto"/>
            <w:vAlign w:val="center"/>
            <w:hideMark/>
          </w:tcPr>
          <w:p w14:paraId="7DBDCF4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UNICEF</w:t>
            </w:r>
          </w:p>
        </w:tc>
        <w:tc>
          <w:tcPr>
            <w:tcW w:w="0" w:type="auto"/>
            <w:vAlign w:val="center"/>
            <w:hideMark/>
          </w:tcPr>
          <w:p w14:paraId="75C4DFA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#1CABE2</w:t>
            </w:r>
          </w:p>
        </w:tc>
        <w:tc>
          <w:tcPr>
            <w:tcW w:w="0" w:type="auto"/>
            <w:vAlign w:val="center"/>
            <w:hideMark/>
          </w:tcPr>
          <w:p w14:paraId="1CC5115E"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UNICEF Brand Book v3.1</w:t>
            </w:r>
          </w:p>
        </w:tc>
      </w:tr>
      <w:tr w:rsidR="00B7474B" w:rsidRPr="00B7474B" w14:paraId="77DA1A29" w14:textId="77777777" w:rsidTr="00B7474B">
        <w:trPr>
          <w:tblCellSpacing w:w="15" w:type="dxa"/>
        </w:trPr>
        <w:tc>
          <w:tcPr>
            <w:tcW w:w="0" w:type="auto"/>
            <w:vAlign w:val="center"/>
            <w:hideMark/>
          </w:tcPr>
          <w:p w14:paraId="30B82CE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2</w:t>
            </w:r>
          </w:p>
        </w:tc>
        <w:tc>
          <w:tcPr>
            <w:tcW w:w="0" w:type="auto"/>
            <w:vAlign w:val="center"/>
            <w:hideMark/>
          </w:tcPr>
          <w:p w14:paraId="249F632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Éducation</w:t>
            </w:r>
          </w:p>
        </w:tc>
        <w:tc>
          <w:tcPr>
            <w:tcW w:w="0" w:type="auto"/>
            <w:vAlign w:val="center"/>
            <w:hideMark/>
          </w:tcPr>
          <w:p w14:paraId="11AA87D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Violet UNESCO</w:t>
            </w:r>
          </w:p>
        </w:tc>
        <w:tc>
          <w:tcPr>
            <w:tcW w:w="0" w:type="auto"/>
            <w:vAlign w:val="center"/>
            <w:hideMark/>
          </w:tcPr>
          <w:p w14:paraId="562AD67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#5C2D91</w:t>
            </w:r>
          </w:p>
        </w:tc>
        <w:tc>
          <w:tcPr>
            <w:tcW w:w="0" w:type="auto"/>
            <w:vAlign w:val="center"/>
            <w:hideMark/>
          </w:tcPr>
          <w:p w14:paraId="4472816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UNESCO / SDG4 reports</w:t>
            </w:r>
          </w:p>
        </w:tc>
      </w:tr>
      <w:tr w:rsidR="00B7474B" w:rsidRPr="00B7474B" w14:paraId="27969BEA" w14:textId="77777777" w:rsidTr="00B7474B">
        <w:trPr>
          <w:tblCellSpacing w:w="15" w:type="dxa"/>
        </w:trPr>
        <w:tc>
          <w:tcPr>
            <w:tcW w:w="0" w:type="auto"/>
            <w:vAlign w:val="center"/>
            <w:hideMark/>
          </w:tcPr>
          <w:p w14:paraId="052A926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3</w:t>
            </w:r>
          </w:p>
        </w:tc>
        <w:tc>
          <w:tcPr>
            <w:tcW w:w="0" w:type="auto"/>
            <w:vAlign w:val="center"/>
            <w:hideMark/>
          </w:tcPr>
          <w:p w14:paraId="4D3E53E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Santé</w:t>
            </w:r>
          </w:p>
        </w:tc>
        <w:tc>
          <w:tcPr>
            <w:tcW w:w="0" w:type="auto"/>
            <w:vAlign w:val="center"/>
            <w:hideMark/>
          </w:tcPr>
          <w:p w14:paraId="6B25956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Turquoise OMS</w:t>
            </w:r>
          </w:p>
        </w:tc>
        <w:tc>
          <w:tcPr>
            <w:tcW w:w="0" w:type="auto"/>
            <w:vAlign w:val="center"/>
            <w:hideMark/>
          </w:tcPr>
          <w:p w14:paraId="1BE0FA5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#009688</w:t>
            </w:r>
          </w:p>
        </w:tc>
        <w:tc>
          <w:tcPr>
            <w:tcW w:w="0" w:type="auto"/>
            <w:vAlign w:val="center"/>
            <w:hideMark/>
          </w:tcPr>
          <w:p w14:paraId="20EFB8F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WHO World </w:t>
            </w:r>
            <w:proofErr w:type="spellStart"/>
            <w:r w:rsidRPr="00B7474B">
              <w:rPr>
                <w:rFonts w:ascii="Times New Roman" w:eastAsia="Times New Roman" w:hAnsi="Times New Roman" w:cs="Times New Roman"/>
                <w:sz w:val="24"/>
                <w:szCs w:val="24"/>
                <w:lang w:eastAsia="fr-FR"/>
              </w:rPr>
              <w:t>Health</w:t>
            </w:r>
            <w:proofErr w:type="spellEnd"/>
            <w:r w:rsidRPr="00B7474B">
              <w:rPr>
                <w:rFonts w:ascii="Times New Roman" w:eastAsia="Times New Roman" w:hAnsi="Times New Roman" w:cs="Times New Roman"/>
                <w:sz w:val="24"/>
                <w:szCs w:val="24"/>
                <w:lang w:eastAsia="fr-FR"/>
              </w:rPr>
              <w:t xml:space="preserve"> </w:t>
            </w:r>
            <w:proofErr w:type="spellStart"/>
            <w:r w:rsidRPr="00B7474B">
              <w:rPr>
                <w:rFonts w:ascii="Times New Roman" w:eastAsia="Times New Roman" w:hAnsi="Times New Roman" w:cs="Times New Roman"/>
                <w:sz w:val="24"/>
                <w:szCs w:val="24"/>
                <w:lang w:eastAsia="fr-FR"/>
              </w:rPr>
              <w:t>Statistics</w:t>
            </w:r>
            <w:proofErr w:type="spellEnd"/>
          </w:p>
        </w:tc>
      </w:tr>
      <w:tr w:rsidR="00B7474B" w:rsidRPr="00B7474B" w14:paraId="37C55732" w14:textId="77777777" w:rsidTr="00B7474B">
        <w:trPr>
          <w:tblCellSpacing w:w="15" w:type="dxa"/>
        </w:trPr>
        <w:tc>
          <w:tcPr>
            <w:tcW w:w="0" w:type="auto"/>
            <w:vAlign w:val="center"/>
            <w:hideMark/>
          </w:tcPr>
          <w:p w14:paraId="57E839D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4</w:t>
            </w:r>
          </w:p>
        </w:tc>
        <w:tc>
          <w:tcPr>
            <w:tcW w:w="0" w:type="auto"/>
            <w:vAlign w:val="center"/>
            <w:hideMark/>
          </w:tcPr>
          <w:p w14:paraId="03000B8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Foncier</w:t>
            </w:r>
          </w:p>
        </w:tc>
        <w:tc>
          <w:tcPr>
            <w:tcW w:w="0" w:type="auto"/>
            <w:vAlign w:val="center"/>
            <w:hideMark/>
          </w:tcPr>
          <w:p w14:paraId="33C62D4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FAO terreux</w:t>
            </w:r>
          </w:p>
        </w:tc>
        <w:tc>
          <w:tcPr>
            <w:tcW w:w="0" w:type="auto"/>
            <w:vAlign w:val="center"/>
            <w:hideMark/>
          </w:tcPr>
          <w:p w14:paraId="54C2E4D7"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#4C9A2A</w:t>
            </w:r>
          </w:p>
        </w:tc>
        <w:tc>
          <w:tcPr>
            <w:tcW w:w="0" w:type="auto"/>
            <w:vAlign w:val="center"/>
            <w:hideMark/>
          </w:tcPr>
          <w:p w14:paraId="53D1EEDC" w14:textId="77777777" w:rsidR="00B7474B" w:rsidRPr="00B7474B" w:rsidRDefault="00B7474B" w:rsidP="00B7474B">
            <w:pPr>
              <w:spacing w:after="0" w:line="240" w:lineRule="auto"/>
              <w:rPr>
                <w:rFonts w:ascii="Times New Roman" w:eastAsia="Times New Roman" w:hAnsi="Times New Roman" w:cs="Times New Roman"/>
                <w:sz w:val="24"/>
                <w:szCs w:val="24"/>
                <w:lang w:val="en-US" w:eastAsia="fr-FR"/>
              </w:rPr>
            </w:pPr>
            <w:r w:rsidRPr="00B7474B">
              <w:rPr>
                <w:rFonts w:ascii="Times New Roman" w:eastAsia="Times New Roman" w:hAnsi="Times New Roman" w:cs="Times New Roman"/>
                <w:sz w:val="24"/>
                <w:szCs w:val="24"/>
                <w:lang w:val="en-US" w:eastAsia="fr-FR"/>
              </w:rPr>
              <w:t>FAO GAEZ / Land Tenure reports</w:t>
            </w:r>
          </w:p>
        </w:tc>
      </w:tr>
      <w:tr w:rsidR="00B7474B" w:rsidRPr="00B7474B" w14:paraId="1F69FA0E" w14:textId="77777777" w:rsidTr="00B7474B">
        <w:trPr>
          <w:tblCellSpacing w:w="15" w:type="dxa"/>
        </w:trPr>
        <w:tc>
          <w:tcPr>
            <w:tcW w:w="0" w:type="auto"/>
            <w:vAlign w:val="center"/>
            <w:hideMark/>
          </w:tcPr>
          <w:p w14:paraId="28AEFAD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5</w:t>
            </w:r>
          </w:p>
        </w:tc>
        <w:tc>
          <w:tcPr>
            <w:tcW w:w="0" w:type="auto"/>
            <w:vAlign w:val="center"/>
            <w:hideMark/>
          </w:tcPr>
          <w:p w14:paraId="5BDB117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Production agricole</w:t>
            </w:r>
          </w:p>
        </w:tc>
        <w:tc>
          <w:tcPr>
            <w:tcW w:w="0" w:type="auto"/>
            <w:vAlign w:val="center"/>
            <w:hideMark/>
          </w:tcPr>
          <w:p w14:paraId="7E39842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Vert IFPRI</w:t>
            </w:r>
          </w:p>
        </w:tc>
        <w:tc>
          <w:tcPr>
            <w:tcW w:w="0" w:type="auto"/>
            <w:vAlign w:val="center"/>
            <w:hideMark/>
          </w:tcPr>
          <w:p w14:paraId="7F90A7E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#6CC24A</w:t>
            </w:r>
          </w:p>
        </w:tc>
        <w:tc>
          <w:tcPr>
            <w:tcW w:w="0" w:type="auto"/>
            <w:vAlign w:val="center"/>
            <w:hideMark/>
          </w:tcPr>
          <w:p w14:paraId="6B866F55" w14:textId="77777777" w:rsidR="00B7474B" w:rsidRPr="00B7474B" w:rsidRDefault="00B7474B" w:rsidP="00B7474B">
            <w:pPr>
              <w:spacing w:after="0" w:line="240" w:lineRule="auto"/>
              <w:rPr>
                <w:rFonts w:ascii="Times New Roman" w:eastAsia="Times New Roman" w:hAnsi="Times New Roman" w:cs="Times New Roman"/>
                <w:sz w:val="24"/>
                <w:szCs w:val="24"/>
                <w:lang w:val="en-US" w:eastAsia="fr-FR"/>
              </w:rPr>
            </w:pPr>
            <w:r w:rsidRPr="00B7474B">
              <w:rPr>
                <w:rFonts w:ascii="Times New Roman" w:eastAsia="Times New Roman" w:hAnsi="Times New Roman" w:cs="Times New Roman"/>
                <w:sz w:val="24"/>
                <w:szCs w:val="24"/>
                <w:lang w:val="en-US" w:eastAsia="fr-FR"/>
              </w:rPr>
              <w:t xml:space="preserve">IFPRI Global Food Policy </w:t>
            </w:r>
            <w:proofErr w:type="gramStart"/>
            <w:r w:rsidRPr="00B7474B">
              <w:rPr>
                <w:rFonts w:ascii="Times New Roman" w:eastAsia="Times New Roman" w:hAnsi="Times New Roman" w:cs="Times New Roman"/>
                <w:sz w:val="24"/>
                <w:szCs w:val="24"/>
                <w:lang w:val="en-US" w:eastAsia="fr-FR"/>
              </w:rPr>
              <w:t>Report ;</w:t>
            </w:r>
            <w:proofErr w:type="gramEnd"/>
            <w:r w:rsidRPr="00B7474B">
              <w:rPr>
                <w:rFonts w:ascii="Times New Roman" w:eastAsia="Times New Roman" w:hAnsi="Times New Roman" w:cs="Times New Roman"/>
                <w:sz w:val="24"/>
                <w:szCs w:val="24"/>
                <w:lang w:val="en-US" w:eastAsia="fr-FR"/>
              </w:rPr>
              <w:t xml:space="preserve"> Myanmar RN-128 (2026)</w:t>
            </w:r>
          </w:p>
        </w:tc>
      </w:tr>
      <w:tr w:rsidR="00B7474B" w:rsidRPr="00B7474B" w14:paraId="6FBA3FCA" w14:textId="77777777" w:rsidTr="00B7474B">
        <w:trPr>
          <w:tblCellSpacing w:w="15" w:type="dxa"/>
        </w:trPr>
        <w:tc>
          <w:tcPr>
            <w:tcW w:w="0" w:type="auto"/>
            <w:vAlign w:val="center"/>
            <w:hideMark/>
          </w:tcPr>
          <w:p w14:paraId="3FAAAD6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6</w:t>
            </w:r>
          </w:p>
        </w:tc>
        <w:tc>
          <w:tcPr>
            <w:tcW w:w="0" w:type="auto"/>
            <w:vAlign w:val="center"/>
            <w:hideMark/>
          </w:tcPr>
          <w:p w14:paraId="11CAF26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Élevage</w:t>
            </w:r>
          </w:p>
        </w:tc>
        <w:tc>
          <w:tcPr>
            <w:tcW w:w="0" w:type="auto"/>
            <w:vAlign w:val="center"/>
            <w:hideMark/>
          </w:tcPr>
          <w:p w14:paraId="31C1424A"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Brun </w:t>
            </w:r>
            <w:proofErr w:type="spellStart"/>
            <w:r w:rsidRPr="00B7474B">
              <w:rPr>
                <w:rFonts w:ascii="Times New Roman" w:eastAsia="Times New Roman" w:hAnsi="Times New Roman" w:cs="Times New Roman"/>
                <w:sz w:val="24"/>
                <w:szCs w:val="24"/>
                <w:lang w:eastAsia="fr-FR"/>
              </w:rPr>
              <w:t>sienna</w:t>
            </w:r>
            <w:proofErr w:type="spellEnd"/>
          </w:p>
        </w:tc>
        <w:tc>
          <w:tcPr>
            <w:tcW w:w="0" w:type="auto"/>
            <w:vAlign w:val="center"/>
            <w:hideMark/>
          </w:tcPr>
          <w:p w14:paraId="5E18DC8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#A0522D</w:t>
            </w:r>
          </w:p>
        </w:tc>
        <w:tc>
          <w:tcPr>
            <w:tcW w:w="0" w:type="auto"/>
            <w:vAlign w:val="center"/>
            <w:hideMark/>
          </w:tcPr>
          <w:p w14:paraId="7AD2455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FAO-AGAL Animal Production</w:t>
            </w:r>
          </w:p>
        </w:tc>
      </w:tr>
      <w:tr w:rsidR="00B7474B" w:rsidRPr="00B7474B" w14:paraId="2D1EAA5A" w14:textId="77777777" w:rsidTr="00B7474B">
        <w:trPr>
          <w:tblCellSpacing w:w="15" w:type="dxa"/>
        </w:trPr>
        <w:tc>
          <w:tcPr>
            <w:tcW w:w="0" w:type="auto"/>
            <w:vAlign w:val="center"/>
            <w:hideMark/>
          </w:tcPr>
          <w:p w14:paraId="572E22E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7</w:t>
            </w:r>
          </w:p>
        </w:tc>
        <w:tc>
          <w:tcPr>
            <w:tcW w:w="0" w:type="auto"/>
            <w:vAlign w:val="center"/>
            <w:hideMark/>
          </w:tcPr>
          <w:p w14:paraId="1FFD5E1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Consommation/inégalités</w:t>
            </w:r>
          </w:p>
        </w:tc>
        <w:tc>
          <w:tcPr>
            <w:tcW w:w="0" w:type="auto"/>
            <w:vAlign w:val="center"/>
            <w:hideMark/>
          </w:tcPr>
          <w:p w14:paraId="560E98D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WB</w:t>
            </w:r>
          </w:p>
        </w:tc>
        <w:tc>
          <w:tcPr>
            <w:tcW w:w="0" w:type="auto"/>
            <w:vAlign w:val="center"/>
            <w:hideMark/>
          </w:tcPr>
          <w:p w14:paraId="0909D104"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#009FDA</w:t>
            </w:r>
          </w:p>
        </w:tc>
        <w:tc>
          <w:tcPr>
            <w:tcW w:w="0" w:type="auto"/>
            <w:vAlign w:val="center"/>
            <w:hideMark/>
          </w:tcPr>
          <w:p w14:paraId="58A42B5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World Bank </w:t>
            </w:r>
            <w:proofErr w:type="spellStart"/>
            <w:r w:rsidRPr="00B7474B">
              <w:rPr>
                <w:rFonts w:ascii="Times New Roman" w:eastAsia="Times New Roman" w:hAnsi="Times New Roman" w:cs="Times New Roman"/>
                <w:sz w:val="24"/>
                <w:szCs w:val="24"/>
                <w:lang w:eastAsia="fr-FR"/>
              </w:rPr>
              <w:t>Branding</w:t>
            </w:r>
            <w:proofErr w:type="spellEnd"/>
            <w:r w:rsidRPr="00B7474B">
              <w:rPr>
                <w:rFonts w:ascii="Times New Roman" w:eastAsia="Times New Roman" w:hAnsi="Times New Roman" w:cs="Times New Roman"/>
                <w:sz w:val="24"/>
                <w:szCs w:val="24"/>
                <w:lang w:eastAsia="fr-FR"/>
              </w:rPr>
              <w:t xml:space="preserve"> Guidelines (2017)</w:t>
            </w:r>
          </w:p>
        </w:tc>
      </w:tr>
      <w:tr w:rsidR="00B7474B" w:rsidRPr="00B7474B" w14:paraId="3558A7ED" w14:textId="77777777" w:rsidTr="00B7474B">
        <w:trPr>
          <w:tblCellSpacing w:w="15" w:type="dxa"/>
        </w:trPr>
        <w:tc>
          <w:tcPr>
            <w:tcW w:w="0" w:type="auto"/>
            <w:vAlign w:val="center"/>
            <w:hideMark/>
          </w:tcPr>
          <w:p w14:paraId="0C7A1611"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8</w:t>
            </w:r>
          </w:p>
        </w:tc>
        <w:tc>
          <w:tcPr>
            <w:tcW w:w="0" w:type="auto"/>
            <w:vAlign w:val="center"/>
            <w:hideMark/>
          </w:tcPr>
          <w:p w14:paraId="42AD35B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Marchés/infrastructures</w:t>
            </w:r>
          </w:p>
        </w:tc>
        <w:tc>
          <w:tcPr>
            <w:tcW w:w="0" w:type="auto"/>
            <w:vAlign w:val="center"/>
            <w:hideMark/>
          </w:tcPr>
          <w:p w14:paraId="09F24F0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Bleu infrastructure</w:t>
            </w:r>
          </w:p>
        </w:tc>
        <w:tc>
          <w:tcPr>
            <w:tcW w:w="0" w:type="auto"/>
            <w:vAlign w:val="center"/>
            <w:hideMark/>
          </w:tcPr>
          <w:p w14:paraId="2FCF6796"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#0277BD</w:t>
            </w:r>
          </w:p>
        </w:tc>
        <w:tc>
          <w:tcPr>
            <w:tcW w:w="0" w:type="auto"/>
            <w:vAlign w:val="center"/>
            <w:hideMark/>
          </w:tcPr>
          <w:p w14:paraId="42C5B25E" w14:textId="77777777" w:rsidR="00B7474B" w:rsidRPr="00B7474B" w:rsidRDefault="00B7474B" w:rsidP="00B7474B">
            <w:pPr>
              <w:spacing w:after="0" w:line="240" w:lineRule="auto"/>
              <w:rPr>
                <w:rFonts w:ascii="Times New Roman" w:eastAsia="Times New Roman" w:hAnsi="Times New Roman" w:cs="Times New Roman"/>
                <w:sz w:val="24"/>
                <w:szCs w:val="24"/>
                <w:lang w:val="en-US" w:eastAsia="fr-FR"/>
              </w:rPr>
            </w:pPr>
            <w:r w:rsidRPr="00B7474B">
              <w:rPr>
                <w:rFonts w:ascii="Times New Roman" w:eastAsia="Times New Roman" w:hAnsi="Times New Roman" w:cs="Times New Roman"/>
                <w:sz w:val="24"/>
                <w:szCs w:val="24"/>
                <w:lang w:val="en-US" w:eastAsia="fr-FR"/>
              </w:rPr>
              <w:t>World Bank DIME Analytics / HABITAT</w:t>
            </w:r>
          </w:p>
        </w:tc>
      </w:tr>
      <w:tr w:rsidR="00B7474B" w:rsidRPr="00B7474B" w14:paraId="681C3EAE" w14:textId="77777777" w:rsidTr="00B7474B">
        <w:trPr>
          <w:tblCellSpacing w:w="15" w:type="dxa"/>
        </w:trPr>
        <w:tc>
          <w:tcPr>
            <w:tcW w:w="0" w:type="auto"/>
            <w:vAlign w:val="center"/>
            <w:hideMark/>
          </w:tcPr>
          <w:p w14:paraId="252EF88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9</w:t>
            </w:r>
          </w:p>
        </w:tc>
        <w:tc>
          <w:tcPr>
            <w:tcW w:w="0" w:type="auto"/>
            <w:vAlign w:val="center"/>
            <w:hideMark/>
          </w:tcPr>
          <w:p w14:paraId="16012D2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Pluriactivité/emploi</w:t>
            </w:r>
          </w:p>
        </w:tc>
        <w:tc>
          <w:tcPr>
            <w:tcW w:w="0" w:type="auto"/>
            <w:vAlign w:val="center"/>
            <w:hideMark/>
          </w:tcPr>
          <w:p w14:paraId="462F2B4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Orange ambre</w:t>
            </w:r>
          </w:p>
        </w:tc>
        <w:tc>
          <w:tcPr>
            <w:tcW w:w="0" w:type="auto"/>
            <w:vAlign w:val="center"/>
            <w:hideMark/>
          </w:tcPr>
          <w:p w14:paraId="1A9B4BE2"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Courier New" w:eastAsia="Times New Roman" w:hAnsi="Courier New" w:cs="Courier New"/>
                <w:sz w:val="20"/>
                <w:szCs w:val="20"/>
                <w:lang w:eastAsia="fr-FR"/>
              </w:rPr>
              <w:t>#FF8F00</w:t>
            </w:r>
          </w:p>
        </w:tc>
        <w:tc>
          <w:tcPr>
            <w:tcW w:w="0" w:type="auto"/>
            <w:vAlign w:val="center"/>
            <w:hideMark/>
          </w:tcPr>
          <w:p w14:paraId="52BAECD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 xml:space="preserve">ILO World </w:t>
            </w:r>
            <w:proofErr w:type="spellStart"/>
            <w:r w:rsidRPr="00B7474B">
              <w:rPr>
                <w:rFonts w:ascii="Times New Roman" w:eastAsia="Times New Roman" w:hAnsi="Times New Roman" w:cs="Times New Roman"/>
                <w:sz w:val="24"/>
                <w:szCs w:val="24"/>
                <w:lang w:eastAsia="fr-FR"/>
              </w:rPr>
              <w:t>Employment</w:t>
            </w:r>
            <w:proofErr w:type="spellEnd"/>
            <w:r w:rsidRPr="00B7474B">
              <w:rPr>
                <w:rFonts w:ascii="Times New Roman" w:eastAsia="Times New Roman" w:hAnsi="Times New Roman" w:cs="Times New Roman"/>
                <w:sz w:val="24"/>
                <w:szCs w:val="24"/>
                <w:lang w:eastAsia="fr-FR"/>
              </w:rPr>
              <w:t xml:space="preserve"> Outlook</w:t>
            </w:r>
          </w:p>
        </w:tc>
      </w:tr>
      <w:tr w:rsidR="00B7474B" w:rsidRPr="00B7474B" w14:paraId="51B69D8E" w14:textId="77777777" w:rsidTr="00B7474B">
        <w:trPr>
          <w:tblCellSpacing w:w="15" w:type="dxa"/>
        </w:trPr>
        <w:tc>
          <w:tcPr>
            <w:tcW w:w="0" w:type="auto"/>
            <w:vAlign w:val="center"/>
            <w:hideMark/>
          </w:tcPr>
          <w:p w14:paraId="1E9D85DC"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10</w:t>
            </w:r>
          </w:p>
        </w:tc>
        <w:tc>
          <w:tcPr>
            <w:tcW w:w="0" w:type="auto"/>
            <w:vAlign w:val="center"/>
            <w:hideMark/>
          </w:tcPr>
          <w:p w14:paraId="1C250AF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Synthèse inter-vagues</w:t>
            </w:r>
          </w:p>
        </w:tc>
        <w:tc>
          <w:tcPr>
            <w:tcW w:w="0" w:type="auto"/>
            <w:vAlign w:val="center"/>
            <w:hideMark/>
          </w:tcPr>
          <w:p w14:paraId="54214DA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proofErr w:type="spellStart"/>
            <w:r w:rsidRPr="00B7474B">
              <w:rPr>
                <w:rFonts w:ascii="Times New Roman" w:eastAsia="Times New Roman" w:hAnsi="Times New Roman" w:cs="Times New Roman"/>
                <w:sz w:val="24"/>
                <w:szCs w:val="24"/>
                <w:lang w:eastAsia="fr-FR"/>
              </w:rPr>
              <w:t>Multi-thématique</w:t>
            </w:r>
            <w:proofErr w:type="spellEnd"/>
          </w:p>
        </w:tc>
        <w:tc>
          <w:tcPr>
            <w:tcW w:w="0" w:type="auto"/>
            <w:vAlign w:val="center"/>
            <w:hideMark/>
          </w:tcPr>
          <w:p w14:paraId="1CAC45C0"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proofErr w:type="gramStart"/>
            <w:r w:rsidRPr="00B7474B">
              <w:rPr>
                <w:rFonts w:ascii="Times New Roman" w:eastAsia="Times New Roman" w:hAnsi="Times New Roman" w:cs="Times New Roman"/>
                <w:sz w:val="24"/>
                <w:szCs w:val="24"/>
                <w:lang w:eastAsia="fr-FR"/>
              </w:rPr>
              <w:t>composite</w:t>
            </w:r>
            <w:proofErr w:type="gramEnd"/>
          </w:p>
        </w:tc>
        <w:tc>
          <w:tcPr>
            <w:tcW w:w="0" w:type="auto"/>
            <w:vAlign w:val="center"/>
            <w:hideMark/>
          </w:tcPr>
          <w:p w14:paraId="17FCA0EF"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Tous les TP ci-dessus</w:t>
            </w:r>
          </w:p>
        </w:tc>
      </w:tr>
    </w:tbl>
    <w:p w14:paraId="65C73B48"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44B571B6">
          <v:rect id="_x0000_i1037" style="width:0;height:1.5pt" o:hralign="center" o:hrstd="t" o:hr="t" fillcolor="#a0a0a0" stroked="f"/>
        </w:pict>
      </w:r>
    </w:p>
    <w:p w14:paraId="273A2C2C"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Règles transversales à respecter dans tous les TP</w:t>
      </w:r>
    </w:p>
    <w:p w14:paraId="7DBD66DA"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1. Cohérence intra-document.</w:t>
      </w:r>
      <w:r w:rsidRPr="00B7474B">
        <w:rPr>
          <w:rFonts w:ascii="Times New Roman" w:eastAsia="Times New Roman" w:hAnsi="Times New Roman" w:cs="Times New Roman"/>
          <w:sz w:val="24"/>
          <w:szCs w:val="24"/>
          <w:lang w:eastAsia="fr-FR"/>
        </w:rPr>
        <w:t xml:space="preserve"> Le DIME Analytics de la Banque mondiale l'énonce explicitement : une même catégorie (ex. rural, urbain) doit toujours être représentée par la même couleur dans tous les graphiques d'un même rapport. Vert = rural, gris-bleu = urbain, dans tous les TP sans exception.</w:t>
      </w:r>
    </w:p>
    <w:p w14:paraId="661FB559"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2. Séquentiel vs divergent vs catégoriel.</w:t>
      </w:r>
      <w:r w:rsidRPr="00B7474B">
        <w:rPr>
          <w:rFonts w:ascii="Times New Roman" w:eastAsia="Times New Roman" w:hAnsi="Times New Roman" w:cs="Times New Roman"/>
          <w:sz w:val="24"/>
          <w:szCs w:val="24"/>
          <w:lang w:eastAsia="fr-FR"/>
        </w:rPr>
        <w:t xml:space="preserve"> Les variables </w:t>
      </w:r>
      <w:proofErr w:type="gramStart"/>
      <w:r w:rsidRPr="00B7474B">
        <w:rPr>
          <w:rFonts w:ascii="Times New Roman" w:eastAsia="Times New Roman" w:hAnsi="Times New Roman" w:cs="Times New Roman"/>
          <w:sz w:val="24"/>
          <w:szCs w:val="24"/>
          <w:lang w:eastAsia="fr-FR"/>
        </w:rPr>
        <w:t>continues</w:t>
      </w:r>
      <w:proofErr w:type="gramEnd"/>
      <w:r w:rsidRPr="00B7474B">
        <w:rPr>
          <w:rFonts w:ascii="Times New Roman" w:eastAsia="Times New Roman" w:hAnsi="Times New Roman" w:cs="Times New Roman"/>
          <w:sz w:val="24"/>
          <w:szCs w:val="24"/>
          <w:lang w:eastAsia="fr-FR"/>
        </w:rPr>
        <w:t xml:space="preserve"> à sens unique (consommation, superficie, revenus) reçoivent une palette séquentielle (clair → foncé). Les variables avec un point neutre central (Gini, écart rural/urbain) reçoivent une palette divergente (rouge ← neutre blanc → bleu). Les variables nominales (type de prestataire, espèce animale) reçoivent une palette catégorielle (couleurs distinctes sans ordre implicite).</w:t>
      </w:r>
    </w:p>
    <w:p w14:paraId="697D16C8"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3. Accessibilité daltonisme.</w:t>
      </w:r>
      <w:r w:rsidRPr="00B7474B">
        <w:rPr>
          <w:rFonts w:ascii="Times New Roman" w:eastAsia="Times New Roman" w:hAnsi="Times New Roman" w:cs="Times New Roman"/>
          <w:sz w:val="24"/>
          <w:szCs w:val="24"/>
          <w:lang w:eastAsia="fr-FR"/>
        </w:rPr>
        <w:t xml:space="preserve"> Éviter rouge-vert en opposition directe. Utiliser rouge-bleu ou orange-bleu pour les comparaisons binaires (traitement/contrôle). Tester avec le package </w:t>
      </w:r>
      <w:proofErr w:type="spellStart"/>
      <w:r w:rsidRPr="00B7474B">
        <w:rPr>
          <w:rFonts w:ascii="Courier New" w:eastAsia="Times New Roman" w:hAnsi="Courier New" w:cs="Courier New"/>
          <w:sz w:val="20"/>
          <w:szCs w:val="20"/>
          <w:lang w:eastAsia="fr-FR"/>
        </w:rPr>
        <w:t>colorBlindness</w:t>
      </w:r>
      <w:proofErr w:type="spellEnd"/>
      <w:r w:rsidRPr="00B7474B">
        <w:rPr>
          <w:rFonts w:ascii="Times New Roman" w:eastAsia="Times New Roman" w:hAnsi="Times New Roman" w:cs="Times New Roman"/>
          <w:sz w:val="24"/>
          <w:szCs w:val="24"/>
          <w:lang w:eastAsia="fr-FR"/>
        </w:rPr>
        <w:t xml:space="preserve"> en R.</w:t>
      </w:r>
    </w:p>
    <w:p w14:paraId="7EDFF5BB"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4. Impression en noir et blanc.</w:t>
      </w:r>
      <w:r w:rsidRPr="00B7474B">
        <w:rPr>
          <w:rFonts w:ascii="Times New Roman" w:eastAsia="Times New Roman" w:hAnsi="Times New Roman" w:cs="Times New Roman"/>
          <w:sz w:val="24"/>
          <w:szCs w:val="24"/>
          <w:lang w:eastAsia="fr-FR"/>
        </w:rPr>
        <w:t xml:space="preserve"> Toujours s'assurer que les figures restent lisibles en niveaux de gris pour l'impression universitaire. Ajouter des motifs de hachures (</w:t>
      </w:r>
      <w:r w:rsidRPr="00B7474B">
        <w:rPr>
          <w:rFonts w:ascii="Courier New" w:eastAsia="Times New Roman" w:hAnsi="Courier New" w:cs="Courier New"/>
          <w:sz w:val="20"/>
          <w:szCs w:val="20"/>
          <w:lang w:eastAsia="fr-FR"/>
        </w:rPr>
        <w:t>pattern</w:t>
      </w:r>
      <w:r w:rsidRPr="00B7474B">
        <w:rPr>
          <w:rFonts w:ascii="Times New Roman" w:eastAsia="Times New Roman" w:hAnsi="Times New Roman" w:cs="Times New Roman"/>
          <w:sz w:val="24"/>
          <w:szCs w:val="24"/>
          <w:lang w:eastAsia="fr-FR"/>
        </w:rPr>
        <w:t xml:space="preserve">) en complément de la couleur pour les </w:t>
      </w:r>
      <w:proofErr w:type="spellStart"/>
      <w:r w:rsidRPr="00B7474B">
        <w:rPr>
          <w:rFonts w:ascii="Times New Roman" w:eastAsia="Times New Roman" w:hAnsi="Times New Roman" w:cs="Times New Roman"/>
          <w:sz w:val="24"/>
          <w:szCs w:val="24"/>
          <w:lang w:eastAsia="fr-FR"/>
        </w:rPr>
        <w:t>barplots</w:t>
      </w:r>
      <w:proofErr w:type="spellEnd"/>
      <w:r w:rsidRPr="00B7474B">
        <w:rPr>
          <w:rFonts w:ascii="Times New Roman" w:eastAsia="Times New Roman" w:hAnsi="Times New Roman" w:cs="Times New Roman"/>
          <w:sz w:val="24"/>
          <w:szCs w:val="24"/>
          <w:lang w:eastAsia="fr-FR"/>
        </w:rPr>
        <w:t xml:space="preserve"> quand la distinction est critique.</w:t>
      </w:r>
    </w:p>
    <w:p w14:paraId="70E30988"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b/>
          <w:bCs/>
          <w:sz w:val="24"/>
          <w:szCs w:val="24"/>
          <w:lang w:eastAsia="fr-FR"/>
        </w:rPr>
        <w:t>5. Source systématique.</w:t>
      </w:r>
      <w:r w:rsidRPr="00B7474B">
        <w:rPr>
          <w:rFonts w:ascii="Times New Roman" w:eastAsia="Times New Roman" w:hAnsi="Times New Roman" w:cs="Times New Roman"/>
          <w:sz w:val="24"/>
          <w:szCs w:val="24"/>
          <w:lang w:eastAsia="fr-FR"/>
        </w:rPr>
        <w:t xml:space="preserve"> Toute figure comporte en bas à droite : </w:t>
      </w:r>
      <w:r w:rsidRPr="00B7474B">
        <w:rPr>
          <w:rFonts w:ascii="Courier New" w:eastAsia="Times New Roman" w:hAnsi="Courier New" w:cs="Courier New"/>
          <w:sz w:val="20"/>
          <w:szCs w:val="20"/>
          <w:lang w:eastAsia="fr-FR"/>
        </w:rPr>
        <w:t>Source : Nigeria GHS Panel (LSMS-ISA), vague X. Calculs des auteurs.</w:t>
      </w:r>
      <w:r w:rsidRPr="00B7474B">
        <w:rPr>
          <w:rFonts w:ascii="Times New Roman" w:eastAsia="Times New Roman" w:hAnsi="Times New Roman" w:cs="Times New Roman"/>
          <w:sz w:val="24"/>
          <w:szCs w:val="24"/>
          <w:lang w:eastAsia="fr-FR"/>
        </w:rPr>
        <w:t xml:space="preserve"> — convention stricte des publications IFPRI et Banque mondiale.</w:t>
      </w:r>
    </w:p>
    <w:p w14:paraId="50F19753"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7FD83233">
          <v:rect id="_x0000_i1038" style="width:0;height:1.5pt" o:hralign="center" o:hrstd="t" o:hr="t" fillcolor="#a0a0a0" stroked="f"/>
        </w:pict>
      </w:r>
    </w:p>
    <w:p w14:paraId="5F471ACD" w14:textId="77777777" w:rsidR="00B7474B" w:rsidRPr="00B7474B" w:rsidRDefault="00B7474B" w:rsidP="00B7474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74B">
        <w:rPr>
          <w:rFonts w:ascii="Times New Roman" w:eastAsia="Times New Roman" w:hAnsi="Times New Roman" w:cs="Times New Roman"/>
          <w:b/>
          <w:bCs/>
          <w:sz w:val="36"/>
          <w:szCs w:val="36"/>
          <w:lang w:eastAsia="fr-FR"/>
        </w:rPr>
        <w:t xml:space="preserve">Implémentation dans </w:t>
      </w:r>
      <w:proofErr w:type="spellStart"/>
      <w:r w:rsidRPr="00B7474B">
        <w:rPr>
          <w:rFonts w:ascii="Times New Roman" w:eastAsia="Times New Roman" w:hAnsi="Times New Roman" w:cs="Times New Roman"/>
          <w:b/>
          <w:bCs/>
          <w:sz w:val="36"/>
          <w:szCs w:val="36"/>
          <w:lang w:eastAsia="fr-FR"/>
        </w:rPr>
        <w:t>theme_</w:t>
      </w:r>
      <w:proofErr w:type="gramStart"/>
      <w:r w:rsidRPr="00B7474B">
        <w:rPr>
          <w:rFonts w:ascii="Times New Roman" w:eastAsia="Times New Roman" w:hAnsi="Times New Roman" w:cs="Times New Roman"/>
          <w:b/>
          <w:bCs/>
          <w:sz w:val="36"/>
          <w:szCs w:val="36"/>
          <w:lang w:eastAsia="fr-FR"/>
        </w:rPr>
        <w:t>ensae.R</w:t>
      </w:r>
      <w:proofErr w:type="spellEnd"/>
      <w:proofErr w:type="gramEnd"/>
    </w:p>
    <w:p w14:paraId="45DC0789"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t>Ces palettes seront encodées sous cette forme :</w:t>
      </w:r>
    </w:p>
    <w:p w14:paraId="2519DD2D"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Palettes </w:t>
      </w:r>
      <w:proofErr w:type="spellStart"/>
      <w:r w:rsidRPr="00B7474B">
        <w:rPr>
          <w:rFonts w:ascii="Courier New" w:eastAsia="Times New Roman" w:hAnsi="Courier New" w:cs="Courier New"/>
          <w:sz w:val="20"/>
          <w:szCs w:val="20"/>
          <w:lang w:eastAsia="fr-FR"/>
        </w:rPr>
        <w:t>thematiques</w:t>
      </w:r>
      <w:proofErr w:type="spellEnd"/>
      <w:r w:rsidRPr="00B7474B">
        <w:rPr>
          <w:rFonts w:ascii="Courier New" w:eastAsia="Times New Roman" w:hAnsi="Courier New" w:cs="Courier New"/>
          <w:sz w:val="20"/>
          <w:szCs w:val="20"/>
          <w:lang w:eastAsia="fr-FR"/>
        </w:rPr>
        <w:t xml:space="preserve"> par TP</w:t>
      </w:r>
    </w:p>
    <w:p w14:paraId="6C46C8FC"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PALETTES_ENSAE &lt;- </w:t>
      </w:r>
      <w:proofErr w:type="spellStart"/>
      <w:proofErr w:type="gramStart"/>
      <w:r w:rsidRPr="00B7474B">
        <w:rPr>
          <w:rFonts w:ascii="Courier New" w:eastAsia="Times New Roman" w:hAnsi="Courier New" w:cs="Courier New"/>
          <w:sz w:val="20"/>
          <w:szCs w:val="20"/>
          <w:lang w:eastAsia="fr-FR"/>
        </w:rPr>
        <w:t>list</w:t>
      </w:r>
      <w:proofErr w:type="spellEnd"/>
      <w:r w:rsidRPr="00B7474B">
        <w:rPr>
          <w:rFonts w:ascii="Courier New" w:eastAsia="Times New Roman" w:hAnsi="Courier New" w:cs="Courier New"/>
          <w:sz w:val="20"/>
          <w:szCs w:val="20"/>
          <w:lang w:eastAsia="fr-FR"/>
        </w:rPr>
        <w:t>(</w:t>
      </w:r>
      <w:proofErr w:type="gramEnd"/>
    </w:p>
    <w:p w14:paraId="729949E1"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1_demo     = c(primaire = "#1CABE2", homme = "#0058AB", femme = "#E8416F",</w:t>
      </w:r>
    </w:p>
    <w:p w14:paraId="7DB430F3"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rural</w:t>
      </w:r>
      <w:proofErr w:type="gramEnd"/>
      <w:r w:rsidRPr="00B7474B">
        <w:rPr>
          <w:rFonts w:ascii="Courier New" w:eastAsia="Times New Roman" w:hAnsi="Courier New" w:cs="Courier New"/>
          <w:sz w:val="20"/>
          <w:szCs w:val="20"/>
          <w:lang w:eastAsia="fr-FR"/>
        </w:rPr>
        <w:t xml:space="preserve"> = "#80BD41", urbain = "#6C757D"),</w:t>
      </w:r>
    </w:p>
    <w:p w14:paraId="04C6CFFE"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2_educ     = c(primaire = "#5C2D91", secondaire = "#9B59B6",</w:t>
      </w:r>
    </w:p>
    <w:p w14:paraId="5A260489"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aucun</w:t>
      </w:r>
      <w:proofErr w:type="gramEnd"/>
      <w:r w:rsidRPr="00B7474B">
        <w:rPr>
          <w:rFonts w:ascii="Courier New" w:eastAsia="Times New Roman" w:hAnsi="Courier New" w:cs="Courier New"/>
          <w:sz w:val="20"/>
          <w:szCs w:val="20"/>
          <w:lang w:eastAsia="fr-FR"/>
        </w:rPr>
        <w:t xml:space="preserve"> = "#D7BDE2", </w:t>
      </w:r>
      <w:proofErr w:type="spellStart"/>
      <w:r w:rsidRPr="00B7474B">
        <w:rPr>
          <w:rFonts w:ascii="Courier New" w:eastAsia="Times New Roman" w:hAnsi="Courier New" w:cs="Courier New"/>
          <w:sz w:val="20"/>
          <w:szCs w:val="20"/>
          <w:lang w:eastAsia="fr-FR"/>
        </w:rPr>
        <w:t>superieur</w:t>
      </w:r>
      <w:proofErr w:type="spellEnd"/>
      <w:r w:rsidRPr="00B7474B">
        <w:rPr>
          <w:rFonts w:ascii="Courier New" w:eastAsia="Times New Roman" w:hAnsi="Courier New" w:cs="Courier New"/>
          <w:sz w:val="20"/>
          <w:szCs w:val="20"/>
          <w:lang w:eastAsia="fr-FR"/>
        </w:rPr>
        <w:t xml:space="preserve"> = "#3D3B8E"),</w:t>
      </w:r>
    </w:p>
    <w:p w14:paraId="7F88DD9F"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3_sante    = c(primaire = "#009688", urgence = "#E53935",</w:t>
      </w:r>
    </w:p>
    <w:p w14:paraId="40AB2582"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public</w:t>
      </w:r>
      <w:proofErr w:type="gramEnd"/>
      <w:r w:rsidRPr="00B7474B">
        <w:rPr>
          <w:rFonts w:ascii="Courier New" w:eastAsia="Times New Roman" w:hAnsi="Courier New" w:cs="Courier New"/>
          <w:sz w:val="20"/>
          <w:szCs w:val="20"/>
          <w:lang w:eastAsia="fr-FR"/>
        </w:rPr>
        <w:t xml:space="preserve"> = "#1565C0", prive = "#2E7D32", informel = "#F9A825"),</w:t>
      </w:r>
    </w:p>
    <w:p w14:paraId="00CAB2BD"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 xml:space="preserve">4_foncier  = c(primaire = "#4C9A2A", </w:t>
      </w:r>
      <w:proofErr w:type="spellStart"/>
      <w:r w:rsidRPr="00B7474B">
        <w:rPr>
          <w:rFonts w:ascii="Courier New" w:eastAsia="Times New Roman" w:hAnsi="Courier New" w:cs="Courier New"/>
          <w:sz w:val="20"/>
          <w:szCs w:val="20"/>
          <w:lang w:eastAsia="fr-FR"/>
        </w:rPr>
        <w:t>propriete</w:t>
      </w:r>
      <w:proofErr w:type="spellEnd"/>
      <w:r w:rsidRPr="00B7474B">
        <w:rPr>
          <w:rFonts w:ascii="Courier New" w:eastAsia="Times New Roman" w:hAnsi="Courier New" w:cs="Courier New"/>
          <w:sz w:val="20"/>
          <w:szCs w:val="20"/>
          <w:lang w:eastAsia="fr-FR"/>
        </w:rPr>
        <w:t xml:space="preserve"> = "#2E7D32",</w:t>
      </w:r>
    </w:p>
    <w:p w14:paraId="7B37AD36"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location</w:t>
      </w:r>
      <w:proofErr w:type="gramEnd"/>
      <w:r w:rsidRPr="00B7474B">
        <w:rPr>
          <w:rFonts w:ascii="Courier New" w:eastAsia="Times New Roman" w:hAnsi="Courier New" w:cs="Courier New"/>
          <w:sz w:val="20"/>
          <w:szCs w:val="20"/>
          <w:lang w:eastAsia="fr-FR"/>
        </w:rPr>
        <w:t xml:space="preserve"> = "#455A64", </w:t>
      </w:r>
      <w:proofErr w:type="spellStart"/>
      <w:r w:rsidRPr="00B7474B">
        <w:rPr>
          <w:rFonts w:ascii="Courier New" w:eastAsia="Times New Roman" w:hAnsi="Courier New" w:cs="Courier New"/>
          <w:sz w:val="20"/>
          <w:szCs w:val="20"/>
          <w:lang w:eastAsia="fr-FR"/>
        </w:rPr>
        <w:t>metayage</w:t>
      </w:r>
      <w:proofErr w:type="spellEnd"/>
      <w:r w:rsidRPr="00B7474B">
        <w:rPr>
          <w:rFonts w:ascii="Courier New" w:eastAsia="Times New Roman" w:hAnsi="Courier New" w:cs="Courier New"/>
          <w:sz w:val="20"/>
          <w:szCs w:val="20"/>
          <w:lang w:eastAsia="fr-FR"/>
        </w:rPr>
        <w:t xml:space="preserve"> = "#795548"),</w:t>
      </w:r>
    </w:p>
    <w:p w14:paraId="21FCE56F"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 xml:space="preserve">5_agri     = c(primaire = "#6CC24A", </w:t>
      </w:r>
      <w:proofErr w:type="spellStart"/>
      <w:r w:rsidRPr="00B7474B">
        <w:rPr>
          <w:rFonts w:ascii="Courier New" w:eastAsia="Times New Roman" w:hAnsi="Courier New" w:cs="Courier New"/>
          <w:sz w:val="20"/>
          <w:szCs w:val="20"/>
          <w:lang w:eastAsia="fr-FR"/>
        </w:rPr>
        <w:t>cereales</w:t>
      </w:r>
      <w:proofErr w:type="spellEnd"/>
      <w:r w:rsidRPr="00B7474B">
        <w:rPr>
          <w:rFonts w:ascii="Courier New" w:eastAsia="Times New Roman" w:hAnsi="Courier New" w:cs="Courier New"/>
          <w:sz w:val="20"/>
          <w:szCs w:val="20"/>
          <w:lang w:eastAsia="fr-FR"/>
        </w:rPr>
        <w:t xml:space="preserve"> = "#F9A825",</w:t>
      </w:r>
    </w:p>
    <w:p w14:paraId="7DFA993B"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spellStart"/>
      <w:proofErr w:type="gramStart"/>
      <w:r w:rsidRPr="00B7474B">
        <w:rPr>
          <w:rFonts w:ascii="Courier New" w:eastAsia="Times New Roman" w:hAnsi="Courier New" w:cs="Courier New"/>
          <w:sz w:val="20"/>
          <w:szCs w:val="20"/>
          <w:lang w:eastAsia="fr-FR"/>
        </w:rPr>
        <w:t>legumineuses</w:t>
      </w:r>
      <w:proofErr w:type="spellEnd"/>
      <w:proofErr w:type="gramEnd"/>
      <w:r w:rsidRPr="00B7474B">
        <w:rPr>
          <w:rFonts w:ascii="Courier New" w:eastAsia="Times New Roman" w:hAnsi="Courier New" w:cs="Courier New"/>
          <w:sz w:val="20"/>
          <w:szCs w:val="20"/>
          <w:lang w:eastAsia="fr-FR"/>
        </w:rPr>
        <w:t xml:space="preserve"> = "#827717", tubercules = "#BF360C",</w:t>
      </w:r>
    </w:p>
    <w:p w14:paraId="11D55855"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spellStart"/>
      <w:proofErr w:type="gramStart"/>
      <w:r w:rsidRPr="00B7474B">
        <w:rPr>
          <w:rFonts w:ascii="Courier New" w:eastAsia="Times New Roman" w:hAnsi="Courier New" w:cs="Courier New"/>
          <w:sz w:val="20"/>
          <w:szCs w:val="20"/>
          <w:lang w:eastAsia="fr-FR"/>
        </w:rPr>
        <w:t>engrais</w:t>
      </w:r>
      <w:proofErr w:type="gramEnd"/>
      <w:r w:rsidRPr="00B7474B">
        <w:rPr>
          <w:rFonts w:ascii="Courier New" w:eastAsia="Times New Roman" w:hAnsi="Courier New" w:cs="Courier New"/>
          <w:sz w:val="20"/>
          <w:szCs w:val="20"/>
          <w:lang w:eastAsia="fr-FR"/>
        </w:rPr>
        <w:t>_chimique</w:t>
      </w:r>
      <w:proofErr w:type="spellEnd"/>
      <w:r w:rsidRPr="00B7474B">
        <w:rPr>
          <w:rFonts w:ascii="Courier New" w:eastAsia="Times New Roman" w:hAnsi="Courier New" w:cs="Courier New"/>
          <w:sz w:val="20"/>
          <w:szCs w:val="20"/>
          <w:lang w:eastAsia="fr-FR"/>
        </w:rPr>
        <w:t xml:space="preserve"> = "#E65100", </w:t>
      </w:r>
      <w:proofErr w:type="spellStart"/>
      <w:r w:rsidRPr="00B7474B">
        <w:rPr>
          <w:rFonts w:ascii="Courier New" w:eastAsia="Times New Roman" w:hAnsi="Courier New" w:cs="Courier New"/>
          <w:sz w:val="20"/>
          <w:szCs w:val="20"/>
          <w:lang w:eastAsia="fr-FR"/>
        </w:rPr>
        <w:t>engrais_organique</w:t>
      </w:r>
      <w:proofErr w:type="spellEnd"/>
      <w:r w:rsidRPr="00B7474B">
        <w:rPr>
          <w:rFonts w:ascii="Courier New" w:eastAsia="Times New Roman" w:hAnsi="Courier New" w:cs="Courier New"/>
          <w:sz w:val="20"/>
          <w:szCs w:val="20"/>
          <w:lang w:eastAsia="fr-FR"/>
        </w:rPr>
        <w:t xml:space="preserve"> = "#558B2F"),</w:t>
      </w:r>
    </w:p>
    <w:p w14:paraId="40AA7DEF"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6_elevage  = c(primaire = "#A0522D", bovins = "#5D4037",</w:t>
      </w:r>
    </w:p>
    <w:p w14:paraId="67AE177C"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spellStart"/>
      <w:proofErr w:type="gramStart"/>
      <w:r w:rsidRPr="00B7474B">
        <w:rPr>
          <w:rFonts w:ascii="Courier New" w:eastAsia="Times New Roman" w:hAnsi="Courier New" w:cs="Courier New"/>
          <w:sz w:val="20"/>
          <w:szCs w:val="20"/>
          <w:lang w:eastAsia="fr-FR"/>
        </w:rPr>
        <w:t>petits</w:t>
      </w:r>
      <w:proofErr w:type="gramEnd"/>
      <w:r w:rsidRPr="00B7474B">
        <w:rPr>
          <w:rFonts w:ascii="Courier New" w:eastAsia="Times New Roman" w:hAnsi="Courier New" w:cs="Courier New"/>
          <w:sz w:val="20"/>
          <w:szCs w:val="20"/>
          <w:lang w:eastAsia="fr-FR"/>
        </w:rPr>
        <w:t>_ruminants</w:t>
      </w:r>
      <w:proofErr w:type="spellEnd"/>
      <w:r w:rsidRPr="00B7474B">
        <w:rPr>
          <w:rFonts w:ascii="Courier New" w:eastAsia="Times New Roman" w:hAnsi="Courier New" w:cs="Courier New"/>
          <w:sz w:val="20"/>
          <w:szCs w:val="20"/>
          <w:lang w:eastAsia="fr-FR"/>
        </w:rPr>
        <w:t xml:space="preserve"> = "#FF8F00", volailles = "#FDD835"),</w:t>
      </w:r>
    </w:p>
    <w:p w14:paraId="1CC7CBD6"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 xml:space="preserve">7_conso    = c(primaire = "#009FDA", </w:t>
      </w:r>
      <w:proofErr w:type="spellStart"/>
      <w:r w:rsidRPr="00B7474B">
        <w:rPr>
          <w:rFonts w:ascii="Courier New" w:eastAsia="Times New Roman" w:hAnsi="Courier New" w:cs="Courier New"/>
          <w:sz w:val="20"/>
          <w:szCs w:val="20"/>
          <w:lang w:eastAsia="fr-FR"/>
        </w:rPr>
        <w:t>inegalite_haute</w:t>
      </w:r>
      <w:proofErr w:type="spellEnd"/>
      <w:r w:rsidRPr="00B7474B">
        <w:rPr>
          <w:rFonts w:ascii="Courier New" w:eastAsia="Times New Roman" w:hAnsi="Courier New" w:cs="Courier New"/>
          <w:sz w:val="20"/>
          <w:szCs w:val="20"/>
          <w:lang w:eastAsia="fr-FR"/>
        </w:rPr>
        <w:t xml:space="preserve"> = "#C0392B",</w:t>
      </w:r>
    </w:p>
    <w:p w14:paraId="37E397C6"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spellStart"/>
      <w:proofErr w:type="gramStart"/>
      <w:r w:rsidRPr="00B7474B">
        <w:rPr>
          <w:rFonts w:ascii="Courier New" w:eastAsia="Times New Roman" w:hAnsi="Courier New" w:cs="Courier New"/>
          <w:sz w:val="20"/>
          <w:szCs w:val="20"/>
          <w:lang w:eastAsia="fr-FR"/>
        </w:rPr>
        <w:t>inegalite</w:t>
      </w:r>
      <w:proofErr w:type="gramEnd"/>
      <w:r w:rsidRPr="00B7474B">
        <w:rPr>
          <w:rFonts w:ascii="Courier New" w:eastAsia="Times New Roman" w:hAnsi="Courier New" w:cs="Courier New"/>
          <w:sz w:val="20"/>
          <w:szCs w:val="20"/>
          <w:lang w:eastAsia="fr-FR"/>
        </w:rPr>
        <w:t>_basse</w:t>
      </w:r>
      <w:proofErr w:type="spellEnd"/>
      <w:r w:rsidRPr="00B7474B">
        <w:rPr>
          <w:rFonts w:ascii="Courier New" w:eastAsia="Times New Roman" w:hAnsi="Courier New" w:cs="Courier New"/>
          <w:sz w:val="20"/>
          <w:szCs w:val="20"/>
          <w:lang w:eastAsia="fr-FR"/>
        </w:rPr>
        <w:t xml:space="preserve"> = "#27AE60", rural = "#80BD41", urbain = "#5D6D7E"),</w:t>
      </w:r>
    </w:p>
    <w:p w14:paraId="31426843"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8_marche   = c(primaire = "#0277BD", eau = "#29B6F6",</w:t>
      </w:r>
    </w:p>
    <w:p w14:paraId="5BA6AA4E"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route</w:t>
      </w:r>
      <w:proofErr w:type="gramEnd"/>
      <w:r w:rsidRPr="00B7474B">
        <w:rPr>
          <w:rFonts w:ascii="Courier New" w:eastAsia="Times New Roman" w:hAnsi="Courier New" w:cs="Courier New"/>
          <w:sz w:val="20"/>
          <w:szCs w:val="20"/>
          <w:lang w:eastAsia="fr-FR"/>
        </w:rPr>
        <w:t xml:space="preserve"> = "#455A64", </w:t>
      </w:r>
      <w:proofErr w:type="spellStart"/>
      <w:r w:rsidRPr="00B7474B">
        <w:rPr>
          <w:rFonts w:ascii="Courier New" w:eastAsia="Times New Roman" w:hAnsi="Courier New" w:cs="Courier New"/>
          <w:sz w:val="20"/>
          <w:szCs w:val="20"/>
          <w:lang w:eastAsia="fr-FR"/>
        </w:rPr>
        <w:t>electricite</w:t>
      </w:r>
      <w:proofErr w:type="spellEnd"/>
      <w:r w:rsidRPr="00B7474B">
        <w:rPr>
          <w:rFonts w:ascii="Courier New" w:eastAsia="Times New Roman" w:hAnsi="Courier New" w:cs="Courier New"/>
          <w:sz w:val="20"/>
          <w:szCs w:val="20"/>
          <w:lang w:eastAsia="fr-FR"/>
        </w:rPr>
        <w:t xml:space="preserve"> = "#F9A825",</w:t>
      </w:r>
    </w:p>
    <w:p w14:paraId="23E0559E"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finance</w:t>
      </w:r>
      <w:proofErr w:type="gramEnd"/>
      <w:r w:rsidRPr="00B7474B">
        <w:rPr>
          <w:rFonts w:ascii="Courier New" w:eastAsia="Times New Roman" w:hAnsi="Courier New" w:cs="Courier New"/>
          <w:sz w:val="20"/>
          <w:szCs w:val="20"/>
          <w:lang w:eastAsia="fr-FR"/>
        </w:rPr>
        <w:t xml:space="preserve"> = "#00695C"),</w:t>
      </w:r>
    </w:p>
    <w:p w14:paraId="70415BB9"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tp</w:t>
      </w:r>
      <w:proofErr w:type="gramEnd"/>
      <w:r w:rsidRPr="00B7474B">
        <w:rPr>
          <w:rFonts w:ascii="Courier New" w:eastAsia="Times New Roman" w:hAnsi="Courier New" w:cs="Courier New"/>
          <w:sz w:val="20"/>
          <w:szCs w:val="20"/>
          <w:lang w:eastAsia="fr-FR"/>
        </w:rPr>
        <w:t>9_emploi   = c(primaire = "#FF8F00", salariat = "#1565C0",</w:t>
      </w:r>
    </w:p>
    <w:p w14:paraId="1668B36F"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w:t>
      </w:r>
      <w:proofErr w:type="gramStart"/>
      <w:r w:rsidRPr="00B7474B">
        <w:rPr>
          <w:rFonts w:ascii="Courier New" w:eastAsia="Times New Roman" w:hAnsi="Courier New" w:cs="Courier New"/>
          <w:sz w:val="20"/>
          <w:szCs w:val="20"/>
          <w:lang w:eastAsia="fr-FR"/>
        </w:rPr>
        <w:t>commerce</w:t>
      </w:r>
      <w:proofErr w:type="gramEnd"/>
      <w:r w:rsidRPr="00B7474B">
        <w:rPr>
          <w:rFonts w:ascii="Courier New" w:eastAsia="Times New Roman" w:hAnsi="Courier New" w:cs="Courier New"/>
          <w:sz w:val="20"/>
          <w:szCs w:val="20"/>
          <w:lang w:eastAsia="fr-FR"/>
        </w:rPr>
        <w:t xml:space="preserve"> = "#E65100", homme = "#0D47A1", femme = "#AD1457"),</w:t>
      </w:r>
    </w:p>
    <w:p w14:paraId="49B85A1A"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 xml:space="preserve">  # Rural/urbain transversal (constant dans tous les TP)</w:t>
      </w:r>
    </w:p>
    <w:p w14:paraId="40657ACD"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7474B">
        <w:rPr>
          <w:rFonts w:ascii="Courier New" w:eastAsia="Times New Roman" w:hAnsi="Courier New" w:cs="Courier New"/>
          <w:sz w:val="20"/>
          <w:szCs w:val="20"/>
          <w:lang w:eastAsia="fr-FR"/>
        </w:rPr>
        <w:t xml:space="preserve">  </w:t>
      </w:r>
      <w:proofErr w:type="spellStart"/>
      <w:r w:rsidRPr="00B7474B">
        <w:rPr>
          <w:rFonts w:ascii="Courier New" w:eastAsia="Times New Roman" w:hAnsi="Courier New" w:cs="Courier New"/>
          <w:sz w:val="20"/>
          <w:szCs w:val="20"/>
          <w:lang w:val="en-US" w:eastAsia="fr-FR"/>
        </w:rPr>
        <w:t>rural_urbain</w:t>
      </w:r>
      <w:proofErr w:type="spellEnd"/>
      <w:r w:rsidRPr="00B7474B">
        <w:rPr>
          <w:rFonts w:ascii="Courier New" w:eastAsia="Times New Roman" w:hAnsi="Courier New" w:cs="Courier New"/>
          <w:sz w:val="20"/>
          <w:szCs w:val="20"/>
          <w:lang w:val="en-US" w:eastAsia="fr-FR"/>
        </w:rPr>
        <w:t xml:space="preserve"> = </w:t>
      </w:r>
      <w:proofErr w:type="gramStart"/>
      <w:r w:rsidRPr="00B7474B">
        <w:rPr>
          <w:rFonts w:ascii="Courier New" w:eastAsia="Times New Roman" w:hAnsi="Courier New" w:cs="Courier New"/>
          <w:sz w:val="20"/>
          <w:szCs w:val="20"/>
          <w:lang w:val="en-US" w:eastAsia="fr-FR"/>
        </w:rPr>
        <w:t>c(</w:t>
      </w:r>
      <w:proofErr w:type="gramEnd"/>
      <w:r w:rsidRPr="00B7474B">
        <w:rPr>
          <w:rFonts w:ascii="Courier New" w:eastAsia="Times New Roman" w:hAnsi="Courier New" w:cs="Courier New"/>
          <w:sz w:val="20"/>
          <w:szCs w:val="20"/>
          <w:lang w:val="en-US" w:eastAsia="fr-FR"/>
        </w:rPr>
        <w:t xml:space="preserve">rural = "#80BD41", </w:t>
      </w:r>
      <w:proofErr w:type="spellStart"/>
      <w:r w:rsidRPr="00B7474B">
        <w:rPr>
          <w:rFonts w:ascii="Courier New" w:eastAsia="Times New Roman" w:hAnsi="Courier New" w:cs="Courier New"/>
          <w:sz w:val="20"/>
          <w:szCs w:val="20"/>
          <w:lang w:val="en-US" w:eastAsia="fr-FR"/>
        </w:rPr>
        <w:t>urbain</w:t>
      </w:r>
      <w:proofErr w:type="spellEnd"/>
      <w:r w:rsidRPr="00B7474B">
        <w:rPr>
          <w:rFonts w:ascii="Courier New" w:eastAsia="Times New Roman" w:hAnsi="Courier New" w:cs="Courier New"/>
          <w:sz w:val="20"/>
          <w:szCs w:val="20"/>
          <w:lang w:val="en-US" w:eastAsia="fr-FR"/>
        </w:rPr>
        <w:t xml:space="preserve"> = "#5D6D7E")</w:t>
      </w:r>
    </w:p>
    <w:p w14:paraId="1024DEC5" w14:textId="77777777" w:rsidR="00B7474B" w:rsidRPr="00B7474B" w:rsidRDefault="00B7474B" w:rsidP="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7474B">
        <w:rPr>
          <w:rFonts w:ascii="Courier New" w:eastAsia="Times New Roman" w:hAnsi="Courier New" w:cs="Courier New"/>
          <w:sz w:val="20"/>
          <w:szCs w:val="20"/>
          <w:lang w:eastAsia="fr-FR"/>
        </w:rPr>
        <w:t>)</w:t>
      </w:r>
    </w:p>
    <w:p w14:paraId="7182EC4D" w14:textId="77777777" w:rsidR="00B7474B" w:rsidRPr="00B7474B" w:rsidRDefault="00B7474B" w:rsidP="00B7474B">
      <w:pPr>
        <w:spacing w:after="0" w:line="240" w:lineRule="auto"/>
        <w:rPr>
          <w:rFonts w:ascii="Times New Roman" w:eastAsia="Times New Roman" w:hAnsi="Times New Roman" w:cs="Times New Roman"/>
          <w:sz w:val="24"/>
          <w:szCs w:val="24"/>
          <w:lang w:eastAsia="fr-FR"/>
        </w:rPr>
      </w:pPr>
      <w:r w:rsidRPr="00B7474B">
        <w:rPr>
          <w:rFonts w:ascii="Times New Roman" w:eastAsia="Times New Roman" w:hAnsi="Times New Roman" w:cs="Times New Roman"/>
          <w:sz w:val="24"/>
          <w:szCs w:val="24"/>
          <w:lang w:eastAsia="fr-FR"/>
        </w:rPr>
        <w:pict w14:anchorId="240ABBA0">
          <v:rect id="_x0000_i1039" style="width:0;height:1.5pt" o:hralign="center" o:hrstd="t" o:hr="t" fillcolor="#a0a0a0" stroked="f"/>
        </w:pict>
      </w:r>
    </w:p>
    <w:p w14:paraId="46B043C7" w14:textId="77777777" w:rsidR="00B7474B" w:rsidRPr="00B7474B" w:rsidRDefault="00B7474B" w:rsidP="00B7474B">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proofErr w:type="gramStart"/>
      <w:r w:rsidRPr="00B7474B">
        <w:rPr>
          <w:rFonts w:ascii="Times New Roman" w:eastAsia="Times New Roman" w:hAnsi="Times New Roman" w:cs="Times New Roman"/>
          <w:i/>
          <w:iCs/>
          <w:sz w:val="24"/>
          <w:szCs w:val="24"/>
          <w:lang w:val="en-US" w:eastAsia="fr-FR"/>
        </w:rPr>
        <w:t>Références</w:t>
      </w:r>
      <w:proofErr w:type="spellEnd"/>
      <w:r w:rsidRPr="00B7474B">
        <w:rPr>
          <w:rFonts w:ascii="Times New Roman" w:eastAsia="Times New Roman" w:hAnsi="Times New Roman" w:cs="Times New Roman"/>
          <w:i/>
          <w:iCs/>
          <w:sz w:val="24"/>
          <w:szCs w:val="24"/>
          <w:lang w:val="en-US" w:eastAsia="fr-FR"/>
        </w:rPr>
        <w:t xml:space="preserve"> :</w:t>
      </w:r>
      <w:proofErr w:type="gramEnd"/>
      <w:r w:rsidRPr="00B7474B">
        <w:rPr>
          <w:rFonts w:ascii="Times New Roman" w:eastAsia="Times New Roman" w:hAnsi="Times New Roman" w:cs="Times New Roman"/>
          <w:i/>
          <w:iCs/>
          <w:sz w:val="24"/>
          <w:szCs w:val="24"/>
          <w:lang w:val="en-US" w:eastAsia="fr-FR"/>
        </w:rPr>
        <w:t xml:space="preserve"> UNICEF Brand Book v3.1 ; World Bank Branding and Visual Identity Guidelines (</w:t>
      </w:r>
      <w:proofErr w:type="spellStart"/>
      <w:r w:rsidRPr="00B7474B">
        <w:rPr>
          <w:rFonts w:ascii="Times New Roman" w:eastAsia="Times New Roman" w:hAnsi="Times New Roman" w:cs="Times New Roman"/>
          <w:i/>
          <w:iCs/>
          <w:sz w:val="24"/>
          <w:szCs w:val="24"/>
          <w:lang w:val="en-US" w:eastAsia="fr-FR"/>
        </w:rPr>
        <w:t>nov.</w:t>
      </w:r>
      <w:proofErr w:type="spellEnd"/>
      <w:r w:rsidRPr="00B7474B">
        <w:rPr>
          <w:rFonts w:ascii="Times New Roman" w:eastAsia="Times New Roman" w:hAnsi="Times New Roman" w:cs="Times New Roman"/>
          <w:i/>
          <w:iCs/>
          <w:sz w:val="24"/>
          <w:szCs w:val="24"/>
          <w:lang w:val="en-US" w:eastAsia="fr-FR"/>
        </w:rPr>
        <w:t xml:space="preserve"> </w:t>
      </w:r>
      <w:proofErr w:type="gramStart"/>
      <w:r w:rsidRPr="00B7474B">
        <w:rPr>
          <w:rFonts w:ascii="Times New Roman" w:eastAsia="Times New Roman" w:hAnsi="Times New Roman" w:cs="Times New Roman"/>
          <w:i/>
          <w:iCs/>
          <w:sz w:val="24"/>
          <w:szCs w:val="24"/>
          <w:lang w:val="en-US" w:eastAsia="fr-FR"/>
        </w:rPr>
        <w:t>2017) ;</w:t>
      </w:r>
      <w:proofErr w:type="gramEnd"/>
      <w:r w:rsidRPr="00B7474B">
        <w:rPr>
          <w:rFonts w:ascii="Times New Roman" w:eastAsia="Times New Roman" w:hAnsi="Times New Roman" w:cs="Times New Roman"/>
          <w:i/>
          <w:iCs/>
          <w:sz w:val="24"/>
          <w:szCs w:val="24"/>
          <w:lang w:val="en-US" w:eastAsia="fr-FR"/>
        </w:rPr>
        <w:t xml:space="preserve"> FAO Brand Guidelines ; DIME Analytics Data Visualization Wiki (worldbank.org, 2021) ; ILO World Employment and Social Outlook ; IFPRI Myanmar SSP Research Note 128 (van Asselt et al., </w:t>
      </w:r>
      <w:proofErr w:type="spellStart"/>
      <w:r w:rsidRPr="00B7474B">
        <w:rPr>
          <w:rFonts w:ascii="Times New Roman" w:eastAsia="Times New Roman" w:hAnsi="Times New Roman" w:cs="Times New Roman"/>
          <w:i/>
          <w:iCs/>
          <w:sz w:val="24"/>
          <w:szCs w:val="24"/>
          <w:lang w:val="en-US" w:eastAsia="fr-FR"/>
        </w:rPr>
        <w:t>janvier</w:t>
      </w:r>
      <w:proofErr w:type="spellEnd"/>
      <w:r w:rsidRPr="00B7474B">
        <w:rPr>
          <w:rFonts w:ascii="Times New Roman" w:eastAsia="Times New Roman" w:hAnsi="Times New Roman" w:cs="Times New Roman"/>
          <w:i/>
          <w:iCs/>
          <w:sz w:val="24"/>
          <w:szCs w:val="24"/>
          <w:lang w:val="en-US" w:eastAsia="fr-FR"/>
        </w:rPr>
        <w:t xml:space="preserve"> 2026) ; UN Decade of Action on Nutrition Logo Guidelines (FAO, 2016) ; WHO World Health Statistics visual guidelines.</w:t>
      </w:r>
    </w:p>
    <w:p w14:paraId="4AFDAEA0" w14:textId="77777777" w:rsidR="00C90D1C" w:rsidRPr="00B7474B" w:rsidRDefault="00C90D1C">
      <w:pPr>
        <w:rPr>
          <w:lang w:val="en-US"/>
        </w:rPr>
      </w:pPr>
    </w:p>
    <w:sectPr w:rsidR="00C90D1C" w:rsidRPr="00B74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4B"/>
    <w:rsid w:val="001D149C"/>
    <w:rsid w:val="002C0DBC"/>
    <w:rsid w:val="0096559D"/>
    <w:rsid w:val="009E3293"/>
    <w:rsid w:val="00A92F99"/>
    <w:rsid w:val="00B7474B"/>
    <w:rsid w:val="00C90D1C"/>
    <w:rsid w:val="00FC51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420AA"/>
  <w15:chartTrackingRefBased/>
  <w15:docId w15:val="{F56CFD82-862C-4D57-ABF0-9CF34DCE5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747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7474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474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7474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B7474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7474B"/>
    <w:rPr>
      <w:b/>
      <w:bCs/>
    </w:rPr>
  </w:style>
  <w:style w:type="character" w:styleId="Accentuation">
    <w:name w:val="Emphasis"/>
    <w:basedOn w:val="Policepardfaut"/>
    <w:uiPriority w:val="20"/>
    <w:qFormat/>
    <w:rsid w:val="00B7474B"/>
    <w:rPr>
      <w:i/>
      <w:iCs/>
    </w:rPr>
  </w:style>
  <w:style w:type="character" w:styleId="CodeHTML">
    <w:name w:val="HTML Code"/>
    <w:basedOn w:val="Policepardfaut"/>
    <w:uiPriority w:val="99"/>
    <w:semiHidden/>
    <w:unhideWhenUsed/>
    <w:rsid w:val="00B7474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B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7474B"/>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6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2842</Words>
  <Characters>15632</Characters>
  <Application>Microsoft Office Word</Application>
  <DocSecurity>0</DocSecurity>
  <Lines>130</Lines>
  <Paragraphs>36</Paragraphs>
  <ScaleCrop>false</ScaleCrop>
  <HeadingPairs>
    <vt:vector size="4" baseType="variant">
      <vt:variant>
        <vt:lpstr>Titre</vt:lpstr>
      </vt:variant>
      <vt:variant>
        <vt:i4>1</vt:i4>
      </vt:variant>
      <vt:variant>
        <vt:lpstr>Titres</vt:lpstr>
      </vt:variant>
      <vt:variant>
        <vt:i4>16</vt:i4>
      </vt:variant>
    </vt:vector>
  </HeadingPairs>
  <TitlesOfParts>
    <vt:vector size="17" baseType="lpstr">
      <vt:lpstr/>
      <vt:lpstr>Conventions colorimétriques thématiques pour analyses économiques</vt:lpstr>
      <vt:lpstr>    Référentiel pour les 10 TP — Nigeria GHS Panel (LSMS-ISA)</vt:lpstr>
      <vt:lpstr>    Principe fondateur</vt:lpstr>
      <vt:lpstr>    TP 1 — Profil démographique des ménages</vt:lpstr>
      <vt:lpstr>    TP 2 — Éducation et alphabétisation</vt:lpstr>
      <vt:lpstr>    TP 3 — Accès aux soins et dépenses de santé</vt:lpstr>
      <vt:lpstr>    TP 4 — Parcelles agricoles et tenure foncière</vt:lpstr>
      <vt:lpstr>    TP 5 — Cultures, intrants et rendements agricoles</vt:lpstr>
      <vt:lpstr>    TP 6 — Élevage et revenus animaux</vt:lpstr>
      <vt:lpstr>    TP 7 — Dépenses de consommation et inégalités</vt:lpstr>
      <vt:lpstr>    TP 8 — Marchés, finance et infrastructures</vt:lpstr>
      <vt:lpstr>    TP 9 — Activités non agricoles et pluriactivité</vt:lpstr>
      <vt:lpstr>    TP 10 — Analyse intégrée inter-vagues 2010-2018</vt:lpstr>
      <vt:lpstr>    Récapitulatif synthétique</vt:lpstr>
      <vt:lpstr>    Règles transversales à respecter dans tous les TP</vt:lpstr>
      <vt:lpstr>    Implémentation dans theme_ensae.R</vt:lpstr>
    </vt:vector>
  </TitlesOfParts>
  <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Leslye Nkwa</dc:creator>
  <cp:keywords/>
  <dc:description/>
  <cp:lastModifiedBy>Leslye Nkwa</cp:lastModifiedBy>
  <cp:revision>1</cp:revision>
  <dcterms:created xsi:type="dcterms:W3CDTF">2026-03-06T16:48:00Z</dcterms:created>
  <dcterms:modified xsi:type="dcterms:W3CDTF">2026-03-07T17:05:00Z</dcterms:modified>
</cp:coreProperties>
</file>