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23A2" w14:textId="77777777" w:rsidR="00EE24F2" w:rsidRDefault="00000000">
      <w:pPr>
        <w:pStyle w:val="Titre"/>
      </w:pPr>
      <w:r>
        <w:t>Analyse 3 - Acces aux soins et dépenses de santé</w:t>
      </w:r>
    </w:p>
    <w:p w14:paraId="121DE39B" w14:textId="77777777" w:rsidR="00EE24F2" w:rsidRPr="00BC4A25" w:rsidRDefault="00000000">
      <w:pPr>
        <w:pStyle w:val="Sous-titre"/>
        <w:rPr>
          <w:lang w:val="en-US"/>
        </w:rPr>
      </w:pPr>
      <w:r w:rsidRPr="00BC4A25">
        <w:rPr>
          <w:lang w:val="en-US"/>
        </w:rPr>
        <w:t>Nigeria GHS Panel Wave 4 (2018)</w:t>
      </w:r>
    </w:p>
    <w:p w14:paraId="1FB17E69" w14:textId="77777777" w:rsidR="00EE24F2" w:rsidRPr="00BC4A25" w:rsidRDefault="00000000">
      <w:pPr>
        <w:pStyle w:val="Author"/>
        <w:rPr>
          <w:lang w:val="en-US"/>
        </w:rPr>
      </w:pPr>
      <w:r w:rsidRPr="00BC4A25">
        <w:rPr>
          <w:lang w:val="en-US"/>
        </w:rPr>
        <w:t>Abdoul Aziz BA</w:t>
      </w:r>
    </w:p>
    <w:p w14:paraId="774B5875" w14:textId="77777777" w:rsidR="00EE24F2" w:rsidRDefault="00000000">
      <w:pPr>
        <w:pStyle w:val="Author"/>
      </w:pPr>
      <w:r>
        <w:t>Parfait Jemmy Prodige NGOYI</w:t>
      </w:r>
    </w:p>
    <w:p w14:paraId="208D8A4D" w14:textId="77777777" w:rsidR="00EE24F2" w:rsidRDefault="00000000">
      <w:pPr>
        <w:pStyle w:val="Date"/>
      </w:pPr>
      <w:r>
        <w:t>2026-03-23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4535499"/>
        <w:docPartObj>
          <w:docPartGallery w:val="Table of Contents"/>
          <w:docPartUnique/>
        </w:docPartObj>
      </w:sdtPr>
      <w:sdtContent>
        <w:p w14:paraId="70FF60F2" w14:textId="77777777" w:rsidR="00EE24F2" w:rsidRDefault="00000000">
          <w:pPr>
            <w:pStyle w:val="En-ttedetabledesmatires"/>
          </w:pPr>
          <w:r>
            <w:t>Table des matières</w:t>
          </w:r>
        </w:p>
        <w:p w14:paraId="10370DDE" w14:textId="77777777" w:rsidR="00BC4A25" w:rsidRDefault="00000000">
          <w:pPr>
            <w:pStyle w:val="TM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191172" w:history="1">
            <w:r w:rsidR="00BC4A25" w:rsidRPr="00FC5CB9">
              <w:rPr>
                <w:rStyle w:val="Lienhypertexte"/>
                <w:noProof/>
              </w:rPr>
              <w:t>1. Introduction</w:t>
            </w:r>
            <w:r w:rsidR="00BC4A25">
              <w:rPr>
                <w:noProof/>
                <w:webHidden/>
              </w:rPr>
              <w:tab/>
            </w:r>
            <w:r w:rsidR="00BC4A25">
              <w:rPr>
                <w:noProof/>
                <w:webHidden/>
              </w:rPr>
              <w:fldChar w:fldCharType="begin"/>
            </w:r>
            <w:r w:rsidR="00BC4A25">
              <w:rPr>
                <w:noProof/>
                <w:webHidden/>
              </w:rPr>
              <w:instrText xml:space="preserve"> PAGEREF _Toc225191172 \h </w:instrText>
            </w:r>
            <w:r w:rsidR="00BC4A25">
              <w:rPr>
                <w:noProof/>
                <w:webHidden/>
              </w:rPr>
            </w:r>
            <w:r w:rsidR="00BC4A25">
              <w:rPr>
                <w:noProof/>
                <w:webHidden/>
              </w:rPr>
              <w:fldChar w:fldCharType="separate"/>
            </w:r>
            <w:r w:rsidR="00BC4A25">
              <w:rPr>
                <w:noProof/>
                <w:webHidden/>
              </w:rPr>
              <w:t>2</w:t>
            </w:r>
            <w:r w:rsidR="00BC4A25">
              <w:rPr>
                <w:noProof/>
                <w:webHidden/>
              </w:rPr>
              <w:fldChar w:fldCharType="end"/>
            </w:r>
          </w:hyperlink>
        </w:p>
        <w:p w14:paraId="2B1BAB22" w14:textId="77777777" w:rsidR="00BC4A25" w:rsidRDefault="00BC4A25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191173" w:history="1">
            <w:r w:rsidRPr="00FC5CB9">
              <w:rPr>
                <w:rStyle w:val="Lienhypertexte"/>
                <w:noProof/>
              </w:rPr>
              <w:t>2.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F4A4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74" w:history="1">
            <w:r w:rsidRPr="00FC5CB9">
              <w:rPr>
                <w:rStyle w:val="Lienhypertexte"/>
                <w:noProof/>
              </w:rPr>
              <w:t>2.1 Sources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27BE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75" w:history="1">
            <w:r w:rsidRPr="00FC5CB9">
              <w:rPr>
                <w:rStyle w:val="Lienhypertexte"/>
                <w:noProof/>
              </w:rPr>
              <w:t>2.2 Variables analysees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A101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76" w:history="1">
            <w:r w:rsidRPr="00FC5CB9">
              <w:rPr>
                <w:rStyle w:val="Lienhypertexte"/>
                <w:noProof/>
              </w:rPr>
              <w:t>2.3 Methodes statistiques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07C4E" w14:textId="77777777" w:rsidR="00BC4A25" w:rsidRDefault="00BC4A25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191177" w:history="1">
            <w:r w:rsidRPr="00FC5CB9">
              <w:rPr>
                <w:rStyle w:val="Lienhypertexte"/>
                <w:noProof/>
              </w:rPr>
              <w:t>3. Question 13 - Taux de morbidité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871C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78" w:history="1">
            <w:r w:rsidRPr="00FC5CB9">
              <w:rPr>
                <w:rStyle w:val="Lienhypertexte"/>
                <w:noProof/>
              </w:rPr>
              <w:t>3.1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4803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79" w:history="1">
            <w:r w:rsidRPr="00FC5CB9">
              <w:rPr>
                <w:rStyle w:val="Lienhypertexte"/>
                <w:noProof/>
              </w:rPr>
              <w:t>3.2 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8B42" w14:textId="77777777" w:rsidR="00BC4A25" w:rsidRDefault="00BC4A25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191180" w:history="1">
            <w:r w:rsidRPr="00FC5CB9">
              <w:rPr>
                <w:rStyle w:val="Lienhypertexte"/>
                <w:noProof/>
              </w:rPr>
              <w:t>4. Question 14 - Types de maladies déclarées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339AB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81" w:history="1">
            <w:r w:rsidRPr="00FC5CB9">
              <w:rPr>
                <w:rStyle w:val="Lienhypertexte"/>
                <w:noProof/>
              </w:rPr>
              <w:t>4.1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3507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82" w:history="1">
            <w:r w:rsidRPr="00FC5CB9">
              <w:rPr>
                <w:rStyle w:val="Lienhypertexte"/>
                <w:noProof/>
              </w:rPr>
              <w:t>4.2 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3A91" w14:textId="77777777" w:rsidR="00BC4A25" w:rsidRDefault="00BC4A25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191183" w:history="1">
            <w:r w:rsidRPr="00FC5CB9">
              <w:rPr>
                <w:rStyle w:val="Lienhypertexte"/>
                <w:noProof/>
              </w:rPr>
              <w:t>5. Question 15 - Recours aux 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E8B3D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84" w:history="1">
            <w:r w:rsidRPr="00FC5CB9">
              <w:rPr>
                <w:rStyle w:val="Lienhypertexte"/>
                <w:noProof/>
              </w:rPr>
              <w:t>5.1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096B3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85" w:history="1">
            <w:r w:rsidRPr="00FC5CB9">
              <w:rPr>
                <w:rStyle w:val="Lienhypertexte"/>
                <w:noProof/>
              </w:rPr>
              <w:t>5.2 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22E77" w14:textId="77777777" w:rsidR="00BC4A25" w:rsidRDefault="00BC4A25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191186" w:history="1">
            <w:r w:rsidRPr="00FC5CB9">
              <w:rPr>
                <w:rStyle w:val="Lienhypertexte"/>
                <w:noProof/>
              </w:rPr>
              <w:t>6. Question 16 - Distribution des dépenses de santé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521C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87" w:history="1">
            <w:r w:rsidRPr="00FC5CB9">
              <w:rPr>
                <w:rStyle w:val="Lienhypertexte"/>
                <w:noProof/>
              </w:rPr>
              <w:t>6.1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F5ED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88" w:history="1">
            <w:r w:rsidRPr="00FC5CB9">
              <w:rPr>
                <w:rStyle w:val="Lienhypertexte"/>
                <w:noProof/>
              </w:rPr>
              <w:t>6.2 Statistiques par decile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E8BBF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89" w:history="1">
            <w:r w:rsidRPr="00FC5CB9">
              <w:rPr>
                <w:rStyle w:val="Lienhypertexte"/>
                <w:noProof/>
              </w:rPr>
              <w:t>6.3 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E199" w14:textId="77777777" w:rsidR="00BC4A25" w:rsidRDefault="00BC4A25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191190" w:history="1">
            <w:r w:rsidRPr="00FC5CB9">
              <w:rPr>
                <w:rStyle w:val="Lienhypertexte"/>
                <w:noProof/>
              </w:rPr>
              <w:t>7. Question 17 - Recours aux soins x Quintile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81CD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91" w:history="1">
            <w:r w:rsidRPr="00FC5CB9">
              <w:rPr>
                <w:rStyle w:val="Lienhypertexte"/>
                <w:noProof/>
              </w:rPr>
              <w:t>7.1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596E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92" w:history="1">
            <w:r w:rsidRPr="00FC5CB9">
              <w:rPr>
                <w:rStyle w:val="Lienhypertexte"/>
                <w:noProof/>
              </w:rPr>
              <w:t>7.2 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5C77F" w14:textId="77777777" w:rsidR="00BC4A25" w:rsidRDefault="00BC4A25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191193" w:history="1">
            <w:r w:rsidRPr="00FC5CB9">
              <w:rPr>
                <w:rStyle w:val="Lienhypertexte"/>
                <w:noProof/>
              </w:rPr>
              <w:t>8. Question 18 - Depenses de santé Rural vs Urbain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33AC3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94" w:history="1">
            <w:r w:rsidRPr="00FC5CB9">
              <w:rPr>
                <w:rStyle w:val="Lienhypertexte"/>
                <w:noProof/>
              </w:rPr>
              <w:t>8.1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2CB3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95" w:history="1">
            <w:r w:rsidRPr="00FC5CB9">
              <w:rPr>
                <w:rStyle w:val="Lienhypertexte"/>
                <w:noProof/>
              </w:rPr>
              <w:t>8.2 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8B0C" w14:textId="77777777" w:rsidR="00BC4A25" w:rsidRDefault="00BC4A25">
          <w:pPr>
            <w:pStyle w:val="TM1"/>
            <w:tabs>
              <w:tab w:val="right" w:leader="dot" w:pos="9396"/>
            </w:tabs>
            <w:rPr>
              <w:noProof/>
            </w:rPr>
          </w:pPr>
          <w:hyperlink w:anchor="_Toc225191196" w:history="1">
            <w:r w:rsidRPr="00FC5CB9">
              <w:rPr>
                <w:rStyle w:val="Lienhypertexte"/>
                <w:noProof/>
              </w:rPr>
              <w:t>9. Analyses pondérées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811CC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97" w:history="1">
            <w:r w:rsidRPr="00FC5CB9">
              <w:rPr>
                <w:rStyle w:val="Lienhypertexte"/>
                <w:noProof/>
              </w:rPr>
              <w:t>9.1 Q13 pondéré — Taux de morbidité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F68B3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98" w:history="1">
            <w:r w:rsidRPr="00FC5CB9">
              <w:rPr>
                <w:rStyle w:val="Lienhypertexte"/>
                <w:noProof/>
              </w:rPr>
              <w:t>9.2 Interprétation Q13 pondéré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0473D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199" w:history="1">
            <w:r w:rsidRPr="00FC5CB9">
              <w:rPr>
                <w:rStyle w:val="Lienhypertexte"/>
                <w:noProof/>
              </w:rPr>
              <w:t>9.3 Q15 pondéré — Recours aux soins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A915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200" w:history="1">
            <w:r w:rsidRPr="00FC5CB9">
              <w:rPr>
                <w:rStyle w:val="Lienhypertexte"/>
                <w:noProof/>
              </w:rPr>
              <w:t>9.4 Interprétation Q15 pondéré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84DC4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201" w:history="1">
            <w:r w:rsidRPr="00FC5CB9">
              <w:rPr>
                <w:rStyle w:val="Lienhypertexte"/>
                <w:noProof/>
              </w:rPr>
              <w:t>9.5 Q17 pondéré — Recours aux soins × Quintile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C2874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202" w:history="1">
            <w:r w:rsidRPr="00FC5CB9">
              <w:rPr>
                <w:rStyle w:val="Lienhypertexte"/>
                <w:noProof/>
              </w:rPr>
              <w:t>9.6 Interprétation Q17 pondéré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B239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203" w:history="1">
            <w:r w:rsidRPr="00FC5CB9">
              <w:rPr>
                <w:rStyle w:val="Lienhypertexte"/>
                <w:noProof/>
              </w:rPr>
              <w:t>9.7 Q18 pondéré — Dépenses santé Rural vs Urbain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A0481" w14:textId="77777777" w:rsidR="00BC4A25" w:rsidRDefault="00BC4A25">
          <w:pPr>
            <w:pStyle w:val="TM2"/>
            <w:tabs>
              <w:tab w:val="right" w:leader="dot" w:pos="9396"/>
            </w:tabs>
            <w:rPr>
              <w:noProof/>
            </w:rPr>
          </w:pPr>
          <w:hyperlink w:anchor="_Toc225191204" w:history="1">
            <w:r w:rsidRPr="00FC5CB9">
              <w:rPr>
                <w:rStyle w:val="Lienhypertexte"/>
                <w:noProof/>
              </w:rPr>
              <w:t>9.8 Interprétation Q18 pondéré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B3DC" w14:textId="77777777" w:rsidR="00EE24F2" w:rsidRDefault="00000000">
          <w:r>
            <w:fldChar w:fldCharType="end"/>
          </w:r>
        </w:p>
      </w:sdtContent>
    </w:sdt>
    <w:p w14:paraId="003FE773" w14:textId="77777777" w:rsidR="00EE24F2" w:rsidRDefault="00000000">
      <w:pPr>
        <w:pStyle w:val="Titre1"/>
      </w:pPr>
      <w:bookmarkStart w:id="0" w:name="introduction"/>
      <w:bookmarkStart w:id="1" w:name="_Toc225191172"/>
      <w:r>
        <w:t>1. Introduction</w:t>
      </w:r>
      <w:bookmarkEnd w:id="1"/>
    </w:p>
    <w:p w14:paraId="2E9EE93D" w14:textId="120DAFCE" w:rsidR="00EE24F2" w:rsidRDefault="00000000">
      <w:pPr>
        <w:pStyle w:val="FirstParagraph"/>
      </w:pPr>
      <w:r>
        <w:t xml:space="preserve">Ce rapport analyse les épisodes de maladie, les types de soins consultes et les couts de santé supportes par les </w:t>
      </w:r>
      <w:r w:rsidR="00BC4A25">
        <w:t>ménages</w:t>
      </w:r>
      <w:r>
        <w:t xml:space="preserve"> </w:t>
      </w:r>
      <w:r w:rsidR="00BC4A25">
        <w:t>nigérians</w:t>
      </w:r>
      <w:r>
        <w:t xml:space="preserve"> </w:t>
      </w:r>
      <w:r w:rsidR="00BC4A25">
        <w:t>à</w:t>
      </w:r>
      <w:r>
        <w:t xml:space="preserve"> partir du Nigeria General Household Survey (GHS) Panel Wave 4 (2018). Les données couvrent </w:t>
      </w:r>
      <w:r>
        <w:rPr>
          <w:b/>
          <w:bCs/>
        </w:rPr>
        <w:t>26 556 individus</w:t>
      </w:r>
      <w:r>
        <w:t xml:space="preserve"> issus de menages urbains et ruraux.</w:t>
      </w:r>
    </w:p>
    <w:p w14:paraId="2166A76C" w14:textId="77777777" w:rsidR="00EE24F2" w:rsidRDefault="00000000">
      <w:pPr>
        <w:pStyle w:val="Titre1"/>
      </w:pPr>
      <w:bookmarkStart w:id="2" w:name="méthodologie"/>
      <w:bookmarkStart w:id="3" w:name="_Toc225191173"/>
      <w:bookmarkEnd w:id="0"/>
      <w:r>
        <w:t>2. Méthodologie</w:t>
      </w:r>
      <w:bookmarkEnd w:id="3"/>
    </w:p>
    <w:p w14:paraId="7A31AF6D" w14:textId="77777777" w:rsidR="00EE24F2" w:rsidRDefault="00000000">
      <w:pPr>
        <w:pStyle w:val="Titre2"/>
      </w:pPr>
      <w:bookmarkStart w:id="4" w:name="sources-de-données"/>
      <w:bookmarkStart w:id="5" w:name="_Toc225191174"/>
      <w:r>
        <w:t>2.1 Sources de données</w:t>
      </w:r>
      <w:bookmarkEnd w:id="5"/>
    </w:p>
    <w:p w14:paraId="5F23D697" w14:textId="4B6A4A23" w:rsidR="00EE24F2" w:rsidRDefault="00000000">
      <w:pPr>
        <w:pStyle w:val="FirstParagraph"/>
      </w:pPr>
      <w:r>
        <w:t>Le Nigeria GHS Panel est une enqu</w:t>
      </w:r>
      <w:r w:rsidR="00BC4A25">
        <w:t>ê</w:t>
      </w:r>
      <w:r>
        <w:t>te longitudinale conduite par le National Bureau of Statistics (NBS) du Nigeria en partenariat avec la Banque Mondiale (LSMS-ISA). La Wave 4 couvre la periode 2018-2019.</w:t>
      </w:r>
    </w:p>
    <w:p w14:paraId="7CEC5191" w14:textId="77777777" w:rsidR="00EE24F2" w:rsidRDefault="00000000">
      <w:pPr>
        <w:pStyle w:val="Titre2"/>
      </w:pPr>
      <w:bookmarkStart w:id="6" w:name="variables-analysees"/>
      <w:bookmarkStart w:id="7" w:name="_Toc225191175"/>
      <w:bookmarkEnd w:id="4"/>
      <w:r>
        <w:lastRenderedPageBreak/>
        <w:t>2.2 Variables analysees</w:t>
      </w:r>
      <w:bookmarkEnd w:id="7"/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586"/>
        <w:gridCol w:w="1605"/>
        <w:gridCol w:w="1666"/>
        <w:gridCol w:w="1625"/>
      </w:tblGrid>
      <w:tr w:rsidR="00EE24F2" w14:paraId="23E28F24" w14:textId="77777777" w:rsidTr="00EE24F2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11022B67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B47CE7C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5,703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CC92A23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Homme</w:t>
            </w:r>
            <w:r>
              <w:rPr>
                <w:rFonts w:ascii="Calibri" w:hAnsi="Calibri"/>
                <w:sz w:val="20"/>
              </w:rPr>
              <w:t xml:space="preserve"> N = 2,959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C62584E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Femme</w:t>
            </w:r>
            <w:r>
              <w:rPr>
                <w:rFonts w:ascii="Calibri" w:hAnsi="Calibri"/>
                <w:sz w:val="20"/>
              </w:rPr>
              <w:t xml:space="preserve"> N = 2,744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EE24F2" w14:paraId="4258BB7B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9A13A5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Groupe 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F08A4A" w14:textId="77777777" w:rsidR="00EE24F2" w:rsidRDefault="00EE24F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F6218F" w14:textId="77777777" w:rsidR="00EE24F2" w:rsidRDefault="00EE24F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723B46" w14:textId="77777777" w:rsidR="00EE24F2" w:rsidRDefault="00EE24F2">
            <w:pPr>
              <w:keepNext/>
              <w:spacing w:after="60"/>
              <w:jc w:val="center"/>
            </w:pPr>
          </w:p>
        </w:tc>
      </w:tr>
      <w:tr w:rsidR="00EE24F2" w14:paraId="09868C5C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1D295C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0-14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C899CC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2,419 (44%)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0E5C0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1,395 (49%)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3ACAE5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1,024 (39%)</w:t>
            </w:r>
          </w:p>
        </w:tc>
      </w:tr>
      <w:tr w:rsidR="00EE24F2" w14:paraId="56560B40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C35EBF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15-24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167724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741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E56AEF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398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4417E9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343 (13%)</w:t>
            </w:r>
          </w:p>
        </w:tc>
      </w:tr>
      <w:tr w:rsidR="00EE24F2" w14:paraId="10A39A11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FA8CA3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25-34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F222C1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648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2C2247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233 (8.2%)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2BC14E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415 (16%)</w:t>
            </w:r>
          </w:p>
        </w:tc>
      </w:tr>
      <w:tr w:rsidR="00EE24F2" w14:paraId="5FE0BCB0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5A31A6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35-49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2FA556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954 (17%)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E6D426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414 (15%)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656BAE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540 (20%)</w:t>
            </w:r>
          </w:p>
        </w:tc>
      </w:tr>
      <w:tr w:rsidR="00EE24F2" w14:paraId="3A44D55F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39AE8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50-64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4A907F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551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962649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292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47A9AB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259 (9.8%)</w:t>
            </w:r>
          </w:p>
        </w:tc>
      </w:tr>
      <w:tr w:rsidR="00EE24F2" w14:paraId="1F36DC90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BA6597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65+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D84804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181 (3.3%)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FAC86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113 (4.0%)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9A8041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68 (2.6%)</w:t>
            </w:r>
          </w:p>
        </w:tc>
      </w:tr>
      <w:tr w:rsidR="00EE24F2" w14:paraId="0DB68610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B83477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C18865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9A4DA4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15E97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</w:t>
            </w:r>
          </w:p>
        </w:tc>
      </w:tr>
      <w:tr w:rsidR="00EE24F2" w14:paraId="0E6B8885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41BC50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Maladie/Blessure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E21681" w14:textId="77777777" w:rsidR="00EE24F2" w:rsidRDefault="00EE24F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860EFE" w14:textId="77777777" w:rsidR="00EE24F2" w:rsidRDefault="00EE24F2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FA0A57" w14:textId="77777777" w:rsidR="00EE24F2" w:rsidRDefault="00EE24F2">
            <w:pPr>
              <w:keepNext/>
              <w:spacing w:after="60"/>
              <w:jc w:val="center"/>
            </w:pPr>
          </w:p>
        </w:tc>
      </w:tr>
      <w:tr w:rsidR="00EE24F2" w14:paraId="6AC5CEA7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6112C8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1A72E5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4,359 (91%)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6BF23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2,337 (93%)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CF9CF9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2,022 (89%)</w:t>
            </w:r>
          </w:p>
        </w:tc>
      </w:tr>
      <w:tr w:rsidR="00EE24F2" w14:paraId="1ACC80E9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95C079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Oui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05B9B3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439 (9.1%)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B1D667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187 (7.4%)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7B071B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252 (11%)</w:t>
            </w:r>
          </w:p>
        </w:tc>
      </w:tr>
      <w:tr w:rsidR="00EE24F2" w14:paraId="64DCDD62" w14:textId="77777777" w:rsidTr="00EE24F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7A25EA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0D4F7D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AF1AD9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A59F4B" w14:textId="77777777" w:rsidR="00EE24F2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470</w:t>
            </w:r>
          </w:p>
        </w:tc>
      </w:tr>
      <w:tr w:rsidR="00EE24F2" w14:paraId="2E7A058D" w14:textId="77777777" w:rsidTr="00EE24F2">
        <w:trPr>
          <w:cantSplit/>
          <w:jc w:val="center"/>
        </w:trPr>
        <w:tc>
          <w:tcPr>
            <w:tcW w:w="0" w:type="auto"/>
            <w:gridSpan w:val="4"/>
          </w:tcPr>
          <w:p w14:paraId="0825D571" w14:textId="77777777" w:rsidR="00EE24F2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n (%)</w:t>
            </w:r>
          </w:p>
        </w:tc>
      </w:tr>
    </w:tbl>
    <w:p w14:paraId="1A33C03A" w14:textId="77777777" w:rsidR="00EE24F2" w:rsidRDefault="00000000">
      <w:pPr>
        <w:pStyle w:val="Titre2"/>
      </w:pPr>
      <w:bookmarkStart w:id="8" w:name="methodes-statistiques"/>
      <w:bookmarkStart w:id="9" w:name="_Toc225191176"/>
      <w:bookmarkEnd w:id="6"/>
      <w:r>
        <w:t>2.3 Methodes statistiques</w:t>
      </w:r>
      <w:bookmarkEnd w:id="9"/>
    </w:p>
    <w:p w14:paraId="4E6227EB" w14:textId="77777777" w:rsidR="00EE24F2" w:rsidRDefault="00000000">
      <w:pPr>
        <w:pStyle w:val="FirstParagraph"/>
      </w:pPr>
      <w:r>
        <w:t>Les analyses suivantes ont ete réalisées : Taux de morbidité avec intervalles de confiance a 95%, test du Chi-deux et V de Cramer pour les associations, test de Wilcoxon pour la comparaison de médianes, et visualisations : barplots, histogrammes, violin plots.</w:t>
      </w:r>
    </w:p>
    <w:p w14:paraId="26A23AB7" w14:textId="77777777" w:rsidR="00EE24F2" w:rsidRDefault="00000000">
      <w:pPr>
        <w:pStyle w:val="Titre1"/>
      </w:pPr>
      <w:bookmarkStart w:id="10" w:name="question-13---taux-de-morbidité"/>
      <w:bookmarkStart w:id="11" w:name="_Toc225191177"/>
      <w:bookmarkEnd w:id="2"/>
      <w:bookmarkEnd w:id="8"/>
      <w:r>
        <w:lastRenderedPageBreak/>
        <w:t>3. Question 13 - Taux de morbidité</w:t>
      </w:r>
      <w:bookmarkEnd w:id="11"/>
    </w:p>
    <w:p w14:paraId="38B337E0" w14:textId="77777777" w:rsidR="00EE24F2" w:rsidRDefault="00000000">
      <w:pPr>
        <w:pStyle w:val="Titre2"/>
      </w:pPr>
      <w:bookmarkStart w:id="12" w:name="resultats"/>
      <w:bookmarkStart w:id="13" w:name="_Toc225191178"/>
      <w:r>
        <w:t>3.1 Resultats</w:t>
      </w:r>
      <w:bookmarkEnd w:id="13"/>
    </w:p>
    <w:p w14:paraId="4E736B75" w14:textId="77777777" w:rsidR="00EE24F2" w:rsidRDefault="00000000">
      <w:pPr>
        <w:pStyle w:val="FirstParagraph"/>
      </w:pPr>
      <w:r>
        <w:rPr>
          <w:noProof/>
        </w:rPr>
        <w:drawing>
          <wp:inline distT="0" distB="0" distL="0" distR="0" wp14:anchorId="50050760" wp14:editId="6BF8DDBE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rapport_final_files/figure-docx/q1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EE549A" w14:textId="77777777" w:rsidR="00EE24F2" w:rsidRDefault="00000000">
      <w:pPr>
        <w:pStyle w:val="Titre2"/>
      </w:pPr>
      <w:bookmarkStart w:id="14" w:name="interprétation"/>
      <w:bookmarkStart w:id="15" w:name="_Toc225191179"/>
      <w:bookmarkEnd w:id="12"/>
      <w:r>
        <w:t>3.2 Interprétation</w:t>
      </w:r>
      <w:bookmarkEnd w:id="15"/>
    </w:p>
    <w:p w14:paraId="1E305D68" w14:textId="77777777" w:rsidR="00EE24F2" w:rsidRDefault="00000000">
      <w:pPr>
        <w:pStyle w:val="FirstParagraph"/>
      </w:pPr>
      <w:r>
        <w:t xml:space="preserve">Le taux de morbidité global est de </w:t>
      </w:r>
      <w:r>
        <w:rPr>
          <w:b/>
          <w:bCs/>
        </w:rPr>
        <w:t>9.31%</w:t>
      </w:r>
      <w:r>
        <w:t>. Les femmes (</w:t>
      </w:r>
      <w:r>
        <w:rPr>
          <w:b/>
          <w:bCs/>
        </w:rPr>
        <w:t>11.1%</w:t>
      </w:r>
      <w:r>
        <w:t>) sont plus touchees que les hommes (</w:t>
      </w:r>
      <w:r>
        <w:rPr>
          <w:b/>
          <w:bCs/>
        </w:rPr>
        <w:t>7.4%</w:t>
      </w:r>
      <w:r>
        <w:t xml:space="preserve">). Le taux augmente avec l’age, passant de </w:t>
      </w:r>
      <w:r>
        <w:rPr>
          <w:b/>
          <w:bCs/>
        </w:rPr>
        <w:t>5.7%</w:t>
      </w:r>
      <w:r>
        <w:t xml:space="preserve"> chez les 0-14 ans a </w:t>
      </w:r>
      <w:r>
        <w:rPr>
          <w:b/>
          <w:bCs/>
        </w:rPr>
        <w:t>24%</w:t>
      </w:r>
      <w:r>
        <w:t xml:space="preserve"> chez les 65 ans et plus.</w:t>
      </w:r>
    </w:p>
    <w:p w14:paraId="407C20DE" w14:textId="77777777" w:rsidR="00EE24F2" w:rsidRDefault="00000000">
      <w:pPr>
        <w:pStyle w:val="Titre1"/>
      </w:pPr>
      <w:bookmarkStart w:id="16" w:name="X0ae9292215acb502c0d2c3f543455e03c7050a6"/>
      <w:bookmarkStart w:id="17" w:name="_Toc225191180"/>
      <w:bookmarkEnd w:id="10"/>
      <w:bookmarkEnd w:id="14"/>
      <w:r>
        <w:lastRenderedPageBreak/>
        <w:t>4. Question 14 - Types de maladies déclarées</w:t>
      </w:r>
      <w:bookmarkEnd w:id="17"/>
    </w:p>
    <w:p w14:paraId="7505C66D" w14:textId="77777777" w:rsidR="00EE24F2" w:rsidRDefault="00000000">
      <w:pPr>
        <w:pStyle w:val="Titre2"/>
      </w:pPr>
      <w:bookmarkStart w:id="18" w:name="resultats-1"/>
      <w:bookmarkStart w:id="19" w:name="_Toc225191181"/>
      <w:r>
        <w:t>4.1 Resultats</w:t>
      </w:r>
      <w:bookmarkEnd w:id="19"/>
    </w:p>
    <w:p w14:paraId="799A455F" w14:textId="77777777" w:rsidR="00EE24F2" w:rsidRDefault="00000000">
      <w:pPr>
        <w:pStyle w:val="FirstParagraph"/>
      </w:pPr>
      <w:r>
        <w:rPr>
          <w:noProof/>
        </w:rPr>
        <w:drawing>
          <wp:inline distT="0" distB="0" distL="0" distR="0" wp14:anchorId="455FA321" wp14:editId="0102126B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rapport_final_files/figure-docx/q1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643E6E" w14:textId="77777777" w:rsidR="00EE24F2" w:rsidRDefault="00000000">
      <w:pPr>
        <w:pStyle w:val="Titre2"/>
      </w:pPr>
      <w:bookmarkStart w:id="20" w:name="interprétation-1"/>
      <w:bookmarkStart w:id="21" w:name="_Toc225191182"/>
      <w:bookmarkEnd w:id="18"/>
      <w:r>
        <w:t>4.2 Interprétation</w:t>
      </w:r>
      <w:bookmarkEnd w:id="21"/>
    </w:p>
    <w:p w14:paraId="56BBD19C" w14:textId="77777777" w:rsidR="00EE24F2" w:rsidRDefault="00000000">
      <w:pPr>
        <w:pStyle w:val="FirstParagraph"/>
      </w:pPr>
      <w:r>
        <w:t xml:space="preserve">Le paludisme est la maladie la plus fréquente avec </w:t>
      </w:r>
      <w:r>
        <w:rPr>
          <w:b/>
          <w:bCs/>
        </w:rPr>
        <w:t>2 039 cas (41.7%)</w:t>
      </w:r>
      <w:r>
        <w:t>. Les douleurs corporelles arrivent en 2eme position (1 411 cas). Les maladies infectieuses dominent le profil epidemiologique du Nigeria.</w:t>
      </w:r>
    </w:p>
    <w:p w14:paraId="7E652ABB" w14:textId="77777777" w:rsidR="00EE24F2" w:rsidRDefault="00000000">
      <w:pPr>
        <w:pStyle w:val="Titre1"/>
      </w:pPr>
      <w:bookmarkStart w:id="22" w:name="question-15---recours-aux-soins"/>
      <w:bookmarkStart w:id="23" w:name="_Toc225191183"/>
      <w:bookmarkEnd w:id="16"/>
      <w:bookmarkEnd w:id="20"/>
      <w:r>
        <w:lastRenderedPageBreak/>
        <w:t>5. Question 15 - Recours aux soins</w:t>
      </w:r>
      <w:bookmarkEnd w:id="23"/>
    </w:p>
    <w:p w14:paraId="0A2538B4" w14:textId="77777777" w:rsidR="00EE24F2" w:rsidRDefault="00000000">
      <w:pPr>
        <w:pStyle w:val="Titre2"/>
      </w:pPr>
      <w:bookmarkStart w:id="24" w:name="resultats-2"/>
      <w:bookmarkStart w:id="25" w:name="_Toc225191184"/>
      <w:r>
        <w:t>5.1 Resultats</w:t>
      </w:r>
      <w:bookmarkEnd w:id="25"/>
    </w:p>
    <w:p w14:paraId="50FD131A" w14:textId="77777777" w:rsidR="00EE24F2" w:rsidRDefault="00000000">
      <w:pPr>
        <w:pStyle w:val="FirstParagraph"/>
      </w:pPr>
      <w:r>
        <w:rPr>
          <w:noProof/>
        </w:rPr>
        <w:drawing>
          <wp:inline distT="0" distB="0" distL="0" distR="0" wp14:anchorId="478935CA" wp14:editId="75E15295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rapport_final_files/figure-docx/q1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2B1C0" w14:textId="77777777" w:rsidR="00EE24F2" w:rsidRDefault="00000000">
      <w:pPr>
        <w:pStyle w:val="Titre2"/>
      </w:pPr>
      <w:bookmarkStart w:id="26" w:name="interprétation-2"/>
      <w:bookmarkStart w:id="27" w:name="_Toc225191185"/>
      <w:bookmarkEnd w:id="24"/>
      <w:r>
        <w:t>5.2 Interprétation</w:t>
      </w:r>
      <w:bookmarkEnd w:id="27"/>
    </w:p>
    <w:p w14:paraId="08F9DC68" w14:textId="77777777" w:rsidR="00EE24F2" w:rsidRDefault="00000000">
      <w:pPr>
        <w:pStyle w:val="FirstParagraph"/>
      </w:pPr>
      <w:r>
        <w:t>Le chimiste est le prestataire le plus consulte (</w:t>
      </w:r>
      <w:r>
        <w:rPr>
          <w:b/>
          <w:bCs/>
        </w:rPr>
        <w:t>41.7%</w:t>
      </w:r>
      <w:r>
        <w:t>), suivi du medecin (</w:t>
      </w:r>
      <w:r>
        <w:rPr>
          <w:b/>
          <w:bCs/>
        </w:rPr>
        <w:t>20.7%</w:t>
      </w:r>
      <w:r>
        <w:t xml:space="preserve">). </w:t>
      </w:r>
      <w:r>
        <w:rPr>
          <w:b/>
          <w:bCs/>
        </w:rPr>
        <w:t>14.1%</w:t>
      </w:r>
      <w:r>
        <w:t xml:space="preserve"> des individus malades n’ont consulte personne, soulignant les barrieres d’acces aux soins.</w:t>
      </w:r>
    </w:p>
    <w:p w14:paraId="74894A75" w14:textId="77777777" w:rsidR="00EE24F2" w:rsidRDefault="00000000">
      <w:pPr>
        <w:pStyle w:val="Titre1"/>
      </w:pPr>
      <w:bookmarkStart w:id="28" w:name="X4823b53b861d48ca39bbee8e1ef8716b600a7e7"/>
      <w:bookmarkStart w:id="29" w:name="_Toc225191186"/>
      <w:bookmarkEnd w:id="22"/>
      <w:bookmarkEnd w:id="26"/>
      <w:r>
        <w:lastRenderedPageBreak/>
        <w:t>6. Question 16 - Distribution des dépenses de santé</w:t>
      </w:r>
      <w:bookmarkEnd w:id="29"/>
    </w:p>
    <w:p w14:paraId="51FA720C" w14:textId="77777777" w:rsidR="00EE24F2" w:rsidRDefault="00000000">
      <w:pPr>
        <w:pStyle w:val="Titre2"/>
      </w:pPr>
      <w:bookmarkStart w:id="30" w:name="resultats-3"/>
      <w:bookmarkStart w:id="31" w:name="_Toc225191187"/>
      <w:r>
        <w:t>6.1 Resultats</w:t>
      </w:r>
      <w:bookmarkEnd w:id="31"/>
    </w:p>
    <w:p w14:paraId="0FF626D4" w14:textId="77777777" w:rsidR="00EE24F2" w:rsidRDefault="00000000">
      <w:pPr>
        <w:pStyle w:val="FirstParagraph"/>
      </w:pPr>
      <w:r>
        <w:rPr>
          <w:noProof/>
        </w:rPr>
        <w:drawing>
          <wp:inline distT="0" distB="0" distL="0" distR="0" wp14:anchorId="602A1F61" wp14:editId="4B02B2D1">
            <wp:extent cx="4620126" cy="3696101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rapport_final_files/figure-docx/q16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3C5F24" w14:textId="77777777" w:rsidR="00EE24F2" w:rsidRDefault="00000000">
      <w:pPr>
        <w:pStyle w:val="Titre2"/>
      </w:pPr>
      <w:bookmarkStart w:id="32" w:name="statistiques-par-decile"/>
      <w:bookmarkStart w:id="33" w:name="_Toc225191188"/>
      <w:bookmarkEnd w:id="30"/>
      <w:r>
        <w:t>6.2 Statistiques par decile</w:t>
      </w:r>
      <w:bookmarkEnd w:id="33"/>
    </w:p>
    <w:p w14:paraId="341AD6E6" w14:textId="77777777" w:rsidR="00EE24F2" w:rsidRDefault="00000000">
      <w:pPr>
        <w:pStyle w:val="TableCaption"/>
      </w:pPr>
      <w:r>
        <w:t>Depenses de santé par decile (Naira)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0"/>
        <w:gridCol w:w="1439"/>
        <w:gridCol w:w="1439"/>
        <w:gridCol w:w="1695"/>
        <w:gridCol w:w="1165"/>
      </w:tblGrid>
      <w:tr w:rsidR="00EE24F2" w14:paraId="6A2E566C" w14:textId="77777777" w:rsidTr="00EE2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B301E9" w14:textId="77777777" w:rsidR="00EE24F2" w:rsidRDefault="00000000">
            <w:pPr>
              <w:pStyle w:val="Compact"/>
              <w:jc w:val="right"/>
            </w:pPr>
            <w:r>
              <w:t>decile</w:t>
            </w:r>
          </w:p>
        </w:tc>
        <w:tc>
          <w:tcPr>
            <w:tcW w:w="0" w:type="auto"/>
          </w:tcPr>
          <w:p w14:paraId="625CFEA4" w14:textId="77777777" w:rsidR="00EE24F2" w:rsidRDefault="00000000">
            <w:pPr>
              <w:pStyle w:val="Compact"/>
              <w:jc w:val="right"/>
            </w:pPr>
            <w:r>
              <w:t>Min</w:t>
            </w:r>
          </w:p>
        </w:tc>
        <w:tc>
          <w:tcPr>
            <w:tcW w:w="0" w:type="auto"/>
          </w:tcPr>
          <w:p w14:paraId="24A1BFDB" w14:textId="77777777" w:rsidR="00EE24F2" w:rsidRDefault="00000000">
            <w:pPr>
              <w:pStyle w:val="Compact"/>
              <w:jc w:val="right"/>
            </w:pPr>
            <w:r>
              <w:t>Mediane</w:t>
            </w:r>
          </w:p>
        </w:tc>
        <w:tc>
          <w:tcPr>
            <w:tcW w:w="0" w:type="auto"/>
          </w:tcPr>
          <w:p w14:paraId="6C4A0C13" w14:textId="77777777" w:rsidR="00EE24F2" w:rsidRDefault="00000000">
            <w:pPr>
              <w:pStyle w:val="Compact"/>
              <w:jc w:val="right"/>
            </w:pPr>
            <w:r>
              <w:t>Max</w:t>
            </w:r>
          </w:p>
        </w:tc>
        <w:tc>
          <w:tcPr>
            <w:tcW w:w="0" w:type="auto"/>
          </w:tcPr>
          <w:p w14:paraId="6FBE14BC" w14:textId="77777777" w:rsidR="00EE24F2" w:rsidRDefault="00000000">
            <w:pPr>
              <w:pStyle w:val="Compact"/>
              <w:jc w:val="right"/>
            </w:pPr>
            <w:r>
              <w:t>Moyenne</w:t>
            </w:r>
          </w:p>
        </w:tc>
      </w:tr>
      <w:tr w:rsidR="00EE24F2" w14:paraId="307511E7" w14:textId="77777777">
        <w:tc>
          <w:tcPr>
            <w:tcW w:w="0" w:type="auto"/>
          </w:tcPr>
          <w:p w14:paraId="0EB65D41" w14:textId="77777777" w:rsidR="00EE24F2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5244F4C" w14:textId="77777777" w:rsidR="00EE24F2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D02D16D" w14:textId="77777777" w:rsidR="00EE24F2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02932FD" w14:textId="77777777" w:rsidR="00EE24F2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5795FF6E" w14:textId="77777777" w:rsidR="00EE24F2" w:rsidRDefault="00000000">
            <w:pPr>
              <w:pStyle w:val="Compact"/>
              <w:jc w:val="right"/>
            </w:pPr>
            <w:r>
              <w:t>0.0</w:t>
            </w:r>
          </w:p>
        </w:tc>
      </w:tr>
      <w:tr w:rsidR="00EE24F2" w14:paraId="200E5803" w14:textId="77777777">
        <w:tc>
          <w:tcPr>
            <w:tcW w:w="0" w:type="auto"/>
          </w:tcPr>
          <w:p w14:paraId="163C96D3" w14:textId="77777777" w:rsidR="00EE24F2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D72D034" w14:textId="77777777" w:rsidR="00EE24F2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8AA3388" w14:textId="77777777" w:rsidR="00EE24F2" w:rsidRDefault="00000000">
            <w:pPr>
              <w:pStyle w:val="Compact"/>
              <w:jc w:val="right"/>
            </w:pPr>
            <w:r>
              <w:t>0.0000</w:t>
            </w:r>
          </w:p>
        </w:tc>
        <w:tc>
          <w:tcPr>
            <w:tcW w:w="0" w:type="auto"/>
          </w:tcPr>
          <w:p w14:paraId="2487BDAD" w14:textId="77777777" w:rsidR="00EE24F2" w:rsidRDefault="00000000">
            <w:pPr>
              <w:pStyle w:val="Compact"/>
              <w:jc w:val="right"/>
            </w:pPr>
            <w:r>
              <w:t>304.1667</w:t>
            </w:r>
          </w:p>
        </w:tc>
        <w:tc>
          <w:tcPr>
            <w:tcW w:w="0" w:type="auto"/>
          </w:tcPr>
          <w:p w14:paraId="06846474" w14:textId="77777777" w:rsidR="00EE24F2" w:rsidRDefault="00000000">
            <w:pPr>
              <w:pStyle w:val="Compact"/>
              <w:jc w:val="right"/>
            </w:pPr>
            <w:r>
              <w:t>37.1</w:t>
            </w:r>
          </w:p>
        </w:tc>
      </w:tr>
      <w:tr w:rsidR="00EE24F2" w14:paraId="4E155461" w14:textId="77777777">
        <w:tc>
          <w:tcPr>
            <w:tcW w:w="0" w:type="auto"/>
          </w:tcPr>
          <w:p w14:paraId="61532276" w14:textId="77777777" w:rsidR="00EE24F2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D5DEB9F" w14:textId="77777777" w:rsidR="00EE24F2" w:rsidRDefault="00000000">
            <w:pPr>
              <w:pStyle w:val="Compact"/>
              <w:jc w:val="right"/>
            </w:pPr>
            <w:r>
              <w:t>304.1667</w:t>
            </w:r>
          </w:p>
        </w:tc>
        <w:tc>
          <w:tcPr>
            <w:tcW w:w="0" w:type="auto"/>
          </w:tcPr>
          <w:p w14:paraId="27251C0A" w14:textId="77777777" w:rsidR="00EE24F2" w:rsidRDefault="00000000">
            <w:pPr>
              <w:pStyle w:val="Compact"/>
              <w:jc w:val="right"/>
            </w:pPr>
            <w:r>
              <w:t>735.8333</w:t>
            </w:r>
          </w:p>
        </w:tc>
        <w:tc>
          <w:tcPr>
            <w:tcW w:w="0" w:type="auto"/>
          </w:tcPr>
          <w:p w14:paraId="55B166FA" w14:textId="77777777" w:rsidR="00EE24F2" w:rsidRDefault="00000000">
            <w:pPr>
              <w:pStyle w:val="Compact"/>
              <w:jc w:val="right"/>
            </w:pPr>
            <w:r>
              <w:t>1216.6667</w:t>
            </w:r>
          </w:p>
        </w:tc>
        <w:tc>
          <w:tcPr>
            <w:tcW w:w="0" w:type="auto"/>
          </w:tcPr>
          <w:p w14:paraId="11C85945" w14:textId="77777777" w:rsidR="00EE24F2" w:rsidRDefault="00000000">
            <w:pPr>
              <w:pStyle w:val="Compact"/>
              <w:jc w:val="right"/>
            </w:pPr>
            <w:r>
              <w:t>746.6</w:t>
            </w:r>
          </w:p>
        </w:tc>
      </w:tr>
      <w:tr w:rsidR="00EE24F2" w14:paraId="6DAD75CE" w14:textId="77777777">
        <w:tc>
          <w:tcPr>
            <w:tcW w:w="0" w:type="auto"/>
          </w:tcPr>
          <w:p w14:paraId="2352DC71" w14:textId="77777777" w:rsidR="00EE24F2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CDF8E4D" w14:textId="77777777" w:rsidR="00EE24F2" w:rsidRDefault="00000000">
            <w:pPr>
              <w:pStyle w:val="Compact"/>
              <w:jc w:val="right"/>
            </w:pPr>
            <w:r>
              <w:t>1216.6667</w:t>
            </w:r>
          </w:p>
        </w:tc>
        <w:tc>
          <w:tcPr>
            <w:tcW w:w="0" w:type="auto"/>
          </w:tcPr>
          <w:p w14:paraId="6763031A" w14:textId="77777777" w:rsidR="00EE24F2" w:rsidRDefault="00000000">
            <w:pPr>
              <w:pStyle w:val="Compact"/>
              <w:jc w:val="right"/>
            </w:pPr>
            <w:r>
              <w:t>1825.0000</w:t>
            </w:r>
          </w:p>
        </w:tc>
        <w:tc>
          <w:tcPr>
            <w:tcW w:w="0" w:type="auto"/>
          </w:tcPr>
          <w:p w14:paraId="5C7AE232" w14:textId="77777777" w:rsidR="00EE24F2" w:rsidRDefault="00000000">
            <w:pPr>
              <w:pStyle w:val="Compact"/>
              <w:jc w:val="right"/>
            </w:pPr>
            <w:r>
              <w:t>2433.3333</w:t>
            </w:r>
          </w:p>
        </w:tc>
        <w:tc>
          <w:tcPr>
            <w:tcW w:w="0" w:type="auto"/>
          </w:tcPr>
          <w:p w14:paraId="71448BA0" w14:textId="77777777" w:rsidR="00EE24F2" w:rsidRDefault="00000000">
            <w:pPr>
              <w:pStyle w:val="Compact"/>
              <w:jc w:val="right"/>
            </w:pPr>
            <w:r>
              <w:t>1787.4</w:t>
            </w:r>
          </w:p>
        </w:tc>
      </w:tr>
      <w:tr w:rsidR="00EE24F2" w14:paraId="175A8558" w14:textId="77777777">
        <w:tc>
          <w:tcPr>
            <w:tcW w:w="0" w:type="auto"/>
          </w:tcPr>
          <w:p w14:paraId="328D4344" w14:textId="77777777" w:rsidR="00EE24F2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05A630A" w14:textId="77777777" w:rsidR="00EE24F2" w:rsidRDefault="00000000">
            <w:pPr>
              <w:pStyle w:val="Compact"/>
              <w:jc w:val="right"/>
            </w:pPr>
            <w:r>
              <w:t>2433.3333</w:t>
            </w:r>
          </w:p>
        </w:tc>
        <w:tc>
          <w:tcPr>
            <w:tcW w:w="0" w:type="auto"/>
          </w:tcPr>
          <w:p w14:paraId="56966095" w14:textId="77777777" w:rsidR="00EE24F2" w:rsidRDefault="00000000">
            <w:pPr>
              <w:pStyle w:val="Compact"/>
              <w:jc w:val="right"/>
            </w:pPr>
            <w:r>
              <w:t>3041.6667</w:t>
            </w:r>
          </w:p>
        </w:tc>
        <w:tc>
          <w:tcPr>
            <w:tcW w:w="0" w:type="auto"/>
          </w:tcPr>
          <w:p w14:paraId="620407F9" w14:textId="77777777" w:rsidR="00EE24F2" w:rsidRDefault="00000000">
            <w:pPr>
              <w:pStyle w:val="Compact"/>
              <w:jc w:val="right"/>
            </w:pPr>
            <w:r>
              <w:t>3650.0001</w:t>
            </w:r>
          </w:p>
        </w:tc>
        <w:tc>
          <w:tcPr>
            <w:tcW w:w="0" w:type="auto"/>
          </w:tcPr>
          <w:p w14:paraId="4FB2BF1C" w14:textId="77777777" w:rsidR="00EE24F2" w:rsidRDefault="00000000">
            <w:pPr>
              <w:pStyle w:val="Compact"/>
              <w:jc w:val="right"/>
            </w:pPr>
            <w:r>
              <w:t>3011.5</w:t>
            </w:r>
          </w:p>
        </w:tc>
      </w:tr>
      <w:tr w:rsidR="00EE24F2" w14:paraId="4493DD83" w14:textId="77777777">
        <w:tc>
          <w:tcPr>
            <w:tcW w:w="0" w:type="auto"/>
          </w:tcPr>
          <w:p w14:paraId="06BA313A" w14:textId="77777777" w:rsidR="00EE24F2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2FFF30A6" w14:textId="77777777" w:rsidR="00EE24F2" w:rsidRDefault="00000000">
            <w:pPr>
              <w:pStyle w:val="Compact"/>
              <w:jc w:val="right"/>
            </w:pPr>
            <w:r>
              <w:t>3650.0001</w:t>
            </w:r>
          </w:p>
        </w:tc>
        <w:tc>
          <w:tcPr>
            <w:tcW w:w="0" w:type="auto"/>
          </w:tcPr>
          <w:p w14:paraId="6BFA1B15" w14:textId="77777777" w:rsidR="00EE24F2" w:rsidRDefault="00000000">
            <w:pPr>
              <w:pStyle w:val="Compact"/>
              <w:jc w:val="right"/>
            </w:pPr>
            <w:r>
              <w:t>4623.3332</w:t>
            </w:r>
          </w:p>
        </w:tc>
        <w:tc>
          <w:tcPr>
            <w:tcW w:w="0" w:type="auto"/>
          </w:tcPr>
          <w:p w14:paraId="74EDD91B" w14:textId="77777777" w:rsidR="00EE24F2" w:rsidRDefault="00000000">
            <w:pPr>
              <w:pStyle w:val="Compact"/>
              <w:jc w:val="right"/>
            </w:pPr>
            <w:r>
              <w:t>5779.1666</w:t>
            </w:r>
          </w:p>
        </w:tc>
        <w:tc>
          <w:tcPr>
            <w:tcW w:w="0" w:type="auto"/>
          </w:tcPr>
          <w:p w14:paraId="63AED0F9" w14:textId="77777777" w:rsidR="00EE24F2" w:rsidRDefault="00000000">
            <w:pPr>
              <w:pStyle w:val="Compact"/>
              <w:jc w:val="right"/>
            </w:pPr>
            <w:r>
              <w:t>4639.0</w:t>
            </w:r>
          </w:p>
        </w:tc>
      </w:tr>
      <w:tr w:rsidR="00EE24F2" w14:paraId="3A7F1277" w14:textId="77777777">
        <w:tc>
          <w:tcPr>
            <w:tcW w:w="0" w:type="auto"/>
          </w:tcPr>
          <w:p w14:paraId="77A5CA7F" w14:textId="77777777" w:rsidR="00EE24F2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2E565729" w14:textId="77777777" w:rsidR="00EE24F2" w:rsidRDefault="00000000">
            <w:pPr>
              <w:pStyle w:val="Compact"/>
              <w:jc w:val="right"/>
            </w:pPr>
            <w:r>
              <w:t>5779.1669</w:t>
            </w:r>
          </w:p>
        </w:tc>
        <w:tc>
          <w:tcPr>
            <w:tcW w:w="0" w:type="auto"/>
          </w:tcPr>
          <w:p w14:paraId="415A7E76" w14:textId="77777777" w:rsidR="00EE24F2" w:rsidRDefault="00000000">
            <w:pPr>
              <w:pStyle w:val="Compact"/>
              <w:jc w:val="right"/>
            </w:pPr>
            <w:r>
              <w:t>7097.2220</w:t>
            </w:r>
          </w:p>
        </w:tc>
        <w:tc>
          <w:tcPr>
            <w:tcW w:w="0" w:type="auto"/>
          </w:tcPr>
          <w:p w14:paraId="47B2420B" w14:textId="77777777" w:rsidR="00EE24F2" w:rsidRDefault="00000000">
            <w:pPr>
              <w:pStyle w:val="Compact"/>
              <w:jc w:val="right"/>
            </w:pPr>
            <w:r>
              <w:t>8533.3335</w:t>
            </w:r>
          </w:p>
        </w:tc>
        <w:tc>
          <w:tcPr>
            <w:tcW w:w="0" w:type="auto"/>
          </w:tcPr>
          <w:p w14:paraId="1C9C7D49" w14:textId="77777777" w:rsidR="00EE24F2" w:rsidRDefault="00000000">
            <w:pPr>
              <w:pStyle w:val="Compact"/>
              <w:jc w:val="right"/>
            </w:pPr>
            <w:r>
              <w:t>7094.3</w:t>
            </w:r>
          </w:p>
        </w:tc>
      </w:tr>
      <w:tr w:rsidR="00EE24F2" w14:paraId="2A304880" w14:textId="77777777">
        <w:tc>
          <w:tcPr>
            <w:tcW w:w="0" w:type="auto"/>
          </w:tcPr>
          <w:p w14:paraId="37F43ADE" w14:textId="77777777" w:rsidR="00EE24F2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F83361C" w14:textId="77777777" w:rsidR="00EE24F2" w:rsidRDefault="00000000">
            <w:pPr>
              <w:pStyle w:val="Compact"/>
              <w:jc w:val="right"/>
            </w:pPr>
            <w:r>
              <w:t>8550.0000</w:t>
            </w:r>
          </w:p>
        </w:tc>
        <w:tc>
          <w:tcPr>
            <w:tcW w:w="0" w:type="auto"/>
          </w:tcPr>
          <w:p w14:paraId="57BF9362" w14:textId="77777777" w:rsidR="00EE24F2" w:rsidRDefault="00000000">
            <w:pPr>
              <w:pStyle w:val="Compact"/>
              <w:jc w:val="right"/>
            </w:pPr>
            <w:r>
              <w:t>10950.0000</w:t>
            </w:r>
          </w:p>
        </w:tc>
        <w:tc>
          <w:tcPr>
            <w:tcW w:w="0" w:type="auto"/>
          </w:tcPr>
          <w:p w14:paraId="6B85EDD1" w14:textId="77777777" w:rsidR="00EE24F2" w:rsidRDefault="00000000">
            <w:pPr>
              <w:pStyle w:val="Compact"/>
              <w:jc w:val="right"/>
            </w:pPr>
            <w:r>
              <w:t>13909.1668</w:t>
            </w:r>
          </w:p>
        </w:tc>
        <w:tc>
          <w:tcPr>
            <w:tcW w:w="0" w:type="auto"/>
          </w:tcPr>
          <w:p w14:paraId="0C015541" w14:textId="77777777" w:rsidR="00EE24F2" w:rsidRDefault="00000000">
            <w:pPr>
              <w:pStyle w:val="Compact"/>
              <w:jc w:val="right"/>
            </w:pPr>
            <w:r>
              <w:t>11041.9</w:t>
            </w:r>
          </w:p>
        </w:tc>
      </w:tr>
      <w:tr w:rsidR="00EE24F2" w14:paraId="7CD0B65B" w14:textId="77777777">
        <w:tc>
          <w:tcPr>
            <w:tcW w:w="0" w:type="auto"/>
          </w:tcPr>
          <w:p w14:paraId="195A1E95" w14:textId="77777777" w:rsidR="00EE24F2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315409EE" w14:textId="77777777" w:rsidR="00EE24F2" w:rsidRDefault="00000000">
            <w:pPr>
              <w:pStyle w:val="Compact"/>
              <w:jc w:val="right"/>
            </w:pPr>
            <w:r>
              <w:t>13991.6665</w:t>
            </w:r>
          </w:p>
        </w:tc>
        <w:tc>
          <w:tcPr>
            <w:tcW w:w="0" w:type="auto"/>
          </w:tcPr>
          <w:p w14:paraId="000DB419" w14:textId="77777777" w:rsidR="00EE24F2" w:rsidRDefault="00000000">
            <w:pPr>
              <w:pStyle w:val="Compact"/>
              <w:jc w:val="right"/>
            </w:pPr>
            <w:r>
              <w:t>18250.0000</w:t>
            </w:r>
          </w:p>
        </w:tc>
        <w:tc>
          <w:tcPr>
            <w:tcW w:w="0" w:type="auto"/>
          </w:tcPr>
          <w:p w14:paraId="28C2E53F" w14:textId="77777777" w:rsidR="00EE24F2" w:rsidRDefault="00000000">
            <w:pPr>
              <w:pStyle w:val="Compact"/>
              <w:jc w:val="right"/>
            </w:pPr>
            <w:r>
              <w:t>26158.3339</w:t>
            </w:r>
          </w:p>
        </w:tc>
        <w:tc>
          <w:tcPr>
            <w:tcW w:w="0" w:type="auto"/>
          </w:tcPr>
          <w:p w14:paraId="57E16446" w14:textId="77777777" w:rsidR="00EE24F2" w:rsidRDefault="00000000">
            <w:pPr>
              <w:pStyle w:val="Compact"/>
              <w:jc w:val="right"/>
            </w:pPr>
            <w:r>
              <w:t>18883.2</w:t>
            </w:r>
          </w:p>
        </w:tc>
      </w:tr>
      <w:tr w:rsidR="00EE24F2" w14:paraId="16C1E7C9" w14:textId="77777777">
        <w:tc>
          <w:tcPr>
            <w:tcW w:w="0" w:type="auto"/>
          </w:tcPr>
          <w:p w14:paraId="6DF0B498" w14:textId="77777777" w:rsidR="00EE24F2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464D2F04" w14:textId="77777777" w:rsidR="00EE24F2" w:rsidRDefault="00000000">
            <w:pPr>
              <w:pStyle w:val="Compact"/>
              <w:jc w:val="right"/>
            </w:pPr>
            <w:r>
              <w:t>26158.3340</w:t>
            </w:r>
          </w:p>
        </w:tc>
        <w:tc>
          <w:tcPr>
            <w:tcW w:w="0" w:type="auto"/>
          </w:tcPr>
          <w:p w14:paraId="1A1199C7" w14:textId="77777777" w:rsidR="00EE24F2" w:rsidRDefault="00000000">
            <w:pPr>
              <w:pStyle w:val="Compact"/>
              <w:jc w:val="right"/>
            </w:pPr>
            <w:r>
              <w:t>43191.6680</w:t>
            </w:r>
          </w:p>
        </w:tc>
        <w:tc>
          <w:tcPr>
            <w:tcW w:w="0" w:type="auto"/>
          </w:tcPr>
          <w:p w14:paraId="30451B4B" w14:textId="77777777" w:rsidR="00EE24F2" w:rsidRDefault="00000000">
            <w:pPr>
              <w:pStyle w:val="Compact"/>
              <w:jc w:val="right"/>
            </w:pPr>
            <w:r>
              <w:t>1250000.0000</w:t>
            </w:r>
          </w:p>
        </w:tc>
        <w:tc>
          <w:tcPr>
            <w:tcW w:w="0" w:type="auto"/>
          </w:tcPr>
          <w:p w14:paraId="6634E855" w14:textId="77777777" w:rsidR="00EE24F2" w:rsidRDefault="00000000">
            <w:pPr>
              <w:pStyle w:val="Compact"/>
              <w:jc w:val="right"/>
            </w:pPr>
            <w:r>
              <w:t>66449.6</w:t>
            </w:r>
          </w:p>
        </w:tc>
      </w:tr>
    </w:tbl>
    <w:p w14:paraId="27E5DADE" w14:textId="77777777" w:rsidR="00EE24F2" w:rsidRDefault="00000000">
      <w:pPr>
        <w:pStyle w:val="Titre2"/>
      </w:pPr>
      <w:bookmarkStart w:id="34" w:name="interprétation-3"/>
      <w:bookmarkStart w:id="35" w:name="_Toc225191189"/>
      <w:bookmarkEnd w:id="32"/>
      <w:r>
        <w:lastRenderedPageBreak/>
        <w:t>6.3 Interprétation</w:t>
      </w:r>
      <w:bookmarkEnd w:id="35"/>
    </w:p>
    <w:p w14:paraId="380A501D" w14:textId="77777777" w:rsidR="00EE24F2" w:rsidRDefault="00000000">
      <w:pPr>
        <w:pStyle w:val="FirstParagraph"/>
      </w:pPr>
      <w:r>
        <w:t xml:space="preserve">Les dépenses de santé presentent une distribution fortement asymetrique. La médiane est de </w:t>
      </w:r>
      <w:r>
        <w:rPr>
          <w:b/>
          <w:bCs/>
        </w:rPr>
        <w:t>3 650 Naira</w:t>
      </w:r>
      <w:r>
        <w:t xml:space="preserve"> avec </w:t>
      </w:r>
      <w:r>
        <w:rPr>
          <w:b/>
          <w:bCs/>
        </w:rPr>
        <w:t>494 valeurs aberrantes</w:t>
      </w:r>
      <w:r>
        <w:t>. Les dépenses d’hospitalisation sont plus dispersees que les consultations.</w:t>
      </w:r>
    </w:p>
    <w:p w14:paraId="7EB03DBA" w14:textId="77777777" w:rsidR="00EE24F2" w:rsidRDefault="00000000">
      <w:pPr>
        <w:pStyle w:val="Titre1"/>
      </w:pPr>
      <w:bookmarkStart w:id="36" w:name="X396a6ac7f5655d469a8d5ea49308f32fd552ff8"/>
      <w:bookmarkStart w:id="37" w:name="_Toc225191190"/>
      <w:bookmarkEnd w:id="28"/>
      <w:bookmarkEnd w:id="34"/>
      <w:r>
        <w:t>7. Question 17 - Recours aux soins x Quintile</w:t>
      </w:r>
      <w:bookmarkEnd w:id="37"/>
    </w:p>
    <w:p w14:paraId="4A3CF691" w14:textId="77777777" w:rsidR="00EE24F2" w:rsidRDefault="00000000">
      <w:pPr>
        <w:pStyle w:val="Titre2"/>
      </w:pPr>
      <w:bookmarkStart w:id="38" w:name="resultats-4"/>
      <w:bookmarkStart w:id="39" w:name="_Toc225191191"/>
      <w:r>
        <w:t>7.1 Resultats</w:t>
      </w:r>
      <w:bookmarkEnd w:id="39"/>
    </w:p>
    <w:p w14:paraId="1FCBE508" w14:textId="77777777" w:rsidR="00EE24F2" w:rsidRDefault="00000000">
      <w:pPr>
        <w:pStyle w:val="TableCaption"/>
      </w:pPr>
      <w:r>
        <w:t>Tableau de contingence recours x quintile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7"/>
        <w:gridCol w:w="601"/>
        <w:gridCol w:w="601"/>
        <w:gridCol w:w="601"/>
        <w:gridCol w:w="601"/>
        <w:gridCol w:w="601"/>
      </w:tblGrid>
      <w:tr w:rsidR="00EE24F2" w14:paraId="0B1FEF65" w14:textId="77777777" w:rsidTr="00EE2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1E1AE7" w14:textId="77777777" w:rsidR="00EE24F2" w:rsidRDefault="00EE24F2">
            <w:pPr>
              <w:pStyle w:val="Compact"/>
            </w:pPr>
          </w:p>
        </w:tc>
        <w:tc>
          <w:tcPr>
            <w:tcW w:w="0" w:type="auto"/>
          </w:tcPr>
          <w:p w14:paraId="59FAF632" w14:textId="77777777" w:rsidR="00EE24F2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BC3B3C2" w14:textId="77777777" w:rsidR="00EE24F2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DD3D9EA" w14:textId="77777777" w:rsidR="00EE24F2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35BC7F0" w14:textId="77777777" w:rsidR="00EE24F2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3122B9D" w14:textId="77777777" w:rsidR="00EE24F2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EE24F2" w14:paraId="720DAFB2" w14:textId="77777777">
        <w:tc>
          <w:tcPr>
            <w:tcW w:w="0" w:type="auto"/>
          </w:tcPr>
          <w:p w14:paraId="632FA27F" w14:textId="77777777" w:rsidR="00EE24F2" w:rsidRDefault="00000000">
            <w:pPr>
              <w:pStyle w:val="Compact"/>
            </w:pPr>
            <w:r>
              <w:t>Non consulte</w:t>
            </w:r>
          </w:p>
        </w:tc>
        <w:tc>
          <w:tcPr>
            <w:tcW w:w="0" w:type="auto"/>
          </w:tcPr>
          <w:p w14:paraId="3579D3CE" w14:textId="77777777" w:rsidR="00EE24F2" w:rsidRDefault="00000000">
            <w:pPr>
              <w:pStyle w:val="Compact"/>
              <w:jc w:val="right"/>
            </w:pPr>
            <w:r>
              <w:t>181</w:t>
            </w:r>
          </w:p>
        </w:tc>
        <w:tc>
          <w:tcPr>
            <w:tcW w:w="0" w:type="auto"/>
          </w:tcPr>
          <w:p w14:paraId="1DBF4E5E" w14:textId="77777777" w:rsidR="00EE24F2" w:rsidRDefault="00000000">
            <w:pPr>
              <w:pStyle w:val="Compact"/>
              <w:jc w:val="right"/>
            </w:pPr>
            <w:r>
              <w:t>166</w:t>
            </w:r>
          </w:p>
        </w:tc>
        <w:tc>
          <w:tcPr>
            <w:tcW w:w="0" w:type="auto"/>
          </w:tcPr>
          <w:p w14:paraId="4F2E3F65" w14:textId="77777777" w:rsidR="00EE24F2" w:rsidRDefault="00000000">
            <w:pPr>
              <w:pStyle w:val="Compact"/>
              <w:jc w:val="right"/>
            </w:pPr>
            <w:r>
              <w:t>163</w:t>
            </w:r>
          </w:p>
        </w:tc>
        <w:tc>
          <w:tcPr>
            <w:tcW w:w="0" w:type="auto"/>
          </w:tcPr>
          <w:p w14:paraId="3C42D7F7" w14:textId="77777777" w:rsidR="00EE24F2" w:rsidRDefault="00000000">
            <w:pPr>
              <w:pStyle w:val="Compact"/>
              <w:jc w:val="right"/>
            </w:pPr>
            <w:r>
              <w:t>167</w:t>
            </w:r>
          </w:p>
        </w:tc>
        <w:tc>
          <w:tcPr>
            <w:tcW w:w="0" w:type="auto"/>
          </w:tcPr>
          <w:p w14:paraId="6B63E323" w14:textId="77777777" w:rsidR="00EE24F2" w:rsidRDefault="00000000">
            <w:pPr>
              <w:pStyle w:val="Compact"/>
              <w:jc w:val="right"/>
            </w:pPr>
            <w:r>
              <w:t>221</w:t>
            </w:r>
          </w:p>
        </w:tc>
      </w:tr>
      <w:tr w:rsidR="00EE24F2" w14:paraId="7B04D0F8" w14:textId="77777777">
        <w:tc>
          <w:tcPr>
            <w:tcW w:w="0" w:type="auto"/>
          </w:tcPr>
          <w:p w14:paraId="121A34C8" w14:textId="77777777" w:rsidR="00EE24F2" w:rsidRDefault="00000000">
            <w:pPr>
              <w:pStyle w:val="Compact"/>
            </w:pPr>
            <w:r>
              <w:t>Consulte</w:t>
            </w:r>
          </w:p>
        </w:tc>
        <w:tc>
          <w:tcPr>
            <w:tcW w:w="0" w:type="auto"/>
          </w:tcPr>
          <w:p w14:paraId="12678C8A" w14:textId="77777777" w:rsidR="00EE24F2" w:rsidRDefault="00000000">
            <w:pPr>
              <w:pStyle w:val="Compact"/>
              <w:jc w:val="right"/>
            </w:pPr>
            <w:r>
              <w:t>815</w:t>
            </w:r>
          </w:p>
        </w:tc>
        <w:tc>
          <w:tcPr>
            <w:tcW w:w="0" w:type="auto"/>
          </w:tcPr>
          <w:p w14:paraId="2987403C" w14:textId="77777777" w:rsidR="00EE24F2" w:rsidRDefault="00000000">
            <w:pPr>
              <w:pStyle w:val="Compact"/>
              <w:jc w:val="right"/>
            </w:pPr>
            <w:r>
              <w:t>829</w:t>
            </w:r>
          </w:p>
        </w:tc>
        <w:tc>
          <w:tcPr>
            <w:tcW w:w="0" w:type="auto"/>
          </w:tcPr>
          <w:p w14:paraId="44B7F6D1" w14:textId="77777777" w:rsidR="00EE24F2" w:rsidRDefault="00000000">
            <w:pPr>
              <w:pStyle w:val="Compact"/>
              <w:jc w:val="right"/>
            </w:pPr>
            <w:r>
              <w:t>832</w:t>
            </w:r>
          </w:p>
        </w:tc>
        <w:tc>
          <w:tcPr>
            <w:tcW w:w="0" w:type="auto"/>
          </w:tcPr>
          <w:p w14:paraId="60849288" w14:textId="77777777" w:rsidR="00EE24F2" w:rsidRDefault="00000000">
            <w:pPr>
              <w:pStyle w:val="Compact"/>
              <w:jc w:val="right"/>
            </w:pPr>
            <w:r>
              <w:t>828</w:t>
            </w:r>
          </w:p>
        </w:tc>
        <w:tc>
          <w:tcPr>
            <w:tcW w:w="0" w:type="auto"/>
          </w:tcPr>
          <w:p w14:paraId="58F646BE" w14:textId="77777777" w:rsidR="00EE24F2" w:rsidRDefault="00000000">
            <w:pPr>
              <w:pStyle w:val="Compact"/>
              <w:jc w:val="right"/>
            </w:pPr>
            <w:r>
              <w:t>774</w:t>
            </w:r>
          </w:p>
        </w:tc>
      </w:tr>
    </w:tbl>
    <w:p w14:paraId="02D1B428" w14:textId="77777777" w:rsidR="00EE24F2" w:rsidRDefault="00000000">
      <w:pPr>
        <w:pStyle w:val="SourceCode"/>
      </w:pPr>
      <w:r>
        <w:rPr>
          <w:rStyle w:val="VerbatimChar"/>
        </w:rPr>
        <w:t xml:space="preserve">Chi-deux: 15.865 </w:t>
      </w:r>
    </w:p>
    <w:p w14:paraId="41F911F6" w14:textId="77777777" w:rsidR="00EE24F2" w:rsidRDefault="00000000">
      <w:pPr>
        <w:pStyle w:val="SourceCode"/>
      </w:pPr>
      <w:r>
        <w:rPr>
          <w:rStyle w:val="VerbatimChar"/>
        </w:rPr>
        <w:t xml:space="preserve">p-value: 0.0032 </w:t>
      </w:r>
    </w:p>
    <w:p w14:paraId="0B32E363" w14:textId="77777777" w:rsidR="00EE24F2" w:rsidRDefault="00000000">
      <w:pPr>
        <w:pStyle w:val="SourceCode"/>
      </w:pPr>
      <w:r>
        <w:rPr>
          <w:rStyle w:val="VerbatimChar"/>
        </w:rPr>
        <w:t xml:space="preserve">V de Cramer: 0.0565 </w:t>
      </w:r>
    </w:p>
    <w:p w14:paraId="3A4A0F5A" w14:textId="77777777" w:rsidR="00EE24F2" w:rsidRDefault="00000000">
      <w:pPr>
        <w:pStyle w:val="FirstParagraph"/>
      </w:pPr>
      <w:r>
        <w:rPr>
          <w:noProof/>
        </w:rPr>
        <w:drawing>
          <wp:inline distT="0" distB="0" distL="0" distR="0" wp14:anchorId="4192C8F4" wp14:editId="373407FE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rapport_final_files/figure-docx/q17-plot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3BC6FD" w14:textId="77777777" w:rsidR="00EE24F2" w:rsidRDefault="00000000">
      <w:pPr>
        <w:pStyle w:val="Titre2"/>
      </w:pPr>
      <w:bookmarkStart w:id="40" w:name="interprétation-4"/>
      <w:bookmarkStart w:id="41" w:name="_Toc225191192"/>
      <w:bookmarkEnd w:id="38"/>
      <w:r>
        <w:lastRenderedPageBreak/>
        <w:t>7.2 Interprétation</w:t>
      </w:r>
      <w:bookmarkEnd w:id="41"/>
    </w:p>
    <w:p w14:paraId="7E4DA2D6" w14:textId="77777777" w:rsidR="00EE24F2" w:rsidRDefault="00000000">
      <w:pPr>
        <w:pStyle w:val="FirstParagraph"/>
      </w:pPr>
      <w:r>
        <w:t>Le test du Chi-deux est significatif (</w:t>
      </w:r>
      <w:r>
        <w:rPr>
          <w:b/>
          <w:bCs/>
        </w:rPr>
        <w:t>p = 0.003</w:t>
      </w:r>
      <w:r>
        <w:t>), indiquant une association entre le recours aux soins et le quintile de consommation. Le V de Cramer (</w:t>
      </w:r>
      <w:r>
        <w:rPr>
          <w:b/>
          <w:bCs/>
        </w:rPr>
        <w:t>0.056</w:t>
      </w:r>
      <w:r>
        <w:t>) revele une association faible. Les menages les plus pauvres ont legerement moins recours aux soins.</w:t>
      </w:r>
    </w:p>
    <w:p w14:paraId="036CDE29" w14:textId="77777777" w:rsidR="00EE24F2" w:rsidRDefault="00000000">
      <w:pPr>
        <w:pStyle w:val="Titre1"/>
      </w:pPr>
      <w:bookmarkStart w:id="42" w:name="X512062c686ff7880e4287bb1e8cfbdcf2a8d548"/>
      <w:bookmarkStart w:id="43" w:name="_Toc225191193"/>
      <w:bookmarkEnd w:id="36"/>
      <w:bookmarkEnd w:id="40"/>
      <w:r>
        <w:t>8. Question 18 - Depenses de santé Rural vs Urbain</w:t>
      </w:r>
      <w:bookmarkEnd w:id="43"/>
    </w:p>
    <w:p w14:paraId="02938C76" w14:textId="77777777" w:rsidR="00EE24F2" w:rsidRDefault="00000000">
      <w:pPr>
        <w:pStyle w:val="Titre2"/>
      </w:pPr>
      <w:bookmarkStart w:id="44" w:name="resultats-5"/>
      <w:bookmarkStart w:id="45" w:name="_Toc225191194"/>
      <w:r>
        <w:t>8.1 Resultats</w:t>
      </w:r>
      <w:bookmarkEnd w:id="45"/>
    </w:p>
    <w:p w14:paraId="71803BDE" w14:textId="77777777" w:rsidR="00EE24F2" w:rsidRDefault="00000000">
      <w:pPr>
        <w:pStyle w:val="FirstParagraph"/>
      </w:pPr>
      <w:r>
        <w:rPr>
          <w:noProof/>
        </w:rPr>
        <w:drawing>
          <wp:inline distT="0" distB="0" distL="0" distR="0" wp14:anchorId="62235C76" wp14:editId="019EF5C2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rapport_final_files/figure-docx/q18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85ABE9" w14:textId="77777777" w:rsidR="00EE24F2" w:rsidRDefault="00000000">
      <w:pPr>
        <w:pStyle w:val="SourceCode"/>
      </w:pPr>
      <w:r>
        <w:rPr>
          <w:rStyle w:val="VerbatimChar"/>
        </w:rPr>
        <w:t xml:space="preserve">Wilcoxon W: 2681342 </w:t>
      </w:r>
    </w:p>
    <w:p w14:paraId="2620E895" w14:textId="77777777" w:rsidR="00EE24F2" w:rsidRDefault="00000000">
      <w:pPr>
        <w:pStyle w:val="SourceCode"/>
      </w:pPr>
      <w:r>
        <w:rPr>
          <w:rStyle w:val="VerbatimChar"/>
        </w:rPr>
        <w:t xml:space="preserve">p-value: 0.7937 </w:t>
      </w:r>
    </w:p>
    <w:p w14:paraId="578754EC" w14:textId="77777777" w:rsidR="00EE24F2" w:rsidRDefault="00000000">
      <w:pPr>
        <w:pStyle w:val="Titre2"/>
      </w:pPr>
      <w:bookmarkStart w:id="46" w:name="interprétation-5"/>
      <w:bookmarkStart w:id="47" w:name="_Toc225191195"/>
      <w:bookmarkEnd w:id="44"/>
      <w:r>
        <w:t>8.2 Interprétation</w:t>
      </w:r>
      <w:bookmarkEnd w:id="47"/>
    </w:p>
    <w:p w14:paraId="7DD1D5CB" w14:textId="77777777" w:rsidR="00EE24F2" w:rsidRDefault="00000000">
      <w:pPr>
        <w:pStyle w:val="FirstParagraph"/>
      </w:pPr>
      <w:r>
        <w:t>Le test de Wilcoxon (</w:t>
      </w:r>
      <w:r>
        <w:rPr>
          <w:b/>
          <w:bCs/>
        </w:rPr>
        <w:t>p = 0.794</w:t>
      </w:r>
      <w:r>
        <w:t>) ne montre pas de difference significative des dépenses de santé entre zones rurales et urbaines. Le violin plot confirme des distributions similaires dans les deux zones.</w:t>
      </w:r>
    </w:p>
    <w:p w14:paraId="7603DACF" w14:textId="77777777" w:rsidR="00EE24F2" w:rsidRDefault="00000000">
      <w:pPr>
        <w:pStyle w:val="Titre1"/>
      </w:pPr>
      <w:bookmarkStart w:id="48" w:name="analyses-pondérées"/>
      <w:bookmarkStart w:id="49" w:name="_Toc225191196"/>
      <w:bookmarkEnd w:id="42"/>
      <w:bookmarkEnd w:id="46"/>
      <w:r>
        <w:lastRenderedPageBreak/>
        <w:t>9. Analyses pondérées</w:t>
      </w:r>
      <w:bookmarkEnd w:id="49"/>
    </w:p>
    <w:p w14:paraId="0CEE2007" w14:textId="77777777" w:rsidR="00EE24F2" w:rsidRDefault="00000000">
      <w:pPr>
        <w:pStyle w:val="FirstParagraph"/>
      </w:pPr>
      <w:r>
        <w:t>Les analyses précédentes ne tenaient pas compte du plan de sondage. Nous intégrons ici les pondérations pour obtenir des estimations représentatives de la population nigériane.</w:t>
      </w:r>
    </w:p>
    <w:p w14:paraId="264F6484" w14:textId="77777777" w:rsidR="00EE24F2" w:rsidRDefault="00000000">
      <w:pPr>
        <w:pStyle w:val="Titre2"/>
      </w:pPr>
      <w:bookmarkStart w:id="50" w:name="q13-pondéré-taux-de-morbidité"/>
      <w:bookmarkStart w:id="51" w:name="_Toc225191197"/>
      <w:r>
        <w:t>9.1 Q13 pondéré — Taux de morbidité</w:t>
      </w:r>
      <w:bookmarkEnd w:id="51"/>
    </w:p>
    <w:p w14:paraId="4ECFE9BA" w14:textId="77777777" w:rsidR="00EE24F2" w:rsidRDefault="00000000">
      <w:pPr>
        <w:pStyle w:val="FirstParagraph"/>
      </w:pPr>
      <w:r>
        <w:rPr>
          <w:noProof/>
        </w:rPr>
        <w:drawing>
          <wp:inline distT="0" distB="0" distL="0" distR="0" wp14:anchorId="4A46D39D" wp14:editId="1A311A76">
            <wp:extent cx="4620126" cy="3696101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rapport_final_files/figure-docx/q13-pond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46733E" w14:textId="77777777" w:rsidR="00EE24F2" w:rsidRDefault="00000000">
      <w:pPr>
        <w:pStyle w:val="Titre2"/>
      </w:pPr>
      <w:bookmarkStart w:id="52" w:name="interprétation-q13-pondéré"/>
      <w:bookmarkStart w:id="53" w:name="_Toc225191198"/>
      <w:bookmarkEnd w:id="50"/>
      <w:r>
        <w:t>9.2 Interprétation Q13 pondéré</w:t>
      </w:r>
      <w:bookmarkEnd w:id="53"/>
    </w:p>
    <w:p w14:paraId="3EBFCFDD" w14:textId="77777777" w:rsidR="00EE24F2" w:rsidRDefault="00000000">
      <w:pPr>
        <w:pStyle w:val="FirstParagraph"/>
      </w:pPr>
      <w:r>
        <w:t xml:space="preserve">Le taux de morbidité pondéré global est de </w:t>
      </w:r>
      <w:r>
        <w:rPr>
          <w:b/>
          <w:bCs/>
        </w:rPr>
        <w:t>8.66%</w:t>
      </w:r>
      <w:r>
        <w:t xml:space="preserve"> contre </w:t>
      </w:r>
      <w:r>
        <w:rPr>
          <w:b/>
          <w:bCs/>
        </w:rPr>
        <w:t>9.31%</w:t>
      </w:r>
      <w:r>
        <w:t xml:space="preserve"> sans pondération. Les femmes restent plus touchées (</w:t>
      </w:r>
      <w:r>
        <w:rPr>
          <w:b/>
          <w:bCs/>
        </w:rPr>
        <w:t>10.4%</w:t>
      </w:r>
      <w:r>
        <w:t>) que les hommes (</w:t>
      </w:r>
      <w:r>
        <w:rPr>
          <w:b/>
          <w:bCs/>
        </w:rPr>
        <w:t>7.4%</w:t>
      </w:r>
      <w:r>
        <w:t xml:space="preserve">). Le taux augmente avec l’âge atteignant </w:t>
      </w:r>
      <w:r>
        <w:rPr>
          <w:b/>
          <w:bCs/>
        </w:rPr>
        <w:t>25.2%</w:t>
      </w:r>
      <w:r>
        <w:t xml:space="preserve"> chez les 65 ans et plus.</w:t>
      </w:r>
    </w:p>
    <w:p w14:paraId="5F962FEB" w14:textId="77777777" w:rsidR="00EE24F2" w:rsidRDefault="00000000">
      <w:pPr>
        <w:pStyle w:val="Titre2"/>
      </w:pPr>
      <w:bookmarkStart w:id="54" w:name="q15-pondéré-recours-aux-soins"/>
      <w:bookmarkStart w:id="55" w:name="_Toc225191199"/>
      <w:bookmarkEnd w:id="52"/>
      <w:r>
        <w:lastRenderedPageBreak/>
        <w:t>9.3 Q15 pondéré — Recours aux soins</w:t>
      </w:r>
      <w:bookmarkEnd w:id="55"/>
    </w:p>
    <w:p w14:paraId="1FB93406" w14:textId="77777777" w:rsidR="00EE24F2" w:rsidRDefault="00000000">
      <w:pPr>
        <w:pStyle w:val="FirstParagraph"/>
      </w:pPr>
      <w:r>
        <w:rPr>
          <w:noProof/>
        </w:rPr>
        <w:drawing>
          <wp:inline distT="0" distB="0" distL="0" distR="0" wp14:anchorId="68D0D970" wp14:editId="2F327CD9">
            <wp:extent cx="4620126" cy="3696101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rapport_final_files/figure-docx/q15-pond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D8201" w14:textId="77777777" w:rsidR="00EE24F2" w:rsidRDefault="00000000">
      <w:pPr>
        <w:pStyle w:val="Titre2"/>
      </w:pPr>
      <w:bookmarkStart w:id="56" w:name="interprétation-q15-pondéré"/>
      <w:bookmarkStart w:id="57" w:name="_Toc225191200"/>
      <w:bookmarkEnd w:id="54"/>
      <w:r>
        <w:t>9.4 Interprétation Q15 pondéré</w:t>
      </w:r>
      <w:bookmarkEnd w:id="57"/>
    </w:p>
    <w:p w14:paraId="64412033" w14:textId="77777777" w:rsidR="00EE24F2" w:rsidRDefault="00000000">
      <w:pPr>
        <w:pStyle w:val="FirstParagraph"/>
      </w:pPr>
      <w:r>
        <w:t>Après pondération le chimiste reste le prestataire le plus consulté. Les estimations pondérées sont plus représentatives de la population nigériane que les fréquences brutes.</w:t>
      </w:r>
    </w:p>
    <w:p w14:paraId="317D3B71" w14:textId="77777777" w:rsidR="00EE24F2" w:rsidRDefault="00000000">
      <w:pPr>
        <w:pStyle w:val="Titre2"/>
      </w:pPr>
      <w:bookmarkStart w:id="58" w:name="q17-pondéré-recours-aux-soins-quintile"/>
      <w:bookmarkStart w:id="59" w:name="_Toc225191201"/>
      <w:bookmarkEnd w:id="56"/>
      <w:r>
        <w:t>9.5 Q17 pondéré — Recours aux soins × Quintile</w:t>
      </w:r>
      <w:bookmarkEnd w:id="59"/>
    </w:p>
    <w:p w14:paraId="2C5E1BA5" w14:textId="77777777" w:rsidR="00EE24F2" w:rsidRDefault="00000000">
      <w:pPr>
        <w:pStyle w:val="TableCaption"/>
      </w:pPr>
      <w:r>
        <w:t>Tableau de contingence pondéré recours x quintile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7"/>
        <w:gridCol w:w="1242"/>
        <w:gridCol w:w="1242"/>
        <w:gridCol w:w="1242"/>
        <w:gridCol w:w="1242"/>
        <w:gridCol w:w="1242"/>
      </w:tblGrid>
      <w:tr w:rsidR="00EE24F2" w14:paraId="0020C74E" w14:textId="77777777" w:rsidTr="00EE2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574842" w14:textId="77777777" w:rsidR="00EE24F2" w:rsidRDefault="00EE24F2">
            <w:pPr>
              <w:pStyle w:val="Compact"/>
            </w:pPr>
          </w:p>
        </w:tc>
        <w:tc>
          <w:tcPr>
            <w:tcW w:w="0" w:type="auto"/>
          </w:tcPr>
          <w:p w14:paraId="7C7BD21B" w14:textId="77777777" w:rsidR="00EE24F2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538569C" w14:textId="77777777" w:rsidR="00EE24F2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D5F81CD" w14:textId="77777777" w:rsidR="00EE24F2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64037B39" w14:textId="77777777" w:rsidR="00EE24F2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49B2D2B" w14:textId="77777777" w:rsidR="00EE24F2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EE24F2" w14:paraId="28ABEFE2" w14:textId="77777777">
        <w:tc>
          <w:tcPr>
            <w:tcW w:w="0" w:type="auto"/>
          </w:tcPr>
          <w:p w14:paraId="048AB868" w14:textId="77777777" w:rsidR="00EE24F2" w:rsidRDefault="00000000">
            <w:pPr>
              <w:pStyle w:val="Compact"/>
            </w:pPr>
            <w:r>
              <w:t>Non consulte</w:t>
            </w:r>
          </w:p>
        </w:tc>
        <w:tc>
          <w:tcPr>
            <w:tcW w:w="0" w:type="auto"/>
          </w:tcPr>
          <w:p w14:paraId="58D122AE" w14:textId="77777777" w:rsidR="00EE24F2" w:rsidRDefault="00000000">
            <w:pPr>
              <w:pStyle w:val="Compact"/>
              <w:jc w:val="right"/>
            </w:pPr>
            <w:r>
              <w:t>37237345</w:t>
            </w:r>
          </w:p>
        </w:tc>
        <w:tc>
          <w:tcPr>
            <w:tcW w:w="0" w:type="auto"/>
          </w:tcPr>
          <w:p w14:paraId="6A2C5E90" w14:textId="77777777" w:rsidR="00EE24F2" w:rsidRDefault="00000000">
            <w:pPr>
              <w:pStyle w:val="Compact"/>
              <w:jc w:val="right"/>
            </w:pPr>
            <w:r>
              <w:t>26796001</w:t>
            </w:r>
          </w:p>
        </w:tc>
        <w:tc>
          <w:tcPr>
            <w:tcW w:w="0" w:type="auto"/>
          </w:tcPr>
          <w:p w14:paraId="43349CD8" w14:textId="77777777" w:rsidR="00EE24F2" w:rsidRDefault="00000000">
            <w:pPr>
              <w:pStyle w:val="Compact"/>
              <w:jc w:val="right"/>
            </w:pPr>
            <w:r>
              <w:t>22182645</w:t>
            </w:r>
          </w:p>
        </w:tc>
        <w:tc>
          <w:tcPr>
            <w:tcW w:w="0" w:type="auto"/>
          </w:tcPr>
          <w:p w14:paraId="5471DED6" w14:textId="77777777" w:rsidR="00EE24F2" w:rsidRDefault="00000000">
            <w:pPr>
              <w:pStyle w:val="Compact"/>
              <w:jc w:val="right"/>
            </w:pPr>
            <w:r>
              <w:t>17094457</w:t>
            </w:r>
          </w:p>
        </w:tc>
        <w:tc>
          <w:tcPr>
            <w:tcW w:w="0" w:type="auto"/>
          </w:tcPr>
          <w:p w14:paraId="2F7EA5D0" w14:textId="77777777" w:rsidR="00EE24F2" w:rsidRDefault="00000000">
            <w:pPr>
              <w:pStyle w:val="Compact"/>
              <w:jc w:val="right"/>
            </w:pPr>
            <w:r>
              <w:t>10644168</w:t>
            </w:r>
          </w:p>
        </w:tc>
      </w:tr>
      <w:tr w:rsidR="00EE24F2" w14:paraId="7144486A" w14:textId="77777777">
        <w:tc>
          <w:tcPr>
            <w:tcW w:w="0" w:type="auto"/>
          </w:tcPr>
          <w:p w14:paraId="671E8A57" w14:textId="77777777" w:rsidR="00EE24F2" w:rsidRDefault="00000000">
            <w:pPr>
              <w:pStyle w:val="Compact"/>
            </w:pPr>
            <w:r>
              <w:t>Consulte</w:t>
            </w:r>
          </w:p>
        </w:tc>
        <w:tc>
          <w:tcPr>
            <w:tcW w:w="0" w:type="auto"/>
          </w:tcPr>
          <w:p w14:paraId="19AE1243" w14:textId="77777777" w:rsidR="00EE24F2" w:rsidRDefault="00000000">
            <w:pPr>
              <w:pStyle w:val="Compact"/>
              <w:jc w:val="right"/>
            </w:pPr>
            <w:r>
              <w:t>2772143</w:t>
            </w:r>
          </w:p>
        </w:tc>
        <w:tc>
          <w:tcPr>
            <w:tcW w:w="0" w:type="auto"/>
          </w:tcPr>
          <w:p w14:paraId="45FF41F9" w14:textId="77777777" w:rsidR="00EE24F2" w:rsidRDefault="00000000">
            <w:pPr>
              <w:pStyle w:val="Compact"/>
              <w:jc w:val="right"/>
            </w:pPr>
            <w:r>
              <w:t>2190515</w:t>
            </w:r>
          </w:p>
        </w:tc>
        <w:tc>
          <w:tcPr>
            <w:tcW w:w="0" w:type="auto"/>
          </w:tcPr>
          <w:p w14:paraId="6C92B8AF" w14:textId="77777777" w:rsidR="00EE24F2" w:rsidRDefault="00000000">
            <w:pPr>
              <w:pStyle w:val="Compact"/>
              <w:jc w:val="right"/>
            </w:pPr>
            <w:r>
              <w:t>2320530</w:t>
            </w:r>
          </w:p>
        </w:tc>
        <w:tc>
          <w:tcPr>
            <w:tcW w:w="0" w:type="auto"/>
          </w:tcPr>
          <w:p w14:paraId="53C3F980" w14:textId="77777777" w:rsidR="00EE24F2" w:rsidRDefault="00000000">
            <w:pPr>
              <w:pStyle w:val="Compact"/>
              <w:jc w:val="right"/>
            </w:pPr>
            <w:r>
              <w:t>2012905</w:t>
            </w:r>
          </w:p>
        </w:tc>
        <w:tc>
          <w:tcPr>
            <w:tcW w:w="0" w:type="auto"/>
          </w:tcPr>
          <w:p w14:paraId="20477AF2" w14:textId="77777777" w:rsidR="00EE24F2" w:rsidRDefault="00000000">
            <w:pPr>
              <w:pStyle w:val="Compact"/>
              <w:jc w:val="right"/>
            </w:pPr>
            <w:r>
              <w:t>1502694</w:t>
            </w:r>
          </w:p>
        </w:tc>
      </w:tr>
    </w:tbl>
    <w:p w14:paraId="639AF4AE" w14:textId="77777777" w:rsidR="00EE24F2" w:rsidRDefault="00000000">
      <w:pPr>
        <w:pStyle w:val="SourceCode"/>
      </w:pPr>
      <w:r>
        <w:rPr>
          <w:rStyle w:val="VerbatimChar"/>
        </w:rPr>
        <w:t xml:space="preserve">Chi-deux pondéré: 7.048 </w:t>
      </w:r>
    </w:p>
    <w:p w14:paraId="4AA99FE3" w14:textId="77777777" w:rsidR="00EE24F2" w:rsidRDefault="00000000">
      <w:pPr>
        <w:pStyle w:val="SourceCode"/>
      </w:pPr>
      <w:r>
        <w:rPr>
          <w:rStyle w:val="VerbatimChar"/>
        </w:rPr>
        <w:t xml:space="preserve">p-value: 0 </w:t>
      </w:r>
    </w:p>
    <w:p w14:paraId="686797C9" w14:textId="77777777" w:rsidR="00EE24F2" w:rsidRDefault="00000000">
      <w:pPr>
        <w:pStyle w:val="Titre2"/>
      </w:pPr>
      <w:bookmarkStart w:id="60" w:name="interprétation-q17-pondéré"/>
      <w:bookmarkStart w:id="61" w:name="_Toc225191202"/>
      <w:bookmarkEnd w:id="58"/>
      <w:r>
        <w:t>9.6 Interprétation Q17 pondéré</w:t>
      </w:r>
      <w:bookmarkEnd w:id="61"/>
    </w:p>
    <w:p w14:paraId="6936EF6E" w14:textId="77777777" w:rsidR="00EE24F2" w:rsidRDefault="00000000">
      <w:pPr>
        <w:pStyle w:val="FirstParagraph"/>
      </w:pPr>
      <w:r>
        <w:t>Le test du Chi-deux pondéré confirme l’association entre recours aux soins et quintile de consommation. Les estimations pondérées sont plus précises car elles tiennent compte du plan de sondage.</w:t>
      </w:r>
    </w:p>
    <w:p w14:paraId="7B8C4100" w14:textId="77777777" w:rsidR="00EE24F2" w:rsidRDefault="00000000">
      <w:pPr>
        <w:pStyle w:val="Titre2"/>
      </w:pPr>
      <w:bookmarkStart w:id="62" w:name="X20f66777de2231c0de58487ca43a00d9771647e"/>
      <w:bookmarkStart w:id="63" w:name="_Toc225191203"/>
      <w:bookmarkEnd w:id="60"/>
      <w:r>
        <w:lastRenderedPageBreak/>
        <w:t>9.7 Q18 pondéré — Dépenses santé Rural vs Urbain</w:t>
      </w:r>
      <w:bookmarkEnd w:id="63"/>
    </w:p>
    <w:p w14:paraId="4EA6885F" w14:textId="77777777" w:rsidR="00EE24F2" w:rsidRDefault="00000000">
      <w:pPr>
        <w:pStyle w:val="FirstParagraph"/>
      </w:pPr>
      <w:r>
        <w:rPr>
          <w:noProof/>
        </w:rPr>
        <w:drawing>
          <wp:inline distT="0" distB="0" distL="0" distR="0" wp14:anchorId="3EEC5E88" wp14:editId="0CF36F1C">
            <wp:extent cx="4620126" cy="3696101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rapport_final_files/figure-docx/q18-pond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CA8997" w14:textId="77777777" w:rsidR="00EE24F2" w:rsidRDefault="00000000">
      <w:pPr>
        <w:pStyle w:val="SourceCode"/>
      </w:pPr>
      <w:r>
        <w:rPr>
          <w:rStyle w:val="VerbatimChar"/>
        </w:rPr>
        <w:t xml:space="preserve">Wilcoxon pondéré W: 0 </w:t>
      </w:r>
    </w:p>
    <w:p w14:paraId="260D40F8" w14:textId="77777777" w:rsidR="00EE24F2" w:rsidRDefault="00000000">
      <w:pPr>
        <w:pStyle w:val="SourceCode"/>
      </w:pPr>
      <w:r>
        <w:rPr>
          <w:rStyle w:val="VerbatimChar"/>
        </w:rPr>
        <w:t xml:space="preserve">p-value: 0.9825 </w:t>
      </w:r>
    </w:p>
    <w:p w14:paraId="65823F23" w14:textId="77777777" w:rsidR="00EE24F2" w:rsidRDefault="00000000">
      <w:pPr>
        <w:pStyle w:val="Titre2"/>
      </w:pPr>
      <w:bookmarkStart w:id="64" w:name="interprétation-q18-pondéré"/>
      <w:bookmarkStart w:id="65" w:name="_Toc225191204"/>
      <w:bookmarkEnd w:id="62"/>
      <w:r>
        <w:t>9.8 Interprétation Q18 pondéré</w:t>
      </w:r>
      <w:bookmarkEnd w:id="65"/>
    </w:p>
    <w:p w14:paraId="50BD01C6" w14:textId="77777777" w:rsidR="00EE24F2" w:rsidRDefault="00000000">
      <w:pPr>
        <w:pStyle w:val="FirstParagraph"/>
      </w:pPr>
      <w:r>
        <w:t>Le test de Wilcoxon pondéré confirme l’absence de différence significative des dépenses de santé entre zones rurales et urbaines. Les résultats sont robustes après prise en compte des pondérations. # Conclusion</w:t>
      </w:r>
    </w:p>
    <w:p w14:paraId="7DF9DD85" w14:textId="77777777" w:rsidR="00EE24F2" w:rsidRDefault="00000000">
      <w:pPr>
        <w:pStyle w:val="Corpsdetexte"/>
      </w:pPr>
      <w:r>
        <w:t>Cette analyse des données de santé du Nigeria GHS Panel Wave 4 revele :</w:t>
      </w:r>
    </w:p>
    <w:p w14:paraId="75B43A4A" w14:textId="77777777" w:rsidR="00EE24F2" w:rsidRDefault="00000000">
      <w:pPr>
        <w:pStyle w:val="Compact"/>
        <w:numPr>
          <w:ilvl w:val="0"/>
          <w:numId w:val="2"/>
        </w:numPr>
      </w:pPr>
      <w:r>
        <w:t xml:space="preserve">Un taux de morbidité global de </w:t>
      </w:r>
      <w:r>
        <w:rPr>
          <w:b/>
          <w:bCs/>
        </w:rPr>
        <w:t>9.31%</w:t>
      </w:r>
      <w:r>
        <w:t>, plus eleve chez les femmes et les personnes agees</w:t>
      </w:r>
    </w:p>
    <w:p w14:paraId="1E2D1635" w14:textId="77777777" w:rsidR="00EE24F2" w:rsidRDefault="00000000">
      <w:pPr>
        <w:pStyle w:val="Compact"/>
        <w:numPr>
          <w:ilvl w:val="0"/>
          <w:numId w:val="2"/>
        </w:numPr>
      </w:pPr>
      <w:r>
        <w:t xml:space="preserve">Le </w:t>
      </w:r>
      <w:r>
        <w:rPr>
          <w:b/>
          <w:bCs/>
        </w:rPr>
        <w:t>paludisme</w:t>
      </w:r>
      <w:r>
        <w:t xml:space="preserve"> comme principale affection (</w:t>
      </w:r>
      <w:r>
        <w:rPr>
          <w:b/>
          <w:bCs/>
        </w:rPr>
        <w:t>41.7%</w:t>
      </w:r>
      <w:r>
        <w:t xml:space="preserve"> des cas)</w:t>
      </w:r>
    </w:p>
    <w:p w14:paraId="42B9A354" w14:textId="77777777" w:rsidR="00EE24F2" w:rsidRDefault="00000000">
      <w:pPr>
        <w:pStyle w:val="Compact"/>
        <w:numPr>
          <w:ilvl w:val="0"/>
          <w:numId w:val="2"/>
        </w:numPr>
      </w:pPr>
      <w:r>
        <w:t xml:space="preserve">Le </w:t>
      </w:r>
      <w:r>
        <w:rPr>
          <w:b/>
          <w:bCs/>
        </w:rPr>
        <w:t>chimiste</w:t>
      </w:r>
      <w:r>
        <w:t xml:space="preserve"> comme premier recours aux soins (</w:t>
      </w:r>
      <w:r>
        <w:rPr>
          <w:b/>
          <w:bCs/>
        </w:rPr>
        <w:t>41.7%</w:t>
      </w:r>
      <w:r>
        <w:t>)</w:t>
      </w:r>
    </w:p>
    <w:p w14:paraId="66BBB092" w14:textId="77777777" w:rsidR="00EE24F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14.1%</w:t>
      </w:r>
      <w:r>
        <w:t xml:space="preserve"> des malades ne consultent personne</w:t>
      </w:r>
    </w:p>
    <w:p w14:paraId="4971AFD3" w14:textId="77777777" w:rsidR="00EE24F2" w:rsidRDefault="00000000">
      <w:pPr>
        <w:pStyle w:val="Compact"/>
        <w:numPr>
          <w:ilvl w:val="0"/>
          <w:numId w:val="2"/>
        </w:numPr>
      </w:pPr>
      <w:r>
        <w:t>Un lien significatif mais faible entre richesse et recours aux soins</w:t>
      </w:r>
    </w:p>
    <w:p w14:paraId="297302E0" w14:textId="77777777" w:rsidR="00EE24F2" w:rsidRDefault="00000000">
      <w:pPr>
        <w:pStyle w:val="Compact"/>
        <w:numPr>
          <w:ilvl w:val="0"/>
          <w:numId w:val="2"/>
        </w:numPr>
      </w:pPr>
      <w:r>
        <w:t>Pas de difference significative des dépenses entre zones rurales et urbaines</w:t>
      </w:r>
    </w:p>
    <w:p w14:paraId="3C422151" w14:textId="77777777" w:rsidR="00EE24F2" w:rsidRDefault="00000000">
      <w:pPr>
        <w:pStyle w:val="FirstParagraph"/>
      </w:pPr>
      <w:r>
        <w:t>Ces resultats soulignent la necessite de renforcer l’acces aux soins formels et de lutter contre le paludisme au Nigeria.</w:t>
      </w:r>
      <w:bookmarkEnd w:id="48"/>
      <w:bookmarkEnd w:id="64"/>
    </w:p>
    <w:sectPr w:rsidR="00EE24F2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E40E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F2A1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91650441">
    <w:abstractNumId w:val="0"/>
  </w:num>
  <w:num w:numId="2" w16cid:durableId="698892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24F2"/>
    <w:rsid w:val="006D27E2"/>
    <w:rsid w:val="009A26F4"/>
    <w:rsid w:val="00BC4A25"/>
    <w:rsid w:val="00EE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86F24"/>
  <w15:docId w15:val="{1AE45EED-20CF-485B-93F6-C8CEC04D6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M1">
    <w:name w:val="toc 1"/>
    <w:basedOn w:val="Normal"/>
    <w:next w:val="Normal"/>
    <w:autoRedefine/>
    <w:uiPriority w:val="39"/>
    <w:rsid w:val="00BC4A25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BC4A2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1410</Words>
  <Characters>7757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3 - Acces aux soins et dépenses de santé</dc:title>
  <dc:creator>Abdoul Aziz BA; Parfait Jemmy Prodige NGOYI</dc:creator>
  <cp:keywords/>
  <cp:lastModifiedBy>BA Abdoul Aziz</cp:lastModifiedBy>
  <cp:revision>3</cp:revision>
  <dcterms:created xsi:type="dcterms:W3CDTF">2026-03-23T19:45:00Z</dcterms:created>
  <dcterms:modified xsi:type="dcterms:W3CDTF">2026-03-23T19:56:00Z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2026-03-23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Nigeria GHS Panel Wave 4 (2018)</vt:lpwstr>
  </property>
  <property fmtid="{D5CDD505-2E9C-101B-9397-08002B2CF9AE}" pid="12" name="toc-title">
    <vt:lpwstr>Table des matières</vt:lpwstr>
  </property>
</Properties>
</file>