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A4AF" w14:textId="77777777" w:rsidR="00B35872" w:rsidRDefault="000576C5">
      <w:pPr>
        <w:spacing w:before="1440" w:after="400"/>
        <w:jc w:val="center"/>
      </w:pPr>
      <w:r>
        <w:rPr>
          <w:b/>
          <w:bCs/>
          <w:color w:val="1F497D"/>
          <w:sz w:val="52"/>
          <w:szCs w:val="52"/>
        </w:rPr>
        <w:t>Bases de données sur la migration</w:t>
      </w:r>
    </w:p>
    <w:p w14:paraId="20BBA4B0" w14:textId="77777777" w:rsidR="00B35872" w:rsidRDefault="000576C5">
      <w:pPr>
        <w:spacing w:after="200"/>
        <w:jc w:val="center"/>
      </w:pPr>
      <w:r>
        <w:rPr>
          <w:b/>
          <w:bCs/>
          <w:color w:val="1F497D"/>
          <w:sz w:val="48"/>
          <w:szCs w:val="48"/>
        </w:rPr>
        <w:t>en Afrique subsaharienne</w:t>
      </w:r>
    </w:p>
    <w:p w14:paraId="20BBA4B1" w14:textId="77777777" w:rsidR="00B35872" w:rsidRDefault="000576C5">
      <w:pPr>
        <w:spacing w:before="200" w:after="200"/>
        <w:jc w:val="center"/>
      </w:pPr>
      <w:r>
        <w:rPr>
          <w:i/>
          <w:iCs/>
          <w:color w:val="555555"/>
          <w:sz w:val="26"/>
          <w:szCs w:val="26"/>
        </w:rPr>
        <w:t>Description, sections couvertes, sources et liens de téléchargement</w:t>
      </w:r>
    </w:p>
    <w:p w14:paraId="20BBA4B2" w14:textId="77777777" w:rsidR="00B35872" w:rsidRDefault="000576C5">
      <w:pPr>
        <w:spacing w:before="200" w:after="1440"/>
        <w:jc w:val="center"/>
        <w:rPr>
          <w:color w:val="777777"/>
        </w:rPr>
      </w:pPr>
      <w:r>
        <w:rPr>
          <w:color w:val="777777"/>
        </w:rPr>
        <w:t>Février 2026</w:t>
      </w:r>
    </w:p>
    <w:p w14:paraId="7AD35292" w14:textId="2A22E2CB" w:rsidR="009F3679" w:rsidRDefault="009F3679">
      <w:pPr>
        <w:spacing w:before="200" w:after="1440"/>
        <w:jc w:val="center"/>
      </w:pPr>
      <w:r>
        <w:rPr>
          <w:color w:val="777777"/>
        </w:rPr>
        <w:t>Aboubacar Hema</w:t>
      </w:r>
    </w:p>
    <w:p w14:paraId="20BBA4B3" w14:textId="77777777" w:rsidR="00B35872" w:rsidRDefault="000576C5">
      <w:r>
        <w:br w:type="page"/>
      </w:r>
    </w:p>
    <w:p w14:paraId="20BBA4B4" w14:textId="77777777" w:rsidR="00B35872" w:rsidRDefault="000576C5">
      <w:pPr>
        <w:pStyle w:val="Heading1"/>
      </w:pPr>
      <w:r>
        <w:lastRenderedPageBreak/>
        <w:t>Introduction</w:t>
      </w:r>
    </w:p>
    <w:p w14:paraId="20BBA4B5" w14:textId="77777777" w:rsidR="00B35872" w:rsidRDefault="000576C5">
      <w:pPr>
        <w:spacing w:before="60" w:after="60"/>
      </w:pPr>
      <w:r>
        <w:t>La mesure de la migration en Afrique subsaharienne reste un défi méthodologique majeur. Peu de pays disposent de systèmes statistiques mesurant directement les entrées et sorties de leur territoire. Les principales sources disponibles sont les recensements généraux de la population, les enquêtes ménages spécialisées ou à module migration, et les sources administratives (registres de police des frontières, permis de séjour, fichiers des étrangers).</w:t>
      </w:r>
    </w:p>
    <w:p w14:paraId="20BBA4B6" w14:textId="77777777" w:rsidR="00B35872" w:rsidRDefault="000576C5">
      <w:pPr>
        <w:spacing w:before="60" w:after="60"/>
      </w:pPr>
      <w:r>
        <w:t>Ce document présente les principales bases de données quantitatives disponibles pour l'étude de la migration en Afrique subsaharienne, en les regroupant en trois catégories : les bases de données globales à couverture mondiale ou africaine large, les enquêtes spécialisées sur la migration, et les bases relatives aux réfugiés et déplacements forcés. Pour chaque source, sont indiqués la description, les sections couvertes, les institutions gestionnaires et les liens de téléchargement.</w:t>
      </w:r>
    </w:p>
    <w:p w14:paraId="20BBA4B7" w14:textId="77777777" w:rsidR="00B35872" w:rsidRDefault="000576C5">
      <w:r>
        <w:br w:type="page"/>
      </w:r>
    </w:p>
    <w:p w14:paraId="20BBA4B8" w14:textId="77777777" w:rsidR="00B35872" w:rsidRDefault="000576C5">
      <w:pPr>
        <w:pStyle w:val="Heading1"/>
      </w:pPr>
      <w:r>
        <w:lastRenderedPageBreak/>
        <w:t>I. Bases de données globales et agrégées</w:t>
      </w:r>
    </w:p>
    <w:p w14:paraId="20BBA4B9" w14:textId="77777777" w:rsidR="00B35872" w:rsidRDefault="00B35872">
      <w:pPr>
        <w:pBdr>
          <w:bottom w:val="single" w:sz="4" w:space="1" w:color="CCCCCC"/>
        </w:pBdr>
        <w:spacing w:before="120" w:after="120"/>
      </w:pPr>
    </w:p>
    <w:p w14:paraId="20BBA4BA" w14:textId="77777777" w:rsidR="00B35872" w:rsidRDefault="000576C5">
      <w:pPr>
        <w:pStyle w:val="Heading2"/>
      </w:pPr>
      <w:r>
        <w:t>1. UN DESA — International Migrant Stock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BB"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BC" w14:textId="77777777" w:rsidR="00B35872" w:rsidRDefault="000576C5">
            <w:r>
              <w:rPr>
                <w:sz w:val="20"/>
                <w:szCs w:val="20"/>
              </w:rPr>
              <w:t>Monde entier (233 pays et territoires)</w:t>
            </w:r>
          </w:p>
        </w:tc>
      </w:tr>
      <w:tr w:rsidR="00B35872" w14:paraId="20BBA4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BE"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BF" w14:textId="77777777" w:rsidR="00B35872" w:rsidRDefault="000576C5">
            <w:r>
              <w:rPr>
                <w:sz w:val="20"/>
                <w:szCs w:val="20"/>
              </w:rPr>
              <w:t>1990 – 2024 (points décennaux et quinquennaux)</w:t>
            </w:r>
          </w:p>
        </w:tc>
      </w:tr>
      <w:tr w:rsidR="00B35872" w14:paraId="20BBA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C1"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C2" w14:textId="77777777" w:rsidR="00B35872" w:rsidRDefault="000576C5">
            <w:r>
              <w:rPr>
                <w:sz w:val="20"/>
                <w:szCs w:val="20"/>
              </w:rPr>
              <w:t>Nations Unies — Département des Affaires Économiques et Sociales (DESA), Division de la Population</w:t>
            </w:r>
          </w:p>
        </w:tc>
      </w:tr>
      <w:tr w:rsidR="00B35872" w14:paraId="20BBA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C4"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C5" w14:textId="77777777" w:rsidR="00B35872" w:rsidRDefault="000576C5">
            <w:r>
              <w:rPr>
                <w:sz w:val="20"/>
                <w:szCs w:val="20"/>
              </w:rPr>
              <w:t>Libre et gratuit</w:t>
            </w:r>
          </w:p>
        </w:tc>
      </w:tr>
    </w:tbl>
    <w:p w14:paraId="20BBA4C7" w14:textId="77777777" w:rsidR="00B35872" w:rsidRDefault="00B35872">
      <w:pPr>
        <w:spacing w:before="120" w:after="60"/>
      </w:pPr>
    </w:p>
    <w:p w14:paraId="20BBA4C8" w14:textId="77777777" w:rsidR="00B35872" w:rsidRDefault="000576C5">
      <w:pPr>
        <w:spacing w:before="200" w:after="80"/>
      </w:pPr>
      <w:r>
        <w:rPr>
          <w:b/>
          <w:bCs/>
          <w:color w:val="404040"/>
          <w:sz w:val="24"/>
          <w:szCs w:val="24"/>
        </w:rPr>
        <w:t>Description</w:t>
      </w:r>
    </w:p>
    <w:p w14:paraId="20BBA4C9" w14:textId="77777777" w:rsidR="00B35872" w:rsidRDefault="000576C5">
      <w:pPr>
        <w:spacing w:before="60" w:after="60"/>
      </w:pPr>
      <w:r>
        <w:t>L'International Migrant Stock est la base de référence mondiale pour les stocks de migrants internationaux. Elle fournit des estimations du nombre de migrants internationaux (définis comme personnes nées dans un pays autre que celui de résidence) par pays de destination et d'origine, ventilées par sexe et groupe d'âge. Les estimations sont révisées tous les 2 à 5 ans en intégrant les nouvelles données issues de recensements, de registres de population et d'enquêtes nationales. La version 2024 couvre 233 pay</w:t>
      </w:r>
      <w:r>
        <w:t>s et territoires.</w:t>
      </w:r>
    </w:p>
    <w:p w14:paraId="20BBA4CA" w14:textId="77777777" w:rsidR="00B35872" w:rsidRDefault="000576C5">
      <w:pPr>
        <w:spacing w:before="200" w:after="80"/>
      </w:pPr>
      <w:r>
        <w:rPr>
          <w:b/>
          <w:bCs/>
          <w:color w:val="404040"/>
          <w:sz w:val="24"/>
          <w:szCs w:val="24"/>
        </w:rPr>
        <w:t>Sections couvertes</w:t>
      </w:r>
    </w:p>
    <w:p w14:paraId="20BBA4CB" w14:textId="77777777" w:rsidR="00B35872" w:rsidRDefault="000576C5">
      <w:pPr>
        <w:spacing w:before="60" w:after="60"/>
      </w:pPr>
      <w:r>
        <w:t>Stock de migrants par pays de destination (1990-2024), stock par pays d'origine, matrices bilatérales de migration (pays d'origine x pays de destination), ventilation par sexe et groupe d'âge, pourcentage des migrants dans la population totale, stock de réfugiés et demandeurs d'asile. Pour l'Afrique subsaharienne, les données couvrent les 63% de migrants subsahariens qui restent dans la région (migration intra-africaine).</w:t>
      </w:r>
    </w:p>
    <w:p w14:paraId="20BBA4CC" w14:textId="77777777" w:rsidR="00B35872" w:rsidRDefault="000576C5">
      <w:pPr>
        <w:spacing w:before="60" w:after="60"/>
      </w:pPr>
      <w:r>
        <w:rPr>
          <w:b/>
          <w:bCs/>
        </w:rPr>
        <w:t xml:space="preserve">Téléchargement : </w:t>
      </w:r>
      <w:hyperlink r:id="rId5" w:history="1">
        <w:r>
          <w:rPr>
            <w:color w:val="0563C1"/>
            <w:u w:val="single"/>
          </w:rPr>
          <w:t>https://www.un.org/development/desa/pd/content/international-migrant-stock</w:t>
        </w:r>
      </w:hyperlink>
    </w:p>
    <w:p w14:paraId="20BBA4CD" w14:textId="77777777" w:rsidR="00B35872" w:rsidRDefault="000576C5">
      <w:pPr>
        <w:spacing w:before="60" w:after="60"/>
      </w:pPr>
      <w:r>
        <w:rPr>
          <w:b/>
          <w:bCs/>
        </w:rPr>
        <w:t xml:space="preserve">Visualisation (Our World in Data) : </w:t>
      </w:r>
      <w:hyperlink r:id="rId6" w:history="1">
        <w:r>
          <w:rPr>
            <w:color w:val="0563C1"/>
            <w:u w:val="single"/>
          </w:rPr>
          <w:t>https://ourworldindata.org/migration</w:t>
        </w:r>
      </w:hyperlink>
    </w:p>
    <w:p w14:paraId="20BBA4CE" w14:textId="77777777" w:rsidR="00B35872" w:rsidRDefault="00B35872">
      <w:pPr>
        <w:pBdr>
          <w:bottom w:val="single" w:sz="4" w:space="1" w:color="CCCCCC"/>
        </w:pBdr>
        <w:spacing w:before="120" w:after="120"/>
      </w:pPr>
    </w:p>
    <w:p w14:paraId="20BBA4CF" w14:textId="77777777" w:rsidR="00B35872" w:rsidRDefault="000576C5">
      <w:pPr>
        <w:pStyle w:val="Heading2"/>
      </w:pPr>
      <w:r>
        <w:t>2. Banque Mondiale — Global Bilateral Migration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4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D0"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D1" w14:textId="77777777" w:rsidR="00B35872" w:rsidRDefault="000576C5">
            <w:r>
              <w:rPr>
                <w:sz w:val="20"/>
                <w:szCs w:val="20"/>
              </w:rPr>
              <w:t>Monde (226 x 226 pays)</w:t>
            </w:r>
          </w:p>
        </w:tc>
      </w:tr>
      <w:tr w:rsidR="00B35872" w14:paraId="20BBA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D3"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D4" w14:textId="77777777" w:rsidR="00B35872" w:rsidRDefault="000576C5">
            <w:r>
              <w:rPr>
                <w:sz w:val="20"/>
                <w:szCs w:val="20"/>
              </w:rPr>
              <w:t>1960 – 2000 (recensements décennaux)</w:t>
            </w:r>
          </w:p>
        </w:tc>
      </w:tr>
      <w:tr w:rsidR="00B35872" w14:paraId="20BBA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D6"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D7" w14:textId="77777777" w:rsidR="00B35872" w:rsidRDefault="000576C5">
            <w:r>
              <w:rPr>
                <w:sz w:val="20"/>
                <w:szCs w:val="20"/>
              </w:rPr>
              <w:t>Banque Mondiale — Development Research Group (Özden, Parsons, Schiff, Walmsley)</w:t>
            </w:r>
          </w:p>
        </w:tc>
      </w:tr>
      <w:tr w:rsidR="00B35872" w14:paraId="20BBA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D9"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DA" w14:textId="77777777" w:rsidR="00B35872" w:rsidRDefault="000576C5">
            <w:r>
              <w:rPr>
                <w:sz w:val="20"/>
                <w:szCs w:val="20"/>
              </w:rPr>
              <w:t>Libre et gratuit</w:t>
            </w:r>
          </w:p>
        </w:tc>
      </w:tr>
    </w:tbl>
    <w:p w14:paraId="20BBA4DC" w14:textId="77777777" w:rsidR="00B35872" w:rsidRDefault="00B35872">
      <w:pPr>
        <w:spacing w:before="120" w:after="60"/>
      </w:pPr>
    </w:p>
    <w:p w14:paraId="20BBA4DD" w14:textId="77777777" w:rsidR="00B35872" w:rsidRDefault="000576C5">
      <w:pPr>
        <w:spacing w:before="200" w:after="80"/>
      </w:pPr>
      <w:r>
        <w:rPr>
          <w:b/>
          <w:bCs/>
          <w:color w:val="404040"/>
          <w:sz w:val="24"/>
          <w:szCs w:val="24"/>
        </w:rPr>
        <w:t>Description</w:t>
      </w:r>
    </w:p>
    <w:p w14:paraId="20BBA4DE" w14:textId="77777777" w:rsidR="00B35872" w:rsidRDefault="000576C5">
      <w:pPr>
        <w:spacing w:before="60" w:after="60"/>
      </w:pPr>
      <w:r>
        <w:t xml:space="preserve">Cette base compile des matrices mondiales de stocks bilatéraux de migrants à partir de plus de 1 000 recensements et registres de population. Elle est construite sur le concept de population née à l'étranger (foreign-born) et désagrégée par sexe. Elle demeure l'une des rares sources </w:t>
      </w:r>
      <w:r>
        <w:lastRenderedPageBreak/>
        <w:t>permettant des analyses historiques longues des corridors migratoires depuis 1960, y compris pour les flux Sud-Sud en Afrique.</w:t>
      </w:r>
    </w:p>
    <w:p w14:paraId="20BBA4DF" w14:textId="77777777" w:rsidR="00B35872" w:rsidRDefault="000576C5">
      <w:pPr>
        <w:spacing w:before="200" w:after="80"/>
      </w:pPr>
      <w:r>
        <w:rPr>
          <w:b/>
          <w:bCs/>
          <w:color w:val="404040"/>
          <w:sz w:val="24"/>
          <w:szCs w:val="24"/>
        </w:rPr>
        <w:t>Sections couvertes</w:t>
      </w:r>
    </w:p>
    <w:p w14:paraId="20BBA4E0" w14:textId="77777777" w:rsidR="00B35872" w:rsidRDefault="000576C5">
      <w:pPr>
        <w:spacing w:before="60" w:after="60"/>
      </w:pPr>
      <w:r>
        <w:t>Matrices bilatérales de stocks de migrants par pays d'origine et de destination pour les années de recensement (1960, 1970, 1980, 1990, 2000), désagrégées par sexe, basées sur la notion de personne née à l'étranger (concept foreign-born). Permet de calculer les taux d'émigration et les corridors migratoires principaux.</w:t>
      </w:r>
    </w:p>
    <w:p w14:paraId="20BBA4E1" w14:textId="77777777" w:rsidR="00B35872" w:rsidRDefault="000576C5">
      <w:pPr>
        <w:spacing w:before="60" w:after="60"/>
      </w:pPr>
      <w:r>
        <w:rPr>
          <w:b/>
          <w:bCs/>
        </w:rPr>
        <w:t xml:space="preserve">Téléchargement (DataBank) : </w:t>
      </w:r>
      <w:hyperlink r:id="rId7" w:history="1">
        <w:r>
          <w:rPr>
            <w:color w:val="0563C1"/>
            <w:u w:val="single"/>
          </w:rPr>
          <w:t>https://databank.worldbank.org/source/global-bilateral-migration</w:t>
        </w:r>
      </w:hyperlink>
    </w:p>
    <w:p w14:paraId="20BBA4E2" w14:textId="77777777" w:rsidR="00B35872" w:rsidRDefault="000576C5">
      <w:pPr>
        <w:spacing w:before="60" w:after="60"/>
      </w:pPr>
      <w:r>
        <w:rPr>
          <w:b/>
          <w:bCs/>
        </w:rPr>
        <w:t xml:space="preserve">Catalogue Données : </w:t>
      </w:r>
      <w:hyperlink r:id="rId8" w:history="1">
        <w:r>
          <w:rPr>
            <w:color w:val="0563C1"/>
            <w:u w:val="single"/>
          </w:rPr>
          <w:t>https://datacatalog.worldbank.org/dataset/global-bilateral-migration-database</w:t>
        </w:r>
      </w:hyperlink>
    </w:p>
    <w:p w14:paraId="20BBA4E3" w14:textId="77777777" w:rsidR="00B35872" w:rsidRDefault="00B35872">
      <w:pPr>
        <w:pBdr>
          <w:bottom w:val="single" w:sz="4" w:space="1" w:color="CCCCCC"/>
        </w:pBdr>
        <w:spacing w:before="120" w:after="120"/>
      </w:pPr>
    </w:p>
    <w:p w14:paraId="20BBA4E4" w14:textId="77777777" w:rsidR="00B35872" w:rsidRDefault="000576C5">
      <w:pPr>
        <w:pStyle w:val="Heading2"/>
      </w:pPr>
      <w:r>
        <w:t>3. IOM / GMDAC — Migration Data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4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E5"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E6" w14:textId="77777777" w:rsidR="00B35872" w:rsidRDefault="000576C5">
            <w:r>
              <w:rPr>
                <w:sz w:val="20"/>
                <w:szCs w:val="20"/>
              </w:rPr>
              <w:t>Monde entier (dont Afrique subsaharienne)</w:t>
            </w:r>
          </w:p>
        </w:tc>
      </w:tr>
      <w:tr w:rsidR="00B35872" w14:paraId="20BBA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E8"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E9" w14:textId="77777777" w:rsidR="00B35872" w:rsidRDefault="000576C5">
            <w:r>
              <w:rPr>
                <w:sz w:val="20"/>
                <w:szCs w:val="20"/>
              </w:rPr>
              <w:t>Variable selon les indicateurs</w:t>
            </w:r>
          </w:p>
        </w:tc>
      </w:tr>
      <w:tr w:rsidR="00B35872" w14:paraId="20BBA4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EB"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EC" w14:textId="77777777" w:rsidR="00B35872" w:rsidRDefault="000576C5">
            <w:r>
              <w:rPr>
                <w:sz w:val="20"/>
                <w:szCs w:val="20"/>
              </w:rPr>
              <w:t>Organisation Internationale pour les Migrations (OIM) / Global Migration Data Analysis Centre (GMDAC)</w:t>
            </w:r>
          </w:p>
        </w:tc>
      </w:tr>
      <w:tr w:rsidR="00B35872" w14:paraId="20BBA4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EE"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EF" w14:textId="77777777" w:rsidR="00B35872" w:rsidRDefault="000576C5">
            <w:r>
              <w:rPr>
                <w:sz w:val="20"/>
                <w:szCs w:val="20"/>
              </w:rPr>
              <w:t>Libre et gratuit</w:t>
            </w:r>
          </w:p>
        </w:tc>
      </w:tr>
    </w:tbl>
    <w:p w14:paraId="20BBA4F1" w14:textId="77777777" w:rsidR="00B35872" w:rsidRDefault="00B35872">
      <w:pPr>
        <w:spacing w:before="120" w:after="60"/>
      </w:pPr>
    </w:p>
    <w:p w14:paraId="20BBA4F2" w14:textId="77777777" w:rsidR="00B35872" w:rsidRDefault="000576C5">
      <w:pPr>
        <w:spacing w:before="200" w:after="80"/>
      </w:pPr>
      <w:r>
        <w:rPr>
          <w:b/>
          <w:bCs/>
          <w:color w:val="404040"/>
          <w:sz w:val="24"/>
          <w:szCs w:val="24"/>
        </w:rPr>
        <w:t>Description</w:t>
      </w:r>
    </w:p>
    <w:p w14:paraId="20BBA4F3" w14:textId="77777777" w:rsidR="00B35872" w:rsidRDefault="000576C5">
      <w:pPr>
        <w:spacing w:before="60" w:after="60"/>
      </w:pPr>
      <w:r>
        <w:t>Le Migration Data Portal est un portail agrégateur qui centralise les statistiques migratoires mondiales issues de multiples sources officielles (OIM, UNHCR, OCDE, ONU, Eurostat, INS nationaux). Il permet un accès unifié à des indicateurs comparables entre pays et régions, avec des visualisations interactives et des pages thématiques régulièrement mises à jour. Une page dédiée à l'Afrique de l'Ouest décrit les défis spécifiques des données migratoires dans la région.</w:t>
      </w:r>
    </w:p>
    <w:p w14:paraId="20BBA4F4" w14:textId="77777777" w:rsidR="00B35872" w:rsidRDefault="000576C5">
      <w:pPr>
        <w:spacing w:before="200" w:after="80"/>
      </w:pPr>
      <w:r>
        <w:rPr>
          <w:b/>
          <w:bCs/>
          <w:color w:val="404040"/>
          <w:sz w:val="24"/>
          <w:szCs w:val="24"/>
        </w:rPr>
        <w:t>Sections couvertes</w:t>
      </w:r>
    </w:p>
    <w:p w14:paraId="20BBA4F5" w14:textId="77777777" w:rsidR="00B35872" w:rsidRDefault="000576C5">
      <w:pPr>
        <w:spacing w:before="60" w:after="60"/>
      </w:pPr>
      <w:r>
        <w:t>Stocks de migrants internationaux, flux migratoires, transferts de fonds (remittances), migration de travail, réfugiés et déplacements forcés, migrants disparus (Missing Migrants Project), coût des envois de fonds, gouvernance migratoire (Migration Governance Indicators), indicateurs ODD liés à la migration, données par corridor et par région africaine (Afrique de l'Ouest, de l'Est, australe, centrale).</w:t>
      </w:r>
    </w:p>
    <w:p w14:paraId="20BBA4F6" w14:textId="77777777" w:rsidR="00B35872" w:rsidRDefault="000576C5">
      <w:pPr>
        <w:spacing w:before="60" w:after="60"/>
      </w:pPr>
      <w:r>
        <w:rPr>
          <w:b/>
          <w:bCs/>
        </w:rPr>
        <w:t xml:space="preserve">Portail principal : </w:t>
      </w:r>
      <w:hyperlink r:id="rId9" w:history="1">
        <w:r>
          <w:rPr>
            <w:color w:val="0563C1"/>
            <w:u w:val="single"/>
          </w:rPr>
          <w:t>https://www.migrationdataportal.org/</w:t>
        </w:r>
      </w:hyperlink>
    </w:p>
    <w:p w14:paraId="20BBA4F7" w14:textId="77777777" w:rsidR="00B35872" w:rsidRDefault="000576C5">
      <w:pPr>
        <w:spacing w:before="60" w:after="60"/>
      </w:pPr>
      <w:r>
        <w:rPr>
          <w:b/>
          <w:bCs/>
        </w:rPr>
        <w:t xml:space="preserve">Données Afrique de l'Ouest : </w:t>
      </w:r>
      <w:hyperlink r:id="rId10" w:history="1">
        <w:r>
          <w:rPr>
            <w:color w:val="0563C1"/>
            <w:u w:val="single"/>
          </w:rPr>
          <w:t>https://www.migrationdataportal.org/regional-data-overview/western-africa</w:t>
        </w:r>
      </w:hyperlink>
    </w:p>
    <w:p w14:paraId="20BBA4F8" w14:textId="77777777" w:rsidR="00B35872" w:rsidRDefault="000576C5">
      <w:pPr>
        <w:spacing w:before="60" w:after="60"/>
      </w:pPr>
      <w:r>
        <w:rPr>
          <w:b/>
          <w:bCs/>
        </w:rPr>
        <w:t xml:space="preserve">Catalogue de données : </w:t>
      </w:r>
      <w:hyperlink r:id="rId11" w:history="1">
        <w:r>
          <w:rPr>
            <w:color w:val="0563C1"/>
            <w:u w:val="single"/>
          </w:rPr>
          <w:t>https://www.migrationdataportal.org/data-catalogue</w:t>
        </w:r>
      </w:hyperlink>
    </w:p>
    <w:p w14:paraId="20BBA4F9" w14:textId="77777777" w:rsidR="00B35872" w:rsidRDefault="00B35872">
      <w:pPr>
        <w:pBdr>
          <w:bottom w:val="single" w:sz="4" w:space="1" w:color="CCCCCC"/>
        </w:pBdr>
        <w:spacing w:before="120" w:after="120"/>
      </w:pPr>
    </w:p>
    <w:p w14:paraId="20BBA4FA" w14:textId="77777777" w:rsidR="00B35872" w:rsidRDefault="000576C5">
      <w:pPr>
        <w:pStyle w:val="Heading2"/>
      </w:pPr>
      <w:r>
        <w:t>4. KNOMAD / Banque Mondiale — Données sur les transferts de fonds (Remittances)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4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FB"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FC" w14:textId="77777777" w:rsidR="00B35872" w:rsidRDefault="000576C5">
            <w:r>
              <w:rPr>
                <w:sz w:val="20"/>
                <w:szCs w:val="20"/>
              </w:rPr>
              <w:t>Monde entier (dont corridors africains)</w:t>
            </w:r>
          </w:p>
        </w:tc>
      </w:tr>
      <w:tr w:rsidR="00B35872" w14:paraId="20BBA5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4FE" w14:textId="77777777" w:rsidR="00B35872" w:rsidRDefault="000576C5">
            <w:r>
              <w:rPr>
                <w:b/>
                <w:bCs/>
                <w:sz w:val="20"/>
                <w:szCs w:val="20"/>
              </w:rPr>
              <w:lastRenderedPageBreak/>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4FF" w14:textId="77777777" w:rsidR="00B35872" w:rsidRDefault="000576C5">
            <w:r>
              <w:rPr>
                <w:sz w:val="20"/>
                <w:szCs w:val="20"/>
              </w:rPr>
              <w:t>Annuel depuis 1970 (bilatéral depuis 2000)</w:t>
            </w:r>
          </w:p>
        </w:tc>
      </w:tr>
      <w:tr w:rsidR="00B35872" w14:paraId="20BBA5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01"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02" w14:textId="77777777" w:rsidR="00B35872" w:rsidRDefault="000576C5">
            <w:r>
              <w:rPr>
                <w:sz w:val="20"/>
                <w:szCs w:val="20"/>
              </w:rPr>
              <w:t>KNOMAD / Banque Mondiale (Dilip Ratha et al.)</w:t>
            </w:r>
          </w:p>
        </w:tc>
      </w:tr>
      <w:tr w:rsidR="00B35872" w14:paraId="20BBA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04"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05" w14:textId="77777777" w:rsidR="00B35872" w:rsidRDefault="000576C5">
            <w:r>
              <w:rPr>
                <w:sz w:val="20"/>
                <w:szCs w:val="20"/>
              </w:rPr>
              <w:t>Libre et gratuit</w:t>
            </w:r>
          </w:p>
        </w:tc>
      </w:tr>
    </w:tbl>
    <w:p w14:paraId="20BBA507" w14:textId="77777777" w:rsidR="00B35872" w:rsidRDefault="00B35872">
      <w:pPr>
        <w:spacing w:before="120" w:after="60"/>
      </w:pPr>
    </w:p>
    <w:p w14:paraId="20BBA508" w14:textId="77777777" w:rsidR="00B35872" w:rsidRDefault="000576C5">
      <w:pPr>
        <w:spacing w:before="200" w:after="80"/>
      </w:pPr>
      <w:r>
        <w:rPr>
          <w:b/>
          <w:bCs/>
          <w:color w:val="404040"/>
          <w:sz w:val="24"/>
          <w:szCs w:val="24"/>
        </w:rPr>
        <w:t>Description</w:t>
      </w:r>
    </w:p>
    <w:p w14:paraId="20BBA509" w14:textId="77777777" w:rsidR="00B35872" w:rsidRDefault="000576C5">
      <w:pPr>
        <w:spacing w:before="60" w:after="60"/>
      </w:pPr>
      <w:r>
        <w:t xml:space="preserve">La Banque Mondiale publie chaque année des estimations mondiales des flux de transferts de fonds via ses Migration and Development Briefs, compilées à partir des statistiques de balance des paiements des banques centrales et de l'IMF. Elle produit également des matrices bilatérales de remises estimées, calculées en pondérant les stocks de migrants par leur revenu dans le pays d'accueil et le pays d'origine (méthode Ratha &amp; Shaw, 2007). Les flux intra-africains représentent 37% des remises reçues en Afrique </w:t>
      </w:r>
      <w:r>
        <w:t>subsaharienne, ce qui souligne l'importance de la migration Sud-Sud.</w:t>
      </w:r>
    </w:p>
    <w:p w14:paraId="20BBA50A" w14:textId="77777777" w:rsidR="00B35872" w:rsidRDefault="000576C5">
      <w:pPr>
        <w:spacing w:before="200" w:after="80"/>
      </w:pPr>
      <w:r>
        <w:rPr>
          <w:b/>
          <w:bCs/>
          <w:color w:val="404040"/>
          <w:sz w:val="24"/>
          <w:szCs w:val="24"/>
        </w:rPr>
        <w:t>Sections couvertes</w:t>
      </w:r>
    </w:p>
    <w:p w14:paraId="20BBA50B" w14:textId="77777777" w:rsidR="00B35872" w:rsidRDefault="000576C5">
      <w:pPr>
        <w:spacing w:before="60" w:after="60"/>
      </w:pPr>
      <w:r>
        <w:t>Flux annuels de remises par pays (entrées et sorties), matrices bilatérales de remises estimées, coûts d'envoi par corridor (Remittance Prices Worldwide database), données sur les canaux formels et informels, analyse par région et niveau de revenu, indicateurs ODD 10.c.1 (coût moyen des envois de fonds).</w:t>
      </w:r>
    </w:p>
    <w:p w14:paraId="20BBA50C" w14:textId="77777777" w:rsidR="00B35872" w:rsidRDefault="000576C5">
      <w:pPr>
        <w:spacing w:before="60" w:after="60"/>
      </w:pPr>
      <w:r>
        <w:rPr>
          <w:b/>
          <w:bCs/>
        </w:rPr>
        <w:t xml:space="preserve">Données remittances (KNOMAD) : </w:t>
      </w:r>
      <w:hyperlink r:id="rId12" w:history="1">
        <w:r>
          <w:rPr>
            <w:color w:val="0563C1"/>
            <w:u w:val="single"/>
          </w:rPr>
          <w:t>https://www.worldbank.org/en/topic/migrationremittancesdiasporaissues/brief/migration-remittances-data</w:t>
        </w:r>
      </w:hyperlink>
    </w:p>
    <w:p w14:paraId="20BBA50D" w14:textId="77777777" w:rsidR="00B35872" w:rsidRDefault="000576C5">
      <w:pPr>
        <w:spacing w:before="60" w:after="60"/>
      </w:pPr>
      <w:r>
        <w:rPr>
          <w:b/>
          <w:bCs/>
        </w:rPr>
        <w:t xml:space="preserve">Matrice bilatérale 2021 (XLSX) : </w:t>
      </w:r>
      <w:hyperlink r:id="rId13" w:history="1">
        <w:r>
          <w:rPr>
            <w:color w:val="0563C1"/>
            <w:u w:val="single"/>
          </w:rPr>
          <w:t>https://www.knomad.org/data/remittances</w:t>
        </w:r>
      </w:hyperlink>
    </w:p>
    <w:p w14:paraId="20BBA50E" w14:textId="77777777" w:rsidR="00B35872" w:rsidRDefault="00B35872">
      <w:pPr>
        <w:pBdr>
          <w:bottom w:val="single" w:sz="4" w:space="1" w:color="CCCCCC"/>
        </w:pBdr>
        <w:spacing w:before="120" w:after="120"/>
      </w:pPr>
    </w:p>
    <w:p w14:paraId="20BBA50F" w14:textId="77777777" w:rsidR="00B35872" w:rsidRDefault="000576C5">
      <w:pPr>
        <w:pStyle w:val="Heading2"/>
      </w:pPr>
      <w:r>
        <w:t>5. Africa Migration Data Network (AMDN)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10"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11" w14:textId="77777777" w:rsidR="00B35872" w:rsidRDefault="000576C5">
            <w:r>
              <w:rPr>
                <w:sz w:val="20"/>
                <w:szCs w:val="20"/>
              </w:rPr>
              <w:t>Afrique (ensemble du continent)</w:t>
            </w:r>
          </w:p>
        </w:tc>
      </w:tr>
      <w:tr w:rsidR="00B35872" w14:paraId="20BBA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13"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14" w14:textId="77777777" w:rsidR="00B35872" w:rsidRDefault="000576C5">
            <w:r>
              <w:rPr>
                <w:sz w:val="20"/>
                <w:szCs w:val="20"/>
              </w:rPr>
              <w:t>En cours (réseau actif)</w:t>
            </w:r>
          </w:p>
        </w:tc>
      </w:tr>
      <w:tr w:rsidR="00B35872" w14:paraId="20BBA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16"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17" w14:textId="77777777" w:rsidR="00B35872" w:rsidRDefault="000576C5">
            <w:r>
              <w:rPr>
                <w:sz w:val="20"/>
                <w:szCs w:val="20"/>
              </w:rPr>
              <w:t>OIM / GMDAC en collaboration avec StatAfric (Tunis) et les INS africains</w:t>
            </w:r>
          </w:p>
        </w:tc>
      </w:tr>
      <w:tr w:rsidR="00B35872" w14:paraId="20BBA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19"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1A" w14:textId="77777777" w:rsidR="00B35872" w:rsidRDefault="000576C5">
            <w:r>
              <w:rPr>
                <w:sz w:val="20"/>
                <w:szCs w:val="20"/>
              </w:rPr>
              <w:t>Rapports et ressources en ligne, accès libre</w:t>
            </w:r>
          </w:p>
        </w:tc>
      </w:tr>
    </w:tbl>
    <w:p w14:paraId="20BBA51C" w14:textId="77777777" w:rsidR="00B35872" w:rsidRDefault="00B35872">
      <w:pPr>
        <w:spacing w:before="120" w:after="60"/>
      </w:pPr>
    </w:p>
    <w:p w14:paraId="20BBA51D" w14:textId="77777777" w:rsidR="00B35872" w:rsidRDefault="000576C5">
      <w:pPr>
        <w:spacing w:before="200" w:after="80"/>
      </w:pPr>
      <w:r>
        <w:rPr>
          <w:b/>
          <w:bCs/>
          <w:color w:val="404040"/>
          <w:sz w:val="24"/>
          <w:szCs w:val="24"/>
        </w:rPr>
        <w:t>Description</w:t>
      </w:r>
    </w:p>
    <w:p w14:paraId="20BBA51E" w14:textId="77777777" w:rsidR="00B35872" w:rsidRDefault="000576C5">
      <w:pPr>
        <w:spacing w:before="60" w:after="60"/>
      </w:pPr>
      <w:r>
        <w:t>L'AMDN est un réseau continental visant à améliorer la qualité, la disponibilité et le partage des données sur la migration en Afrique. Ses activités comprennent la publication d'un rapport biennal sur les données migratoires en Afrique basé sur les statistiques nationales, des séminaires thématiques, et le renforcement des capacités statistiques des pays membres pour harmoniser les définitions et méthodes de collecte.</w:t>
      </w:r>
    </w:p>
    <w:p w14:paraId="20BBA51F" w14:textId="77777777" w:rsidR="00B35872" w:rsidRDefault="000576C5">
      <w:pPr>
        <w:spacing w:before="200" w:after="80"/>
      </w:pPr>
      <w:r>
        <w:rPr>
          <w:b/>
          <w:bCs/>
          <w:color w:val="404040"/>
          <w:sz w:val="24"/>
          <w:szCs w:val="24"/>
        </w:rPr>
        <w:t>Sections couvertes</w:t>
      </w:r>
    </w:p>
    <w:p w14:paraId="20BBA520" w14:textId="77777777" w:rsidR="00B35872" w:rsidRDefault="000576C5">
      <w:pPr>
        <w:spacing w:before="60" w:after="60"/>
      </w:pPr>
      <w:r>
        <w:lastRenderedPageBreak/>
        <w:t>Panorama des statistiques migratoires disponibles par pays africain, bonnes pratiques de collecte de données, harmonisation des concepts et définitions de migration, données sur les remises en Afrique, impacts du COVID-19 sur les flux migratoires et la collecte de données.</w:t>
      </w:r>
    </w:p>
    <w:p w14:paraId="20BBA521" w14:textId="77777777" w:rsidR="00B35872" w:rsidRDefault="000576C5">
      <w:pPr>
        <w:spacing w:before="60" w:after="60"/>
      </w:pPr>
      <w:r>
        <w:rPr>
          <w:b/>
          <w:bCs/>
        </w:rPr>
        <w:t xml:space="preserve">Site AMDN : </w:t>
      </w:r>
      <w:hyperlink r:id="rId14" w:history="1">
        <w:r>
          <w:rPr>
            <w:color w:val="0563C1"/>
            <w:u w:val="single"/>
          </w:rPr>
          <w:t>https://gmdac.iom.int/africa-migration-data-network-amdn</w:t>
        </w:r>
      </w:hyperlink>
    </w:p>
    <w:p w14:paraId="20BBA522" w14:textId="77777777" w:rsidR="00B35872" w:rsidRDefault="000576C5">
      <w:r>
        <w:br w:type="page"/>
      </w:r>
    </w:p>
    <w:p w14:paraId="20BBA523" w14:textId="77777777" w:rsidR="00B35872" w:rsidRDefault="000576C5">
      <w:pPr>
        <w:pStyle w:val="Heading1"/>
      </w:pPr>
      <w:r>
        <w:lastRenderedPageBreak/>
        <w:t>II. Enquêtes spécialisées sur la migration</w:t>
      </w:r>
    </w:p>
    <w:p w14:paraId="20BBA524" w14:textId="77777777" w:rsidR="00B35872" w:rsidRDefault="00B35872">
      <w:pPr>
        <w:pBdr>
          <w:bottom w:val="single" w:sz="4" w:space="1" w:color="CCCCCC"/>
        </w:pBdr>
        <w:spacing w:before="120" w:after="120"/>
      </w:pPr>
    </w:p>
    <w:p w14:paraId="20BBA525" w14:textId="77777777" w:rsidR="00B35872" w:rsidRDefault="000576C5">
      <w:pPr>
        <w:pStyle w:val="Heading2"/>
      </w:pPr>
      <w:r>
        <w:t>6. MAFE — Migrations entre l'Afrique et l'Europe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26"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27" w14:textId="77777777" w:rsidR="00B35872" w:rsidRDefault="000576C5">
            <w:r>
              <w:rPr>
                <w:sz w:val="20"/>
                <w:szCs w:val="20"/>
              </w:rPr>
              <w:t>Sénégal, Ghana, RD Congo (Afrique) ; France, Espagne, Italie, Belgique, Royaume-Uni, Pays-Bas (Europe)</w:t>
            </w:r>
          </w:p>
        </w:tc>
      </w:tr>
      <w:tr w:rsidR="00B35872" w14:paraId="20BBA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29"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2A" w14:textId="77777777" w:rsidR="00B35872" w:rsidRDefault="000576C5">
            <w:r>
              <w:rPr>
                <w:sz w:val="20"/>
                <w:szCs w:val="20"/>
              </w:rPr>
              <w:t>2008 – 2010 (biographies rétrospectives couvrant toute la vie des enquêtés)</w:t>
            </w:r>
          </w:p>
        </w:tc>
      </w:tr>
      <w:tr w:rsidR="00B35872" w14:paraId="20BBA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2C"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2D" w14:textId="77777777" w:rsidR="00B35872" w:rsidRDefault="000576C5">
            <w:r>
              <w:rPr>
                <w:sz w:val="20"/>
                <w:szCs w:val="20"/>
              </w:rPr>
              <w:t>INED (France) / UCLouvain (Belgique) + 10 institutions partenaires africaines et européennes</w:t>
            </w:r>
          </w:p>
        </w:tc>
      </w:tr>
      <w:tr w:rsidR="00B35872" w14:paraId="20BBA5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2F" w14:textId="77777777" w:rsidR="00B35872" w:rsidRDefault="000576C5">
            <w:r>
              <w:rPr>
                <w:b/>
                <w:bCs/>
                <w:sz w:val="20"/>
                <w:szCs w:val="20"/>
              </w:rPr>
              <w:t>Financement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30" w14:textId="77777777" w:rsidR="00B35872" w:rsidRDefault="000576C5">
            <w:r>
              <w:rPr>
                <w:sz w:val="20"/>
                <w:szCs w:val="20"/>
              </w:rPr>
              <w:t>7e Programme-Cadre de la Commission européenne (subvention 217206)</w:t>
            </w:r>
          </w:p>
        </w:tc>
      </w:tr>
      <w:tr w:rsidR="00B35872" w14:paraId="20BBA5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32"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33" w14:textId="77777777" w:rsidR="00B35872" w:rsidRDefault="000576C5">
            <w:r>
              <w:rPr>
                <w:sz w:val="20"/>
                <w:szCs w:val="20"/>
              </w:rPr>
              <w:t>Libre et gratuit (après enregistrement sur le portail INED)</w:t>
            </w:r>
          </w:p>
        </w:tc>
      </w:tr>
    </w:tbl>
    <w:p w14:paraId="20BBA535" w14:textId="77777777" w:rsidR="00B35872" w:rsidRDefault="00B35872">
      <w:pPr>
        <w:spacing w:before="120" w:after="60"/>
      </w:pPr>
    </w:p>
    <w:p w14:paraId="20BBA536" w14:textId="77777777" w:rsidR="00B35872" w:rsidRDefault="000576C5">
      <w:pPr>
        <w:spacing w:before="200" w:after="80"/>
      </w:pPr>
      <w:r>
        <w:rPr>
          <w:b/>
          <w:bCs/>
          <w:color w:val="404040"/>
          <w:sz w:val="24"/>
          <w:szCs w:val="24"/>
        </w:rPr>
        <w:t>Description</w:t>
      </w:r>
    </w:p>
    <w:p w14:paraId="20BBA537" w14:textId="77777777" w:rsidR="00B35872" w:rsidRDefault="000576C5">
      <w:pPr>
        <w:spacing w:before="60" w:after="60"/>
      </w:pPr>
      <w:r>
        <w:t>Le projet MAFE est une initiative de recherche de grande envergure visant à collecter et analyser des données innovantes sur les migrations entre l'Afrique subsaharienne et l'Europe. Lancé en 2005, il repose sur l'idée que la migration ne doit pas être vue comme un flux unidirectionnel de l'Afrique vers l'Europe : les migrations de retour, la circulation et les pratiques transnationales sont essentielles à la compréhension du phénomène.</w:t>
      </w:r>
    </w:p>
    <w:p w14:paraId="20BBA538" w14:textId="77777777" w:rsidR="00B35872" w:rsidRDefault="000576C5">
      <w:pPr>
        <w:spacing w:before="60" w:after="60"/>
      </w:pPr>
      <w:r>
        <w:t>Le projet a produit des enquêtes multi-sites, comparatives et longitudinales dans 3 pays africains (Sénégal, Ghana, RD Congo) et 6 pays européens. Plus de 4 000 questionnaires ménage ont été remplis en Afrique, et plus de 5 400 biographies individuelles ont été collectées auprès de migrants en Europe, de migrants de retour et de non-migrants en Afrique. Les données africaines (Dakar, Accra/Kumasi, Kinshasa) sont représentatives des agglomérations enquêtées et peuvent être utilisées indépendamment des module</w:t>
      </w:r>
      <w:r>
        <w:t>s migration.</w:t>
      </w:r>
    </w:p>
    <w:p w14:paraId="20BBA539" w14:textId="77777777" w:rsidR="00B35872" w:rsidRDefault="000576C5">
      <w:pPr>
        <w:spacing w:before="200" w:after="80"/>
      </w:pPr>
      <w:r>
        <w:rPr>
          <w:b/>
          <w:bCs/>
          <w:color w:val="404040"/>
          <w:sz w:val="24"/>
          <w:szCs w:val="24"/>
        </w:rPr>
        <w:t>Deux types de questionnaires</w:t>
      </w:r>
    </w:p>
    <w:p w14:paraId="20BBA53A" w14:textId="77777777" w:rsidR="00B35872" w:rsidRDefault="000576C5">
      <w:pPr>
        <w:spacing w:before="60" w:after="60"/>
      </w:pPr>
      <w:r>
        <w:t>Questionnaire ménage (uniquement en Afrique) : composition du ménage, informations sur les membres vivant à l'étranger (enfants, partenaires, proches en contact régulier), historique migratoire court, transferts de fonds, actifs et logement du ménage. Questionnaire biographique individuel (Afrique et Europe) : histoires de vie complètes des enquêtés — formation du couple, fécondité, éducation, emploi, logement, migration, investissements — quel que soit le statut migratoire au moment de l'enquête (non-migra</w:t>
      </w:r>
      <w:r>
        <w:t>nt, migrant de retour, migrant actuel).</w:t>
      </w:r>
    </w:p>
    <w:p w14:paraId="20BBA53B" w14:textId="77777777" w:rsidR="00B35872" w:rsidRDefault="000576C5">
      <w:pPr>
        <w:spacing w:before="200" w:after="80"/>
      </w:pPr>
      <w:r>
        <w:rPr>
          <w:b/>
          <w:bCs/>
          <w:color w:val="404040"/>
          <w:sz w:val="24"/>
          <w:szCs w:val="24"/>
        </w:rPr>
        <w:t>Sections couvertes</w:t>
      </w:r>
    </w:p>
    <w:p w14:paraId="20BBA53C" w14:textId="77777777" w:rsidR="00B35872" w:rsidRDefault="000576C5">
      <w:pPr>
        <w:spacing w:before="60" w:after="60"/>
      </w:pPr>
      <w:r>
        <w:t>Migration internationale (départs, retours, circulations), déterminants individuels et familiaux de la migration, réseaux sociaux et recrutement, insertion sur le marché du travail dans les pays de destination, envoi de transferts de fonds et investissements, formation des unions et fécondité en contexte de migration, impact de la migration sur les ménages restés au pays, données contextuelles nationales (100 indicateurs démographiques, économiques, politiques et éducatifs pour les 9 pays MAFE).</w:t>
      </w:r>
    </w:p>
    <w:p w14:paraId="20BBA53D" w14:textId="77777777" w:rsidR="00B35872" w:rsidRDefault="000576C5">
      <w:pPr>
        <w:spacing w:before="200" w:after="80"/>
      </w:pPr>
      <w:r>
        <w:rPr>
          <w:b/>
          <w:bCs/>
          <w:color w:val="404040"/>
          <w:sz w:val="24"/>
          <w:szCs w:val="24"/>
        </w:rPr>
        <w:t>Structure des données MAFE</w:t>
      </w:r>
    </w:p>
    <w:p w14:paraId="20BBA53E" w14:textId="77777777" w:rsidR="00B35872" w:rsidRDefault="000576C5">
      <w:pPr>
        <w:spacing w:before="60" w:after="60"/>
      </w:pPr>
      <w:r>
        <w:lastRenderedPageBreak/>
        <w:t>Chaque vague (MAFE-Sénégal, MAFE-Congo, MAFE-Ghana) comprend 10 à 15 jeux de données thématiques en format longitudinal, avec identifiant unique permettant les jointures. Les données sont disponibles en français (Sénégal, Congo) et en anglais (Ghana).</w:t>
      </w:r>
    </w:p>
    <w:p w14:paraId="20BBA53F" w14:textId="77777777" w:rsidR="00B35872" w:rsidRDefault="000576C5">
      <w:pPr>
        <w:spacing w:before="60" w:after="60"/>
      </w:pPr>
      <w:r>
        <w:rPr>
          <w:b/>
          <w:bCs/>
        </w:rPr>
        <w:t xml:space="preserve">Site officiel et accès aux données : </w:t>
      </w:r>
      <w:hyperlink r:id="rId15" w:history="1">
        <w:r>
          <w:rPr>
            <w:color w:val="0563C1"/>
            <w:u w:val="single"/>
          </w:rPr>
          <w:t>https://mafeproject.site.ined.fr/en/</w:t>
        </w:r>
      </w:hyperlink>
    </w:p>
    <w:p w14:paraId="20BBA540" w14:textId="77777777" w:rsidR="00B35872" w:rsidRDefault="000576C5">
      <w:pPr>
        <w:spacing w:before="60" w:after="60"/>
      </w:pPr>
      <w:r>
        <w:rPr>
          <w:b/>
          <w:bCs/>
        </w:rPr>
        <w:t xml:space="preserve">Catalogue INED (MAFE-Congo) : </w:t>
      </w:r>
      <w:hyperlink r:id="rId16" w:history="1">
        <w:r>
          <w:rPr>
            <w:color w:val="0563C1"/>
            <w:u w:val="single"/>
          </w:rPr>
          <w:t>https://data.ined.fr/index.php/catalog/55</w:t>
        </w:r>
      </w:hyperlink>
    </w:p>
    <w:p w14:paraId="20BBA541" w14:textId="77777777" w:rsidR="00B35872" w:rsidRDefault="000576C5">
      <w:pPr>
        <w:spacing w:before="60" w:after="60"/>
      </w:pPr>
      <w:r>
        <w:rPr>
          <w:b/>
          <w:bCs/>
        </w:rPr>
        <w:t xml:space="preserve">Catalogue INED (MAFE-Ghana) : </w:t>
      </w:r>
      <w:hyperlink r:id="rId17" w:history="1">
        <w:r>
          <w:rPr>
            <w:color w:val="0563C1"/>
            <w:u w:val="single"/>
          </w:rPr>
          <w:t>https://data.ined.fr/index.php/catalog/56</w:t>
        </w:r>
      </w:hyperlink>
    </w:p>
    <w:p w14:paraId="20BBA542" w14:textId="77777777" w:rsidR="00B35872" w:rsidRDefault="00B35872">
      <w:pPr>
        <w:pBdr>
          <w:bottom w:val="single" w:sz="4" w:space="1" w:color="CCCCCC"/>
        </w:pBdr>
        <w:spacing w:before="120" w:after="120"/>
      </w:pPr>
    </w:p>
    <w:p w14:paraId="20BBA543" w14:textId="77777777" w:rsidR="00B35872" w:rsidRDefault="000576C5">
      <w:pPr>
        <w:pStyle w:val="Heading2"/>
      </w:pPr>
      <w:r>
        <w:t>7. REMUAO — Réseau Migrations et Urbanisation en Afrique de l'Ouest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44"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45" w14:textId="77777777" w:rsidR="00B35872" w:rsidRDefault="000576C5">
            <w:r>
              <w:rPr>
                <w:sz w:val="20"/>
                <w:szCs w:val="20"/>
              </w:rPr>
              <w:t>8 pays d'Afrique de l'Ouest : Burkina Faso, Côte d'Ivoire, Guinée-Conakry, Mali, Mauritanie, Niger, Nigeria, Sénégal</w:t>
            </w:r>
          </w:p>
        </w:tc>
      </w:tr>
      <w:tr w:rsidR="00B35872" w14:paraId="20BBA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47"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48" w14:textId="77777777" w:rsidR="00B35872" w:rsidRDefault="000576C5">
            <w:r>
              <w:rPr>
                <w:sz w:val="20"/>
                <w:szCs w:val="20"/>
              </w:rPr>
              <w:t>Enquêtes 1992-1993 (flux migratoires 1988-1992)</w:t>
            </w:r>
          </w:p>
        </w:tc>
      </w:tr>
      <w:tr w:rsidR="00B35872" w14:paraId="20BBA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4A"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4B" w14:textId="77777777" w:rsidR="00B35872" w:rsidRDefault="000576C5">
            <w:r>
              <w:rPr>
                <w:sz w:val="20"/>
                <w:szCs w:val="20"/>
              </w:rPr>
              <w:t>CERPOD (Institut du Sahel, Bamako) — Initiative du CRDI (Canada), avec appui IRD, CEPED, Université de Montréal</w:t>
            </w:r>
          </w:p>
        </w:tc>
      </w:tr>
      <w:tr w:rsidR="00B35872" w14:paraId="20BBA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4D" w14:textId="77777777" w:rsidR="00B35872" w:rsidRDefault="000576C5">
            <w:r>
              <w:rPr>
                <w:b/>
                <w:bCs/>
                <w:sz w:val="20"/>
                <w:szCs w:val="20"/>
              </w:rPr>
              <w:t>Financement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4E" w14:textId="77777777" w:rsidR="00B35872" w:rsidRDefault="000576C5">
            <w:r>
              <w:rPr>
                <w:sz w:val="20"/>
                <w:szCs w:val="20"/>
              </w:rPr>
              <w:t>CRDI (Canada), FNUAP, Coopération française</w:t>
            </w:r>
          </w:p>
        </w:tc>
      </w:tr>
      <w:tr w:rsidR="00B35872" w14:paraId="20BBA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50"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51" w14:textId="77777777" w:rsidR="00B35872" w:rsidRDefault="000576C5">
            <w:r>
              <w:rPr>
                <w:sz w:val="20"/>
                <w:szCs w:val="20"/>
              </w:rPr>
              <w:t>Données et rapports partiellement disponibles via DEMOSTAF-INED et CEPED</w:t>
            </w:r>
          </w:p>
        </w:tc>
      </w:tr>
    </w:tbl>
    <w:p w14:paraId="20BBA553" w14:textId="77777777" w:rsidR="00B35872" w:rsidRDefault="00B35872">
      <w:pPr>
        <w:spacing w:before="120" w:after="60"/>
      </w:pPr>
    </w:p>
    <w:p w14:paraId="20BBA554" w14:textId="77777777" w:rsidR="00B35872" w:rsidRDefault="000576C5">
      <w:pPr>
        <w:spacing w:before="200" w:after="80"/>
      </w:pPr>
      <w:r>
        <w:rPr>
          <w:b/>
          <w:bCs/>
          <w:color w:val="404040"/>
          <w:sz w:val="24"/>
          <w:szCs w:val="24"/>
        </w:rPr>
        <w:t>Description</w:t>
      </w:r>
    </w:p>
    <w:p w14:paraId="20BBA555" w14:textId="77777777" w:rsidR="00B35872" w:rsidRDefault="000576C5">
      <w:pPr>
        <w:spacing w:before="60" w:after="60"/>
      </w:pPr>
      <w:r>
        <w:t>Le REMUAO est la première grande enquête régionale coordonnée sur les migrations et l'urbanisation en Afrique de l'Ouest, créée en 1989. Elle a comblé un vide statistique majeur en collectant simultanément des données comparables dans huit pays. C'est la première expérience de ce genre pour l'étude des migrations en Afrique. L'enquête a mobilisé 6 questionnaires distincts : ménage, biographie migratoire, communauté, femmes, individus, et migrants de retour.</w:t>
      </w:r>
    </w:p>
    <w:p w14:paraId="20BBA556" w14:textId="77777777" w:rsidR="00B35872" w:rsidRDefault="000576C5">
      <w:pPr>
        <w:spacing w:before="200" w:after="80"/>
      </w:pPr>
      <w:r>
        <w:rPr>
          <w:b/>
          <w:bCs/>
          <w:color w:val="404040"/>
          <w:sz w:val="24"/>
          <w:szCs w:val="24"/>
        </w:rPr>
        <w:t>Sections couvertes</w:t>
      </w:r>
    </w:p>
    <w:p w14:paraId="20BBA557" w14:textId="77777777" w:rsidR="00B35872" w:rsidRDefault="000576C5">
      <w:pPr>
        <w:spacing w:before="60" w:after="60"/>
      </w:pPr>
      <w:r>
        <w:t>Stocks et flux migratoires internes et internationaux pour la période 1988-1992, matrices migratoires inter-pays et inter-régions, caractéristiques socio-démographiques des migrants et non-migrants (âge, sexe, état matrimonial, niveau d'instruction, activité économique), dynamiques d'urbanisation et mobilité rural-urbain, capital économique du ménage en lien avec la migration, estimations des migrations de retour depuis l'Europe (un départ sur trois vers l'Europe était suivi d'un retour selon le REMUAO).</w:t>
      </w:r>
    </w:p>
    <w:p w14:paraId="20BBA558" w14:textId="77777777" w:rsidR="00B35872" w:rsidRDefault="000576C5">
      <w:pPr>
        <w:spacing w:before="60" w:after="60"/>
      </w:pPr>
      <w:r>
        <w:rPr>
          <w:b/>
          <w:bCs/>
        </w:rPr>
        <w:t xml:space="preserve">Catalogue DEMOSTAF-INED (Mali-REMUAO) : </w:t>
      </w:r>
      <w:hyperlink r:id="rId18" w:history="1">
        <w:r>
          <w:rPr>
            <w:color w:val="0563C1"/>
            <w:u w:val="single"/>
          </w:rPr>
          <w:t>https://demostaf.web.ined.fr/index.php/catalog/378/study-description</w:t>
        </w:r>
      </w:hyperlink>
    </w:p>
    <w:p w14:paraId="20BBA559" w14:textId="77777777" w:rsidR="00B35872" w:rsidRDefault="000576C5">
      <w:pPr>
        <w:spacing w:before="60" w:after="60"/>
      </w:pPr>
      <w:r>
        <w:rPr>
          <w:b/>
          <w:bCs/>
        </w:rPr>
        <w:t xml:space="preserve">Documentation (IRD) : </w:t>
      </w:r>
      <w:hyperlink r:id="rId19" w:history="1">
        <w:r>
          <w:rPr>
            <w:color w:val="0563C1"/>
            <w:u w:val="single"/>
          </w:rPr>
          <w:t>https://horizon.documentation.ird.fr/exl-doc/pleins_textes/2023-12/010021422.pdf</w:t>
        </w:r>
      </w:hyperlink>
    </w:p>
    <w:p w14:paraId="20BBA55A" w14:textId="77777777" w:rsidR="00B35872" w:rsidRDefault="00B35872">
      <w:pPr>
        <w:pBdr>
          <w:bottom w:val="single" w:sz="4" w:space="1" w:color="CCCCCC"/>
        </w:pBdr>
        <w:spacing w:before="120" w:after="120"/>
      </w:pPr>
    </w:p>
    <w:p w14:paraId="20BBA55B" w14:textId="77777777" w:rsidR="00B35872" w:rsidRDefault="000576C5">
      <w:pPr>
        <w:pStyle w:val="Heading2"/>
      </w:pPr>
      <w:r>
        <w:t>8. IOM-DTM — Displacement Tracking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5C"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5D" w14:textId="77777777" w:rsidR="00B35872" w:rsidRDefault="000576C5">
            <w:r>
              <w:rPr>
                <w:sz w:val="20"/>
                <w:szCs w:val="20"/>
              </w:rPr>
              <w:t>Afrique subsaharienne et monde (opérations actives dans &gt;40 pays africains)</w:t>
            </w:r>
          </w:p>
        </w:tc>
      </w:tr>
      <w:tr w:rsidR="00B35872" w14:paraId="20BBA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5F" w14:textId="77777777" w:rsidR="00B35872" w:rsidRDefault="000576C5">
            <w:r>
              <w:rPr>
                <w:b/>
                <w:bCs/>
                <w:sz w:val="20"/>
                <w:szCs w:val="20"/>
              </w:rPr>
              <w:lastRenderedPageBreak/>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60" w14:textId="77777777" w:rsidR="00B35872" w:rsidRDefault="000576C5">
            <w:r>
              <w:rPr>
                <w:sz w:val="20"/>
                <w:szCs w:val="20"/>
              </w:rPr>
              <w:t>Depuis 2004 (variable selon les pays et crises)</w:t>
            </w:r>
          </w:p>
        </w:tc>
      </w:tr>
      <w:tr w:rsidR="00B35872" w14:paraId="20BBA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62"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63" w14:textId="77777777" w:rsidR="00B35872" w:rsidRDefault="000576C5">
            <w:r>
              <w:rPr>
                <w:sz w:val="20"/>
                <w:szCs w:val="20"/>
              </w:rPr>
              <w:t>Organisation Internationale pour les Migrations (OIM)</w:t>
            </w:r>
          </w:p>
        </w:tc>
      </w:tr>
      <w:tr w:rsidR="00B35872" w14:paraId="20BBA5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65"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66" w14:textId="77777777" w:rsidR="00B35872" w:rsidRDefault="000576C5">
            <w:r>
              <w:rPr>
                <w:sz w:val="20"/>
                <w:szCs w:val="20"/>
              </w:rPr>
              <w:t>Libre et gratuit (via HDX et portail DTM)</w:t>
            </w:r>
          </w:p>
        </w:tc>
      </w:tr>
    </w:tbl>
    <w:p w14:paraId="20BBA568" w14:textId="77777777" w:rsidR="00B35872" w:rsidRDefault="00B35872">
      <w:pPr>
        <w:spacing w:before="120" w:after="60"/>
      </w:pPr>
    </w:p>
    <w:p w14:paraId="20BBA569" w14:textId="77777777" w:rsidR="00B35872" w:rsidRDefault="000576C5">
      <w:pPr>
        <w:spacing w:before="200" w:after="80"/>
      </w:pPr>
      <w:r>
        <w:rPr>
          <w:b/>
          <w:bCs/>
          <w:color w:val="404040"/>
          <w:sz w:val="24"/>
          <w:szCs w:val="24"/>
        </w:rPr>
        <w:t>Description</w:t>
      </w:r>
    </w:p>
    <w:p w14:paraId="20BBA56A" w14:textId="77777777" w:rsidR="00B35872" w:rsidRDefault="000576C5">
      <w:pPr>
        <w:spacing w:before="60" w:after="60"/>
      </w:pPr>
      <w:r>
        <w:t>Le DTM est le système de collecte et d'analyse de données le plus complet au monde sur les populations déplacées et mobiles. Il collecte des données multi-niveaux sur la mobilité, les vulnérabilités et les besoins des populations déplacées à l'intérieur et à l'extérieur des frontières. En Afrique subsaharienne, le DTM est particulièrement actif dans les zones de crise au Sahel (Burkina Faso, Mali, Niger, Nigeria), dans la Corne de l'Afrique (Éthiopie, Somalie, Soudan), et en Afrique centrale (RDC). Les donn</w:t>
      </w:r>
      <w:r>
        <w:t>ées sont agrégées aux niveaux national, Admin 1 et Admin 2.</w:t>
      </w:r>
    </w:p>
    <w:p w14:paraId="20BBA56B" w14:textId="77777777" w:rsidR="00B35872" w:rsidRDefault="000576C5">
      <w:pPr>
        <w:spacing w:before="200" w:after="80"/>
      </w:pPr>
      <w:r>
        <w:rPr>
          <w:b/>
          <w:bCs/>
          <w:color w:val="404040"/>
          <w:sz w:val="24"/>
          <w:szCs w:val="24"/>
        </w:rPr>
        <w:t>Sections couvertes</w:t>
      </w:r>
    </w:p>
    <w:p w14:paraId="20BBA56C" w14:textId="77777777" w:rsidR="00B35872" w:rsidRDefault="000576C5">
      <w:pPr>
        <w:spacing w:before="60" w:after="60"/>
      </w:pPr>
      <w:r>
        <w:t>Chiffres de déplacés internes (PDI) par localité et unité administrative, flux de mouvements migratoires sur les routes (Flow Monitoring), points d'entrée et de sortie, évaluations de sites d'accueil et de transit, profils de mobilité et de vulnérabilité des ménages déplacés, évaluations des besoins humanitaires, données sur les retours volontaires.</w:t>
      </w:r>
    </w:p>
    <w:p w14:paraId="20BBA56D" w14:textId="77777777" w:rsidR="00B35872" w:rsidRDefault="000576C5">
      <w:pPr>
        <w:spacing w:before="60" w:after="60"/>
      </w:pPr>
      <w:r>
        <w:rPr>
          <w:b/>
          <w:bCs/>
        </w:rPr>
        <w:t xml:space="preserve">Portail DTM : </w:t>
      </w:r>
      <w:hyperlink r:id="rId20" w:history="1">
        <w:r>
          <w:rPr>
            <w:color w:val="0563C1"/>
            <w:u w:val="single"/>
          </w:rPr>
          <w:t>https://dtm.iom.int/</w:t>
        </w:r>
      </w:hyperlink>
    </w:p>
    <w:p w14:paraId="20BBA56E" w14:textId="77777777" w:rsidR="00B35872" w:rsidRDefault="000576C5">
      <w:pPr>
        <w:spacing w:before="60" w:after="60"/>
      </w:pPr>
      <w:r>
        <w:rPr>
          <w:b/>
          <w:bCs/>
        </w:rPr>
        <w:t xml:space="preserve">Données DTM sur HDX : </w:t>
      </w:r>
      <w:hyperlink r:id="rId21" w:history="1">
        <w:r>
          <w:rPr>
            <w:color w:val="0563C1"/>
            <w:u w:val="single"/>
          </w:rPr>
          <w:t>https://data.humdata.org/organization/international-organization-for-migration</w:t>
        </w:r>
      </w:hyperlink>
    </w:p>
    <w:p w14:paraId="20BBA56F" w14:textId="77777777" w:rsidR="00B35872" w:rsidRDefault="000576C5">
      <w:pPr>
        <w:spacing w:before="60" w:after="60"/>
      </w:pPr>
      <w:r>
        <w:rPr>
          <w:b/>
          <w:bCs/>
        </w:rPr>
        <w:t xml:space="preserve">API DTM (données IDP) : </w:t>
      </w:r>
      <w:hyperlink r:id="rId22" w:history="1">
        <w:r>
          <w:rPr>
            <w:color w:val="0563C1"/>
            <w:u w:val="single"/>
          </w:rPr>
          <w:t>https://dtm.iom.int/data-and-analysis/dtm-api</w:t>
        </w:r>
      </w:hyperlink>
    </w:p>
    <w:p w14:paraId="20BBA570" w14:textId="77777777" w:rsidR="00B35872" w:rsidRDefault="00B35872">
      <w:pPr>
        <w:pBdr>
          <w:bottom w:val="single" w:sz="4" w:space="1" w:color="CCCCCC"/>
        </w:pBdr>
        <w:spacing w:before="120" w:after="120"/>
      </w:pPr>
    </w:p>
    <w:p w14:paraId="20BBA571" w14:textId="77777777" w:rsidR="00B35872" w:rsidRDefault="000576C5">
      <w:pPr>
        <w:pStyle w:val="Heading2"/>
      </w:pPr>
      <w:r>
        <w:t>9. UNHCR — Refugee Data Finder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72"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73" w14:textId="77777777" w:rsidR="00B35872" w:rsidRDefault="000576C5">
            <w:r>
              <w:rPr>
                <w:sz w:val="20"/>
                <w:szCs w:val="20"/>
              </w:rPr>
              <w:t>Monde entier (dont tous les pays d'Afrique subsaharienne)</w:t>
            </w:r>
          </w:p>
        </w:tc>
      </w:tr>
      <w:tr w:rsidR="00B35872" w14:paraId="20BBA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75"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76" w14:textId="77777777" w:rsidR="00B35872" w:rsidRDefault="000576C5">
            <w:r>
              <w:rPr>
                <w:sz w:val="20"/>
                <w:szCs w:val="20"/>
              </w:rPr>
              <w:t>Depuis 1951 (données complètes depuis 1960, annuelles)</w:t>
            </w:r>
          </w:p>
        </w:tc>
      </w:tr>
      <w:tr w:rsidR="00B35872" w14:paraId="20BBA5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78"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79" w14:textId="77777777" w:rsidR="00B35872" w:rsidRDefault="000576C5">
            <w:r>
              <w:rPr>
                <w:sz w:val="20"/>
                <w:szCs w:val="20"/>
              </w:rPr>
              <w:t>Haut Commissariat des Nations Unies pour les Réfugiés (UNHCR)</w:t>
            </w:r>
          </w:p>
        </w:tc>
      </w:tr>
      <w:tr w:rsidR="00B35872" w14:paraId="20BBA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7B"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7C" w14:textId="77777777" w:rsidR="00B35872" w:rsidRDefault="000576C5">
            <w:r>
              <w:rPr>
                <w:sz w:val="20"/>
                <w:szCs w:val="20"/>
              </w:rPr>
              <w:t>Libre et gratuit</w:t>
            </w:r>
          </w:p>
        </w:tc>
      </w:tr>
    </w:tbl>
    <w:p w14:paraId="20BBA57E" w14:textId="77777777" w:rsidR="00B35872" w:rsidRDefault="00B35872">
      <w:pPr>
        <w:spacing w:before="120" w:after="60"/>
      </w:pPr>
    </w:p>
    <w:p w14:paraId="20BBA57F" w14:textId="77777777" w:rsidR="00B35872" w:rsidRDefault="000576C5">
      <w:pPr>
        <w:spacing w:before="200" w:after="80"/>
      </w:pPr>
      <w:r>
        <w:rPr>
          <w:b/>
          <w:bCs/>
          <w:color w:val="404040"/>
          <w:sz w:val="24"/>
          <w:szCs w:val="24"/>
        </w:rPr>
        <w:t>Description</w:t>
      </w:r>
    </w:p>
    <w:p w14:paraId="20BBA580" w14:textId="77777777" w:rsidR="00B35872" w:rsidRDefault="000576C5">
      <w:pPr>
        <w:spacing w:before="60" w:after="60"/>
      </w:pPr>
      <w:r>
        <w:t xml:space="preserve">Le Refugee Data Finder est le portail principal de l'UNHCR pour accéder à ses statistiques mondiales sur les personnes relevant de son mandat. Il couvre plus de 70 ans de données sur les populations forcées de se déplacer. Les données sont compilées à partir de sources gouvernementales, des bureaux de terrain de l'UNHCR, et d'ONG, en utilisant des registres, des enquêtes et des processus de recensement. L'Afrique subsaharienne abrite une part majeure des réfugiés mondiaux, notamment en provenance du Soudan </w:t>
      </w:r>
      <w:r>
        <w:t>du Sud, de la RDC, du Soudan, et de la Somalie.</w:t>
      </w:r>
    </w:p>
    <w:p w14:paraId="20BBA581" w14:textId="77777777" w:rsidR="00B35872" w:rsidRDefault="000576C5">
      <w:pPr>
        <w:spacing w:before="200" w:after="80"/>
      </w:pPr>
      <w:r>
        <w:rPr>
          <w:b/>
          <w:bCs/>
          <w:color w:val="404040"/>
          <w:sz w:val="24"/>
          <w:szCs w:val="24"/>
        </w:rPr>
        <w:t>Sections couvertes</w:t>
      </w:r>
    </w:p>
    <w:p w14:paraId="20BBA582" w14:textId="77777777" w:rsidR="00B35872" w:rsidRDefault="000576C5">
      <w:pPr>
        <w:spacing w:before="60" w:after="60"/>
      </w:pPr>
      <w:r>
        <w:lastRenderedPageBreak/>
        <w:t>Réfugiés reconnus (Convention 1951 et Protocole 1967, Convention OUA 1969) par pays d'asile et d'origine, demandeurs d'asile, personnes déplacées internes sous mandat UNHCR, apatrides, personnes en situation de retour volontaire, personnes sous autres formes de protection. Désagrégation possible par sexe, âge, pays d'origine, statut. Données disponibles pour chaque pays d'Afrique subsaharienne.</w:t>
      </w:r>
    </w:p>
    <w:p w14:paraId="20BBA583" w14:textId="77777777" w:rsidR="00B35872" w:rsidRDefault="000576C5">
      <w:pPr>
        <w:spacing w:before="200" w:after="80"/>
      </w:pPr>
      <w:r>
        <w:rPr>
          <w:b/>
          <w:bCs/>
          <w:color w:val="404040"/>
          <w:sz w:val="24"/>
          <w:szCs w:val="24"/>
        </w:rPr>
        <w:t>Outil de microdata UNHCR</w:t>
      </w:r>
    </w:p>
    <w:p w14:paraId="20BBA584" w14:textId="77777777" w:rsidR="00B35872" w:rsidRDefault="000576C5">
      <w:pPr>
        <w:spacing w:before="60" w:after="60"/>
      </w:pPr>
      <w:r>
        <w:t>L'UNHCR dispose également d'une bibliothèque de microdonnées permettant d'accéder à des données individuelles (anonymisées) issues d'enquêtes auprès de réfugiés et d'autres personnes de préoccupation, pour des analyses au niveau des ménages.</w:t>
      </w:r>
    </w:p>
    <w:p w14:paraId="20BBA585" w14:textId="77777777" w:rsidR="00B35872" w:rsidRDefault="000576C5">
      <w:pPr>
        <w:spacing w:before="60" w:after="60"/>
      </w:pPr>
      <w:r>
        <w:rPr>
          <w:b/>
          <w:bCs/>
        </w:rPr>
        <w:t xml:space="preserve">Refugee Data Finder : </w:t>
      </w:r>
      <w:hyperlink r:id="rId23" w:history="1">
        <w:r>
          <w:rPr>
            <w:color w:val="0563C1"/>
            <w:u w:val="single"/>
          </w:rPr>
          <w:t>https://www.unhcr.org/refugee-statistics/</w:t>
        </w:r>
      </w:hyperlink>
    </w:p>
    <w:p w14:paraId="20BBA586" w14:textId="77777777" w:rsidR="00B35872" w:rsidRDefault="000576C5">
      <w:pPr>
        <w:spacing w:before="60" w:after="60"/>
      </w:pPr>
      <w:r>
        <w:rPr>
          <w:b/>
          <w:bCs/>
        </w:rPr>
        <w:t xml:space="preserve">Téléchargement des données : </w:t>
      </w:r>
      <w:hyperlink r:id="rId24" w:history="1">
        <w:r>
          <w:rPr>
            <w:color w:val="0563C1"/>
            <w:u w:val="single"/>
          </w:rPr>
          <w:t>https://www.unhcr.org/refugee-statistics/download/</w:t>
        </w:r>
      </w:hyperlink>
    </w:p>
    <w:p w14:paraId="20BBA587" w14:textId="77777777" w:rsidR="00B35872" w:rsidRDefault="000576C5">
      <w:pPr>
        <w:spacing w:before="60" w:after="60"/>
      </w:pPr>
      <w:r>
        <w:rPr>
          <w:b/>
          <w:bCs/>
        </w:rPr>
        <w:t xml:space="preserve">Bibliothèque microdata UNHCR : </w:t>
      </w:r>
      <w:hyperlink r:id="rId25" w:history="1">
        <w:r>
          <w:rPr>
            <w:color w:val="0563C1"/>
            <w:u w:val="single"/>
          </w:rPr>
          <w:t>https://microdata.unhcr.org/</w:t>
        </w:r>
      </w:hyperlink>
    </w:p>
    <w:p w14:paraId="20BBA588" w14:textId="77777777" w:rsidR="00B35872" w:rsidRDefault="000576C5">
      <w:pPr>
        <w:spacing w:before="60" w:after="60"/>
      </w:pPr>
      <w:r>
        <w:rPr>
          <w:b/>
          <w:bCs/>
        </w:rPr>
        <w:t xml:space="preserve">Portail opérationnel (ODP) : </w:t>
      </w:r>
      <w:hyperlink r:id="rId26" w:history="1">
        <w:r>
          <w:rPr>
            <w:color w:val="0563C1"/>
            <w:u w:val="single"/>
          </w:rPr>
          <w:t>https://data.unhcr.org/</w:t>
        </w:r>
      </w:hyperlink>
    </w:p>
    <w:p w14:paraId="20BBA589" w14:textId="77777777" w:rsidR="00B35872" w:rsidRDefault="00B35872">
      <w:pPr>
        <w:pBdr>
          <w:bottom w:val="single" w:sz="4" w:space="1" w:color="CCCCCC"/>
        </w:pBdr>
        <w:spacing w:before="120" w:after="120"/>
      </w:pPr>
    </w:p>
    <w:p w14:paraId="20BBA58A" w14:textId="77777777" w:rsidR="00B35872" w:rsidRDefault="000576C5">
      <w:pPr>
        <w:pStyle w:val="Heading2"/>
      </w:pPr>
      <w:r>
        <w:t>10. Banque Mondiale — Africa Migration Project (Enquêtes ménages migrants)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8B"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8C" w14:textId="77777777" w:rsidR="00B35872" w:rsidRDefault="000576C5">
            <w:r>
              <w:rPr>
                <w:sz w:val="20"/>
                <w:szCs w:val="20"/>
              </w:rPr>
              <w:t>Afrique subsaharienne (plusieurs pays ciblés)</w:t>
            </w:r>
          </w:p>
        </w:tc>
      </w:tr>
      <w:tr w:rsidR="00B35872" w14:paraId="20BBA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8E"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8F" w14:textId="77777777" w:rsidR="00B35872" w:rsidRDefault="000576C5">
            <w:r>
              <w:rPr>
                <w:sz w:val="20"/>
                <w:szCs w:val="20"/>
              </w:rPr>
              <w:t>Années 2000-2010 (selon enquêtes)</w:t>
            </w:r>
          </w:p>
        </w:tc>
      </w:tr>
      <w:tr w:rsidR="00B35872" w14:paraId="20BBA5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91"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92" w14:textId="77777777" w:rsidR="00B35872" w:rsidRDefault="000576C5">
            <w:r>
              <w:rPr>
                <w:sz w:val="20"/>
                <w:szCs w:val="20"/>
              </w:rPr>
              <w:t>Banque Mondiale — Development Research Group (DECPG)</w:t>
            </w:r>
          </w:p>
        </w:tc>
      </w:tr>
      <w:tr w:rsidR="00B35872" w14:paraId="20BBA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94"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95" w14:textId="77777777" w:rsidR="00B35872" w:rsidRDefault="000576C5">
            <w:r>
              <w:rPr>
                <w:sz w:val="20"/>
                <w:szCs w:val="20"/>
              </w:rPr>
              <w:t>Données disponibles via le catalogue microdata Banque Mondiale</w:t>
            </w:r>
          </w:p>
        </w:tc>
      </w:tr>
    </w:tbl>
    <w:p w14:paraId="20BBA597" w14:textId="77777777" w:rsidR="00B35872" w:rsidRDefault="00B35872">
      <w:pPr>
        <w:spacing w:before="120" w:after="60"/>
      </w:pPr>
    </w:p>
    <w:p w14:paraId="20BBA598" w14:textId="77777777" w:rsidR="00B35872" w:rsidRDefault="000576C5">
      <w:pPr>
        <w:spacing w:before="200" w:after="80"/>
      </w:pPr>
      <w:r>
        <w:rPr>
          <w:b/>
          <w:bCs/>
          <w:color w:val="404040"/>
          <w:sz w:val="24"/>
          <w:szCs w:val="24"/>
        </w:rPr>
        <w:t>Description</w:t>
      </w:r>
    </w:p>
    <w:p w14:paraId="20BBA599" w14:textId="77777777" w:rsidR="00B35872" w:rsidRDefault="000576C5">
      <w:pPr>
        <w:spacing w:before="60" w:after="60"/>
      </w:pPr>
      <w:r>
        <w:t>La Banque Mondiale a conduit des enquêtes ménages pionnières auprès de migrants dans plusieurs pays africains dans le cadre de son Africa Migration Project. Ces enquêtes visaient à produire des données microéconomiques permettant d'analyser le rôle des réseaux sociaux dans la migration, les déterminants économiques du départ, et l'impact des remises sur les ménages d'origine. Elles complètent les données agrégées de la Bilateral Migration Database.</w:t>
      </w:r>
    </w:p>
    <w:p w14:paraId="20BBA59A" w14:textId="77777777" w:rsidR="00B35872" w:rsidRDefault="000576C5">
      <w:pPr>
        <w:spacing w:before="200" w:after="80"/>
      </w:pPr>
      <w:r>
        <w:rPr>
          <w:b/>
          <w:bCs/>
          <w:color w:val="404040"/>
          <w:sz w:val="24"/>
          <w:szCs w:val="24"/>
        </w:rPr>
        <w:t>Sections couvertes</w:t>
      </w:r>
    </w:p>
    <w:p w14:paraId="20BBA59B" w14:textId="77777777" w:rsidR="00B35872" w:rsidRDefault="000576C5">
      <w:pPr>
        <w:spacing w:before="60" w:after="60"/>
      </w:pPr>
      <w:r>
        <w:t>Caractéristiques socio-économiques des migrants et non-migrants, décisions migratoires et rôle des réseaux, envoi et utilisation des transferts de fonds, conditions d'emploi et insertion dans le marché du travail, coûts de migration et de recrutement, impact de la migration sur les investissements dans les pays d'origine (logement, éducation, entreprises).</w:t>
      </w:r>
    </w:p>
    <w:p w14:paraId="20BBA59C" w14:textId="77777777" w:rsidR="00B35872" w:rsidRDefault="000576C5">
      <w:pPr>
        <w:spacing w:before="60" w:after="60"/>
      </w:pPr>
      <w:r>
        <w:rPr>
          <w:b/>
          <w:bCs/>
        </w:rPr>
        <w:t xml:space="preserve">Catalogue microdata Banque Mondiale (migration) : </w:t>
      </w:r>
      <w:hyperlink r:id="rId27" w:history="1">
        <w:r>
          <w:rPr>
            <w:color w:val="0563C1"/>
            <w:u w:val="single"/>
          </w:rPr>
          <w:t>https://microdata.worldbank.org/index.php/catalog/</w:t>
        </w:r>
      </w:hyperlink>
    </w:p>
    <w:p w14:paraId="20BBA59D" w14:textId="77777777" w:rsidR="00B35872" w:rsidRDefault="000576C5">
      <w:pPr>
        <w:spacing w:before="60" w:after="60"/>
      </w:pPr>
      <w:r>
        <w:rPr>
          <w:b/>
          <w:bCs/>
        </w:rPr>
        <w:t xml:space="preserve">Africa Migration Project : </w:t>
      </w:r>
      <w:hyperlink r:id="rId28" w:history="1">
        <w:r>
          <w:rPr>
            <w:color w:val="0563C1"/>
            <w:u w:val="single"/>
          </w:rPr>
          <w:t>https://www.worldbank.org/en/topic/migration/overview</w:t>
        </w:r>
      </w:hyperlink>
    </w:p>
    <w:p w14:paraId="20BBA59E" w14:textId="77777777" w:rsidR="00B35872" w:rsidRDefault="00B35872">
      <w:pPr>
        <w:pBdr>
          <w:bottom w:val="single" w:sz="4" w:space="1" w:color="CCCCCC"/>
        </w:pBdr>
        <w:spacing w:before="120" w:after="120"/>
      </w:pPr>
    </w:p>
    <w:p w14:paraId="20BBA59F" w14:textId="77777777" w:rsidR="00B35872" w:rsidRDefault="000576C5">
      <w:pPr>
        <w:pStyle w:val="Heading2"/>
      </w:pPr>
      <w:r>
        <w:t>11. IPUMS International — Données de recensements sur la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A0" w14:textId="77777777" w:rsidR="00B35872" w:rsidRDefault="000576C5">
            <w:r>
              <w:rPr>
                <w:b/>
                <w:bCs/>
                <w:sz w:val="20"/>
                <w:szCs w:val="20"/>
              </w:rPr>
              <w:lastRenderedPageBreak/>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A1" w14:textId="77777777" w:rsidR="00B35872" w:rsidRDefault="000576C5">
            <w:r>
              <w:rPr>
                <w:sz w:val="20"/>
                <w:szCs w:val="20"/>
              </w:rPr>
              <w:t>Afrique subsaharienne et monde (35+ pays africains disponibles)</w:t>
            </w:r>
          </w:p>
        </w:tc>
      </w:tr>
      <w:tr w:rsidR="00B35872" w14:paraId="20BBA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A3"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A4" w14:textId="77777777" w:rsidR="00B35872" w:rsidRDefault="000576C5">
            <w:r>
              <w:rPr>
                <w:sz w:val="20"/>
                <w:szCs w:val="20"/>
              </w:rPr>
              <w:t>1960 – 2020 (selon les recensements disponibles par pays)</w:t>
            </w:r>
          </w:p>
        </w:tc>
      </w:tr>
      <w:tr w:rsidR="00B35872" w14:paraId="20BBA5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A6"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A7" w14:textId="77777777" w:rsidR="00B35872" w:rsidRDefault="000576C5">
            <w:r>
              <w:rPr>
                <w:sz w:val="20"/>
                <w:szCs w:val="20"/>
              </w:rPr>
              <w:t>Minnesota Population Center (Université du Minnesota) / IPUMS</w:t>
            </w:r>
          </w:p>
        </w:tc>
      </w:tr>
      <w:tr w:rsidR="00B35872" w14:paraId="20BBA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A9"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AA" w14:textId="77777777" w:rsidR="00B35872" w:rsidRDefault="000576C5">
            <w:r>
              <w:rPr>
                <w:sz w:val="20"/>
                <w:szCs w:val="20"/>
              </w:rPr>
              <w:t>Libre (après enregistrement gratuit)</w:t>
            </w:r>
          </w:p>
        </w:tc>
      </w:tr>
    </w:tbl>
    <w:p w14:paraId="20BBA5AC" w14:textId="77777777" w:rsidR="00B35872" w:rsidRDefault="00B35872">
      <w:pPr>
        <w:spacing w:before="120" w:after="60"/>
      </w:pPr>
    </w:p>
    <w:p w14:paraId="20BBA5AD" w14:textId="77777777" w:rsidR="00B35872" w:rsidRDefault="000576C5">
      <w:pPr>
        <w:spacing w:before="200" w:after="80"/>
      </w:pPr>
      <w:r>
        <w:rPr>
          <w:b/>
          <w:bCs/>
          <w:color w:val="404040"/>
          <w:sz w:val="24"/>
          <w:szCs w:val="24"/>
        </w:rPr>
        <w:t>Description</w:t>
      </w:r>
    </w:p>
    <w:p w14:paraId="20BBA5AE" w14:textId="77777777" w:rsidR="00B35872" w:rsidRDefault="000576C5">
      <w:pPr>
        <w:spacing w:before="60" w:after="60"/>
      </w:pPr>
      <w:r>
        <w:t>IPUMS International harmonise et diffuse des microdonnées d'une centaine de recensements nationaux du monde entier, dont de nombreux pays d'Afrique subsaharienne (Nigeria, Ghana, Kenya, Éthiopie, Tanzanie, Ouganda, Cameroun, Côte d'Ivoire, Sénégal, Malawi, Zambie, etc.). Les variables sont harmonisées entre pays et dans le temps, facilitant les comparaisons. C'est la principale source de microdonnées de recensements harmonisées permettant d'étudier la migration selon le concept de durée de vie (lieu de nais</w:t>
      </w:r>
      <w:r>
        <w:t>sance vs. lieu de résidence actuel) et la migration récente.</w:t>
      </w:r>
    </w:p>
    <w:p w14:paraId="20BBA5AF" w14:textId="77777777" w:rsidR="00B35872" w:rsidRDefault="000576C5">
      <w:pPr>
        <w:spacing w:before="200" w:after="80"/>
      </w:pPr>
      <w:r>
        <w:rPr>
          <w:b/>
          <w:bCs/>
          <w:color w:val="404040"/>
          <w:sz w:val="24"/>
          <w:szCs w:val="24"/>
        </w:rPr>
        <w:t>Sections couvertes</w:t>
      </w:r>
    </w:p>
    <w:p w14:paraId="20BBA5B0" w14:textId="77777777" w:rsidR="00B35872" w:rsidRDefault="000576C5">
      <w:pPr>
        <w:spacing w:before="60" w:after="60"/>
      </w:pPr>
      <w:r>
        <w:t>Lieu de naissance (pays, région) et lieu de résidence actuelle (pour le calcul des migrants de durée de vie), lieu de résidence 1 ou 5 ans avant le recensement (migration récente), caractéristiques socio-démographiques complètes des individus et ménages (âge, sexe, état matrimonial, éducation, emploi, secteur d'activité), composition du ménage, type de logement. Variables de migration disponibles selon les années et pays.</w:t>
      </w:r>
    </w:p>
    <w:p w14:paraId="20BBA5B1" w14:textId="77777777" w:rsidR="00B35872" w:rsidRDefault="000576C5">
      <w:pPr>
        <w:spacing w:before="60" w:after="60"/>
      </w:pPr>
      <w:r>
        <w:rPr>
          <w:b/>
          <w:bCs/>
        </w:rPr>
        <w:t xml:space="preserve">Portail IPUMS International : </w:t>
      </w:r>
      <w:hyperlink r:id="rId29" w:history="1">
        <w:r>
          <w:rPr>
            <w:color w:val="0563C1"/>
            <w:u w:val="single"/>
          </w:rPr>
          <w:t>https://international.ipums.org/international/</w:t>
        </w:r>
      </w:hyperlink>
    </w:p>
    <w:p w14:paraId="20BBA5B2" w14:textId="77777777" w:rsidR="00B35872" w:rsidRDefault="000576C5">
      <w:pPr>
        <w:spacing w:before="60" w:after="60"/>
      </w:pPr>
      <w:r>
        <w:rPr>
          <w:b/>
          <w:bCs/>
        </w:rPr>
        <w:t xml:space="preserve">Liste des recensements africains disponibles : </w:t>
      </w:r>
      <w:hyperlink r:id="rId30" w:history="1">
        <w:r>
          <w:rPr>
            <w:color w:val="0563C1"/>
            <w:u w:val="single"/>
          </w:rPr>
          <w:t>https://international.ipums.org/international/samples.shtml</w:t>
        </w:r>
      </w:hyperlink>
    </w:p>
    <w:p w14:paraId="20BBA5B3" w14:textId="77777777" w:rsidR="00B35872" w:rsidRDefault="000576C5">
      <w:r>
        <w:br w:type="page"/>
      </w:r>
    </w:p>
    <w:p w14:paraId="20BBA5B4" w14:textId="77777777" w:rsidR="00B35872" w:rsidRDefault="000576C5">
      <w:pPr>
        <w:pStyle w:val="Heading1"/>
      </w:pPr>
      <w:r>
        <w:lastRenderedPageBreak/>
        <w:t>III. Enquêtes nationales à module migration</w:t>
      </w:r>
    </w:p>
    <w:p w14:paraId="20BBA5B5" w14:textId="77777777" w:rsidR="00B35872" w:rsidRDefault="00B35872">
      <w:pPr>
        <w:pBdr>
          <w:bottom w:val="single" w:sz="4" w:space="1" w:color="CCCCCC"/>
        </w:pBdr>
        <w:spacing w:before="120" w:after="120"/>
      </w:pPr>
    </w:p>
    <w:p w14:paraId="20BBA5B6" w14:textId="77777777" w:rsidR="00B35872" w:rsidRDefault="000576C5">
      <w:pPr>
        <w:pStyle w:val="Heading2"/>
      </w:pPr>
      <w:r>
        <w:t>12. EMOP — Enquête Modulaire et Permanente sur les Conditions de Vie des Ménages (Mali)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B7"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B8" w14:textId="77777777" w:rsidR="00B35872" w:rsidRDefault="000576C5">
            <w:r>
              <w:rPr>
                <w:sz w:val="20"/>
                <w:szCs w:val="20"/>
              </w:rPr>
              <w:t>Mali (national)</w:t>
            </w:r>
          </w:p>
        </w:tc>
      </w:tr>
      <w:tr w:rsidR="00B35872" w14:paraId="20BBA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BA"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BB" w14:textId="77777777" w:rsidR="00B35872" w:rsidRDefault="000576C5">
            <w:r>
              <w:rPr>
                <w:sz w:val="20"/>
                <w:szCs w:val="20"/>
              </w:rPr>
              <w:t>Depuis 2011 (enquêtes annuelles ou semestrielles)</w:t>
            </w:r>
          </w:p>
        </w:tc>
      </w:tr>
      <w:tr w:rsidR="00B35872" w14:paraId="20BBA5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BD"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BE" w14:textId="77777777" w:rsidR="00B35872" w:rsidRDefault="000576C5">
            <w:r>
              <w:rPr>
                <w:sz w:val="20"/>
                <w:szCs w:val="20"/>
              </w:rPr>
              <w:t>Institut National de la Statistique (INSTAT) du Mali</w:t>
            </w:r>
          </w:p>
        </w:tc>
      </w:tr>
      <w:tr w:rsidR="00B35872" w14:paraId="20BBA5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C0"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C1" w14:textId="77777777" w:rsidR="00B35872" w:rsidRDefault="000576C5">
            <w:r>
              <w:rPr>
                <w:sz w:val="20"/>
                <w:szCs w:val="20"/>
              </w:rPr>
              <w:t>Via le catalogue microdata Banque Mondiale et INSTAT</w:t>
            </w:r>
          </w:p>
        </w:tc>
      </w:tr>
    </w:tbl>
    <w:p w14:paraId="20BBA5C3" w14:textId="77777777" w:rsidR="00B35872" w:rsidRDefault="00B35872">
      <w:pPr>
        <w:spacing w:before="120" w:after="60"/>
      </w:pPr>
    </w:p>
    <w:p w14:paraId="20BBA5C4" w14:textId="77777777" w:rsidR="00B35872" w:rsidRDefault="000576C5">
      <w:pPr>
        <w:spacing w:before="200" w:after="80"/>
      </w:pPr>
      <w:r>
        <w:rPr>
          <w:b/>
          <w:bCs/>
          <w:color w:val="404040"/>
          <w:sz w:val="24"/>
          <w:szCs w:val="24"/>
        </w:rPr>
        <w:t>Description</w:t>
      </w:r>
    </w:p>
    <w:p w14:paraId="20BBA5C5" w14:textId="77777777" w:rsidR="00B35872" w:rsidRDefault="000576C5">
      <w:pPr>
        <w:spacing w:before="60" w:after="60"/>
      </w:pPr>
      <w:r>
        <w:t>L'EMOP est la principale enquête nationale malienne permettant de mesurer les migrations internes et internationales à partir des ménages. Elle a été conçue pour combler le vide statistique entre deux recensements. Ses estimations de la migration interne sont cohérentes avec celles de l'EPAM (Enquête Permanente auprès des Ménages) et du Recensement Général de la Population et de l'Habitat (RGPH), et compatibles avec les données de l'enquête agricole (EAC) pour les ménages agricoles.</w:t>
      </w:r>
    </w:p>
    <w:p w14:paraId="20BBA5C6" w14:textId="77777777" w:rsidR="00B35872" w:rsidRDefault="000576C5">
      <w:pPr>
        <w:spacing w:before="200" w:after="80"/>
      </w:pPr>
      <w:r>
        <w:rPr>
          <w:b/>
          <w:bCs/>
          <w:color w:val="404040"/>
          <w:sz w:val="24"/>
          <w:szCs w:val="24"/>
        </w:rPr>
        <w:t>Sections couvertes</w:t>
      </w:r>
    </w:p>
    <w:p w14:paraId="20BBA5C7" w14:textId="77777777" w:rsidR="00B35872" w:rsidRDefault="000576C5">
      <w:pPr>
        <w:spacing w:before="60" w:after="60"/>
      </w:pPr>
      <w:r>
        <w:t>Mesure des flux migratoires internes (ruraux-urbains, inter-régionaux) et internationaux, matrices migratoires pour les périodes récentes, caractéristiques socio-démographiques des migrants (âge, sexe, niveau d'instruction, activité économique), transferts de fonds reçus par les ménages, contribution des transferts aux conditions de vie, comparaison migrants/non-migrants.</w:t>
      </w:r>
    </w:p>
    <w:p w14:paraId="20BBA5C8" w14:textId="77777777" w:rsidR="00B35872" w:rsidRDefault="000576C5">
      <w:pPr>
        <w:spacing w:before="60" w:after="60"/>
      </w:pPr>
      <w:r>
        <w:rPr>
          <w:b/>
          <w:bCs/>
        </w:rPr>
        <w:t xml:space="preserve">INSTAT Mali : </w:t>
      </w:r>
      <w:hyperlink r:id="rId31" w:history="1">
        <w:r>
          <w:rPr>
            <w:color w:val="0563C1"/>
            <w:u w:val="single"/>
          </w:rPr>
          <w:t>http://www.instat-mali.org/</w:t>
        </w:r>
      </w:hyperlink>
    </w:p>
    <w:p w14:paraId="20BBA5C9" w14:textId="77777777" w:rsidR="00B35872" w:rsidRDefault="000576C5">
      <w:pPr>
        <w:spacing w:before="60" w:after="60"/>
      </w:pPr>
      <w:r>
        <w:rPr>
          <w:b/>
          <w:bCs/>
        </w:rPr>
        <w:t xml:space="preserve">Catalogue microdata (EMOP) : </w:t>
      </w:r>
      <w:hyperlink r:id="rId32" w:history="1">
        <w:r>
          <w:rPr>
            <w:color w:val="0563C1"/>
            <w:u w:val="single"/>
          </w:rPr>
          <w:t>https://microdata.worldbank.org/index.php/catalog/</w:t>
        </w:r>
      </w:hyperlink>
    </w:p>
    <w:p w14:paraId="20BBA5CA" w14:textId="77777777" w:rsidR="00B35872" w:rsidRDefault="00B35872">
      <w:pPr>
        <w:pBdr>
          <w:bottom w:val="single" w:sz="4" w:space="1" w:color="CCCCCC"/>
        </w:pBdr>
        <w:spacing w:before="120" w:after="120"/>
      </w:pPr>
    </w:p>
    <w:p w14:paraId="20BBA5CB" w14:textId="77777777" w:rsidR="00B35872" w:rsidRDefault="000576C5">
      <w:pPr>
        <w:pStyle w:val="Heading2"/>
      </w:pPr>
      <w:r>
        <w:t>13. EMMU — Enquête Malienne sur la Migration et l'Urbanisme (1992-1993)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CC"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CD" w14:textId="77777777" w:rsidR="00B35872" w:rsidRDefault="000576C5">
            <w:r>
              <w:rPr>
                <w:sz w:val="20"/>
                <w:szCs w:val="20"/>
              </w:rPr>
              <w:t>Mali (national)</w:t>
            </w:r>
          </w:p>
        </w:tc>
      </w:tr>
      <w:tr w:rsidR="00B35872" w14:paraId="20BBA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CF"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D0" w14:textId="77777777" w:rsidR="00B35872" w:rsidRDefault="000576C5">
            <w:r>
              <w:rPr>
                <w:sz w:val="20"/>
                <w:szCs w:val="20"/>
              </w:rPr>
              <w:t>1992 – 1993 (flux 1988-1992)</w:t>
            </w:r>
          </w:p>
        </w:tc>
      </w:tr>
      <w:tr w:rsidR="00B35872" w14:paraId="20BBA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D2"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D3" w14:textId="77777777" w:rsidR="00B35872" w:rsidRDefault="000576C5">
            <w:r>
              <w:rPr>
                <w:sz w:val="20"/>
                <w:szCs w:val="20"/>
              </w:rPr>
              <w:t>INSTAT Mali / CERPOD (dans le cadre du REMUAO)</w:t>
            </w:r>
          </w:p>
        </w:tc>
      </w:tr>
      <w:tr w:rsidR="00B35872" w14:paraId="20BBA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D5"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D6" w14:textId="77777777" w:rsidR="00B35872" w:rsidRDefault="000576C5">
            <w:r>
              <w:rPr>
                <w:sz w:val="20"/>
                <w:szCs w:val="20"/>
              </w:rPr>
              <w:t>Données partiellement disponibles via DEMOSTAF-INED</w:t>
            </w:r>
          </w:p>
        </w:tc>
      </w:tr>
    </w:tbl>
    <w:p w14:paraId="20BBA5D8" w14:textId="77777777" w:rsidR="00B35872" w:rsidRDefault="00B35872">
      <w:pPr>
        <w:spacing w:before="120" w:after="60"/>
      </w:pPr>
    </w:p>
    <w:p w14:paraId="20BBA5D9" w14:textId="77777777" w:rsidR="00B35872" w:rsidRDefault="000576C5">
      <w:pPr>
        <w:spacing w:before="200" w:after="80"/>
      </w:pPr>
      <w:r>
        <w:rPr>
          <w:b/>
          <w:bCs/>
          <w:color w:val="404040"/>
          <w:sz w:val="24"/>
          <w:szCs w:val="24"/>
        </w:rPr>
        <w:t>Description</w:t>
      </w:r>
    </w:p>
    <w:p w14:paraId="20BBA5DA" w14:textId="77777777" w:rsidR="00B35872" w:rsidRDefault="000576C5">
      <w:pPr>
        <w:spacing w:before="60" w:after="60"/>
      </w:pPr>
      <w:r>
        <w:t xml:space="preserve">L'EMMU est la première enquête nationale à couverture nationale spécifiquement dédiée à l'étude de la migration au Mali, réalisée dans le cadre du réseau REMUAO. Avant elle, les </w:t>
      </w:r>
      <w:r>
        <w:lastRenderedPageBreak/>
        <w:t>seules sources disponibles sur les migrations internationales au Mali étaient les recensements de 1976 et 1987, qui ne mesuraient que les migrants de durée de vie de façon indirecte.</w:t>
      </w:r>
    </w:p>
    <w:p w14:paraId="20BBA5DB" w14:textId="77777777" w:rsidR="00B35872" w:rsidRDefault="000576C5">
      <w:pPr>
        <w:spacing w:before="200" w:after="80"/>
      </w:pPr>
      <w:r>
        <w:rPr>
          <w:b/>
          <w:bCs/>
          <w:color w:val="404040"/>
          <w:sz w:val="24"/>
          <w:szCs w:val="24"/>
        </w:rPr>
        <w:t>Sections couvertes</w:t>
      </w:r>
    </w:p>
    <w:p w14:paraId="20BBA5DC" w14:textId="77777777" w:rsidR="00B35872" w:rsidRDefault="000576C5">
      <w:pPr>
        <w:spacing w:before="60" w:after="60"/>
      </w:pPr>
      <w:r>
        <w:t>Flux migratoires internes et internationaux sur la période 1988-1992, matrices migratoires, caractéristiques socio-démographiques des migrants (structures par âge et sexe, état matrimonial, niveau d'instruction, activité économique), urbanisation et contexte historique des migrations maliennes, comparaison avec les données des recensements de 1976 et 1987.</w:t>
      </w:r>
    </w:p>
    <w:p w14:paraId="20BBA5DD" w14:textId="77777777" w:rsidR="00B35872" w:rsidRDefault="000576C5">
      <w:pPr>
        <w:spacing w:before="60" w:after="60"/>
      </w:pPr>
      <w:r>
        <w:rPr>
          <w:b/>
          <w:bCs/>
        </w:rPr>
        <w:t xml:space="preserve">Catalogue DEMOSTAF-INED : </w:t>
      </w:r>
      <w:hyperlink r:id="rId33" w:history="1">
        <w:r>
          <w:rPr>
            <w:color w:val="0563C1"/>
            <w:u w:val="single"/>
          </w:rPr>
          <w:t>https://demostaf.web.ined.fr/index.php/catalog/378/study-description</w:t>
        </w:r>
      </w:hyperlink>
    </w:p>
    <w:p w14:paraId="20BBA5DE" w14:textId="77777777" w:rsidR="00B35872" w:rsidRDefault="00B35872">
      <w:pPr>
        <w:pBdr>
          <w:bottom w:val="single" w:sz="4" w:space="1" w:color="CCCCCC"/>
        </w:pBdr>
        <w:spacing w:before="120" w:after="120"/>
      </w:pPr>
    </w:p>
    <w:p w14:paraId="20BBA5DF" w14:textId="77777777" w:rsidR="00B35872" w:rsidRDefault="000576C5">
      <w:pPr>
        <w:pStyle w:val="Heading2"/>
      </w:pPr>
      <w:r>
        <w:t>14. Enquêtes Démographiques et de Santé (EDS) — Module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E0"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E1" w14:textId="77777777" w:rsidR="00B35872" w:rsidRDefault="000576C5">
            <w:r>
              <w:rPr>
                <w:sz w:val="20"/>
                <w:szCs w:val="20"/>
              </w:rPr>
              <w:t>Afrique subsaharienne (30+ pays)</w:t>
            </w:r>
          </w:p>
        </w:tc>
      </w:tr>
      <w:tr w:rsidR="00B35872" w14:paraId="20BBA5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E3"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E4" w14:textId="77777777" w:rsidR="00B35872" w:rsidRDefault="000576C5">
            <w:r>
              <w:rPr>
                <w:sz w:val="20"/>
                <w:szCs w:val="20"/>
              </w:rPr>
              <w:t>1984 – présent (vagues tous les 5 ans environ par pays)</w:t>
            </w:r>
          </w:p>
        </w:tc>
      </w:tr>
      <w:tr w:rsidR="00B35872" w14:paraId="20BBA5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E6"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E7" w14:textId="77777777" w:rsidR="00B35872" w:rsidRDefault="000576C5">
            <w:r>
              <w:rPr>
                <w:sz w:val="20"/>
                <w:szCs w:val="20"/>
              </w:rPr>
              <w:t>ICF International / USAID — DHS Program</w:t>
            </w:r>
          </w:p>
        </w:tc>
      </w:tr>
      <w:tr w:rsidR="00B35872" w14:paraId="20BBA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E9"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EA" w14:textId="77777777" w:rsidR="00B35872" w:rsidRDefault="000576C5">
            <w:r>
              <w:rPr>
                <w:sz w:val="20"/>
                <w:szCs w:val="20"/>
              </w:rPr>
              <w:t>Libre (après enregistrement sur le portail DHS)</w:t>
            </w:r>
          </w:p>
        </w:tc>
      </w:tr>
    </w:tbl>
    <w:p w14:paraId="20BBA5EC" w14:textId="77777777" w:rsidR="00B35872" w:rsidRDefault="00B35872">
      <w:pPr>
        <w:spacing w:before="120" w:after="60"/>
      </w:pPr>
    </w:p>
    <w:p w14:paraId="20BBA5ED" w14:textId="77777777" w:rsidR="00B35872" w:rsidRDefault="000576C5">
      <w:pPr>
        <w:spacing w:before="200" w:after="80"/>
      </w:pPr>
      <w:r>
        <w:rPr>
          <w:b/>
          <w:bCs/>
          <w:color w:val="404040"/>
          <w:sz w:val="24"/>
          <w:szCs w:val="24"/>
        </w:rPr>
        <w:t>Description</w:t>
      </w:r>
    </w:p>
    <w:p w14:paraId="20BBA5EE" w14:textId="77777777" w:rsidR="00B35872" w:rsidRDefault="000576C5">
      <w:pPr>
        <w:spacing w:before="60" w:after="60"/>
      </w:pPr>
      <w:r>
        <w:t>Les Enquêtes Démographiques et de Santé (EDS / DHS) sont des enquêtes ménages représentatives au niveau national, couvrant une large gamme de thématiques en santé, nutrition, fécondité et population. Plusieurs vagues nationales incluent un module sur le lieu de résidence antérieur, le lieu de naissance ou l'expérience migratoire des membres du ménage, permettant d'analyser la migration en lien avec les déterminants de santé et de fécondité. Les données sont harmonisées entre pays et dans le temps grâce au p</w:t>
      </w:r>
      <w:r>
        <w:t>rogramme DHS.</w:t>
      </w:r>
    </w:p>
    <w:p w14:paraId="20BBA5EF" w14:textId="77777777" w:rsidR="00B35872" w:rsidRDefault="000576C5">
      <w:pPr>
        <w:spacing w:before="200" w:after="80"/>
      </w:pPr>
      <w:r>
        <w:rPr>
          <w:b/>
          <w:bCs/>
          <w:color w:val="404040"/>
          <w:sz w:val="24"/>
          <w:szCs w:val="24"/>
        </w:rPr>
        <w:t>Sections couvertes</w:t>
      </w:r>
    </w:p>
    <w:p w14:paraId="20BBA5F0" w14:textId="77777777" w:rsidR="00B35872" w:rsidRDefault="000576C5">
      <w:pPr>
        <w:spacing w:before="60" w:after="60"/>
      </w:pPr>
      <w:r>
        <w:t>Lieu de naissance et lieu de résidence actuel, lieu de résidence précédent (migration récente), durée de résidence dans le lieu actuel, type de lieu de résidence antérieur (rural/urbain), caractéristiques socio-démographiques des femmes et ménages en lien avec la migration, accès aux services de santé selon le statut migratoire.</w:t>
      </w:r>
    </w:p>
    <w:p w14:paraId="20BBA5F1" w14:textId="77777777" w:rsidR="00B35872" w:rsidRDefault="000576C5">
      <w:pPr>
        <w:spacing w:before="60" w:after="60"/>
      </w:pPr>
      <w:r>
        <w:rPr>
          <w:b/>
          <w:bCs/>
        </w:rPr>
        <w:t xml:space="preserve">Portail DHS Program : </w:t>
      </w:r>
      <w:hyperlink r:id="rId34" w:history="1">
        <w:r>
          <w:rPr>
            <w:color w:val="0563C1"/>
            <w:u w:val="single"/>
          </w:rPr>
          <w:t>https://dhsprogram.com/data/</w:t>
        </w:r>
      </w:hyperlink>
    </w:p>
    <w:p w14:paraId="20BBA5F2" w14:textId="77777777" w:rsidR="00B35872" w:rsidRDefault="000576C5">
      <w:pPr>
        <w:spacing w:before="60" w:after="60"/>
      </w:pPr>
      <w:r>
        <w:rPr>
          <w:b/>
          <w:bCs/>
        </w:rPr>
        <w:t xml:space="preserve">Données harmonisées IPUMS-DHS : </w:t>
      </w:r>
      <w:hyperlink r:id="rId35" w:history="1">
        <w:r>
          <w:rPr>
            <w:color w:val="0563C1"/>
            <w:u w:val="single"/>
          </w:rPr>
          <w:t>https://www.idhsdata.org/idhs/</w:t>
        </w:r>
      </w:hyperlink>
    </w:p>
    <w:p w14:paraId="20BBA5F3" w14:textId="77777777" w:rsidR="00B35872" w:rsidRDefault="00B35872">
      <w:pPr>
        <w:pBdr>
          <w:bottom w:val="single" w:sz="4" w:space="1" w:color="CCCCCC"/>
        </w:pBdr>
        <w:spacing w:before="120" w:after="120"/>
      </w:pPr>
    </w:p>
    <w:p w14:paraId="20BBA5F4" w14:textId="77777777" w:rsidR="00B35872" w:rsidRDefault="000576C5">
      <w:pPr>
        <w:pStyle w:val="Heading2"/>
      </w:pPr>
      <w:r>
        <w:t>15. Sources régionales CEDEAO — Migration en Afrique de l'Ouest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5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F5"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F6" w14:textId="77777777" w:rsidR="00B35872" w:rsidRDefault="000576C5">
            <w:r>
              <w:rPr>
                <w:sz w:val="20"/>
                <w:szCs w:val="20"/>
              </w:rPr>
              <w:t>Afrique de l'Ouest (15 pays membres de la CEDEAO)</w:t>
            </w:r>
          </w:p>
        </w:tc>
      </w:tr>
      <w:tr w:rsidR="00B35872" w14:paraId="20BBA5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F8"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F9" w14:textId="77777777" w:rsidR="00B35872" w:rsidRDefault="000576C5">
            <w:r>
              <w:rPr>
                <w:sz w:val="20"/>
                <w:szCs w:val="20"/>
              </w:rPr>
              <w:t>Variable</w:t>
            </w:r>
          </w:p>
        </w:tc>
      </w:tr>
      <w:tr w:rsidR="00B35872" w14:paraId="20BBA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FB"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FC" w14:textId="77777777" w:rsidR="00B35872" w:rsidRDefault="000576C5">
            <w:r>
              <w:rPr>
                <w:sz w:val="20"/>
                <w:szCs w:val="20"/>
              </w:rPr>
              <w:t>CEDEAO / ECOWAS ; Observatoire ACP sur les Migrations</w:t>
            </w:r>
          </w:p>
        </w:tc>
      </w:tr>
      <w:tr w:rsidR="00B35872" w14:paraId="20BBA6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5FE"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5FF" w14:textId="77777777" w:rsidR="00B35872" w:rsidRDefault="000576C5">
            <w:r>
              <w:rPr>
                <w:sz w:val="20"/>
                <w:szCs w:val="20"/>
              </w:rPr>
              <w:t>Partiellement libre</w:t>
            </w:r>
          </w:p>
        </w:tc>
      </w:tr>
    </w:tbl>
    <w:p w14:paraId="20BBA601" w14:textId="77777777" w:rsidR="00B35872" w:rsidRDefault="00B35872">
      <w:pPr>
        <w:spacing w:before="120" w:after="60"/>
      </w:pPr>
    </w:p>
    <w:p w14:paraId="20BBA602" w14:textId="77777777" w:rsidR="00B35872" w:rsidRDefault="000576C5">
      <w:pPr>
        <w:spacing w:before="200" w:after="80"/>
      </w:pPr>
      <w:r>
        <w:rPr>
          <w:b/>
          <w:bCs/>
          <w:color w:val="404040"/>
          <w:sz w:val="24"/>
          <w:szCs w:val="24"/>
        </w:rPr>
        <w:t>Description</w:t>
      </w:r>
    </w:p>
    <w:p w14:paraId="20BBA603" w14:textId="77777777" w:rsidR="00B35872" w:rsidRDefault="000576C5">
      <w:pPr>
        <w:spacing w:before="60" w:after="60"/>
      </w:pPr>
      <w:r>
        <w:t>La CEDEAO a mis en place le Protocole sur la libre circulation des personnes de 1979, qui garantit aux ressortissants des pays membres le droit d'entrer, de résider et de travailler dans les autres États membres. L'Observatoire ACP sur les Migrations (financé par l'UE et le Groupe ACP) a produit des données et analyses sur les flux migratoires en Afrique de l'Ouest dans le cadre de ce protocole, ainsi que des rapports sur la migration irrégulière et la traite des personnes.</w:t>
      </w:r>
    </w:p>
    <w:p w14:paraId="20BBA604" w14:textId="77777777" w:rsidR="00B35872" w:rsidRDefault="000576C5">
      <w:pPr>
        <w:spacing w:before="200" w:after="80"/>
      </w:pPr>
      <w:r>
        <w:rPr>
          <w:b/>
          <w:bCs/>
          <w:color w:val="404040"/>
          <w:sz w:val="24"/>
          <w:szCs w:val="24"/>
        </w:rPr>
        <w:t>Sections couvertes</w:t>
      </w:r>
    </w:p>
    <w:p w14:paraId="20BBA605" w14:textId="77777777" w:rsidR="00B35872" w:rsidRDefault="000576C5">
      <w:pPr>
        <w:spacing w:before="60" w:after="60"/>
      </w:pPr>
      <w:r>
        <w:t>Stocks de migrants intracommunautaires (CEDEAO), corridors migratoires Ouest-africains, flux liés au protocole de libre circulation, données sur la migration irrégulière et la traite des personnes, envoi de fonds intra-régionaux, coûts de la migration régionale.</w:t>
      </w:r>
    </w:p>
    <w:p w14:paraId="20BBA606" w14:textId="77777777" w:rsidR="00B35872" w:rsidRDefault="000576C5">
      <w:pPr>
        <w:spacing w:before="60" w:after="60"/>
      </w:pPr>
      <w:r>
        <w:rPr>
          <w:b/>
          <w:bCs/>
        </w:rPr>
        <w:t xml:space="preserve">ECOWAS Migration : </w:t>
      </w:r>
      <w:hyperlink r:id="rId36" w:history="1">
        <w:r>
          <w:rPr>
            <w:color w:val="0563C1"/>
            <w:u w:val="single"/>
          </w:rPr>
          <w:t>https://www.ecowas.int/ecowas-topics/free-movement-of-persons-and-migration/</w:t>
        </w:r>
      </w:hyperlink>
    </w:p>
    <w:p w14:paraId="20BBA607" w14:textId="77777777" w:rsidR="00B35872" w:rsidRDefault="000576C5">
      <w:pPr>
        <w:spacing w:before="60" w:after="60"/>
      </w:pPr>
      <w:r>
        <w:rPr>
          <w:b/>
          <w:bCs/>
        </w:rPr>
        <w:t xml:space="preserve">Observatoire ACP sur les Migrations : </w:t>
      </w:r>
      <w:hyperlink r:id="rId37" w:history="1">
        <w:r>
          <w:rPr>
            <w:color w:val="0563C1"/>
            <w:u w:val="single"/>
          </w:rPr>
          <w:t>https://www.acpmigration-obs.org/</w:t>
        </w:r>
      </w:hyperlink>
    </w:p>
    <w:p w14:paraId="20BBA608" w14:textId="77777777" w:rsidR="00B35872" w:rsidRDefault="000576C5">
      <w:r>
        <w:br w:type="page"/>
      </w:r>
    </w:p>
    <w:p w14:paraId="20BBA609" w14:textId="77777777" w:rsidR="00B35872" w:rsidRDefault="000576C5">
      <w:pPr>
        <w:pStyle w:val="Heading1"/>
      </w:pPr>
      <w:r>
        <w:lastRenderedPageBreak/>
        <w:t>IV. Bases de données sur la migration qualifiée (fuite des cerveaux)</w:t>
      </w:r>
    </w:p>
    <w:p w14:paraId="20BBA60A" w14:textId="77777777" w:rsidR="00B35872" w:rsidRDefault="00B35872">
      <w:pPr>
        <w:pBdr>
          <w:bottom w:val="single" w:sz="4" w:space="1" w:color="CCCCCC"/>
        </w:pBdr>
        <w:spacing w:before="120" w:after="120"/>
      </w:pPr>
    </w:p>
    <w:p w14:paraId="20BBA60B" w14:textId="77777777" w:rsidR="00B35872" w:rsidRDefault="000576C5">
      <w:pPr>
        <w:pStyle w:val="Heading2"/>
      </w:pPr>
      <w:r>
        <w:t>16. Docquier &amp; Marfouk / IAB Brain Drain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0C"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0D" w14:textId="77777777" w:rsidR="00B35872" w:rsidRDefault="000576C5">
            <w:r>
              <w:rPr>
                <w:sz w:val="20"/>
                <w:szCs w:val="20"/>
              </w:rPr>
              <w:t>Monde entier (dont Afrique subsaharienne)</w:t>
            </w:r>
          </w:p>
        </w:tc>
      </w:tr>
      <w:tr w:rsidR="00B35872" w14:paraId="20BBA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0F"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10" w14:textId="77777777" w:rsidR="00B35872" w:rsidRDefault="000576C5">
            <w:r>
              <w:rPr>
                <w:sz w:val="20"/>
                <w:szCs w:val="20"/>
              </w:rPr>
              <w:t>1990 – 2000 (version originale) ; mises à jour ultérieures disponibles</w:t>
            </w:r>
          </w:p>
        </w:tc>
      </w:tr>
      <w:tr w:rsidR="00B35872" w14:paraId="20BBA6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12"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13" w14:textId="77777777" w:rsidR="00B35872" w:rsidRDefault="000576C5">
            <w:r>
              <w:rPr>
                <w:sz w:val="20"/>
                <w:szCs w:val="20"/>
              </w:rPr>
              <w:t>Frédéric Docquier (UCLouvain) / IAB (Institut pour l'Emploi, Nuremberg)</w:t>
            </w:r>
          </w:p>
        </w:tc>
      </w:tr>
      <w:tr w:rsidR="00B35872" w14:paraId="20BBA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15"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16" w14:textId="77777777" w:rsidR="00B35872" w:rsidRDefault="000576C5">
            <w:r>
              <w:rPr>
                <w:sz w:val="20"/>
                <w:szCs w:val="20"/>
              </w:rPr>
              <w:t>Libre et gratuit</w:t>
            </w:r>
          </w:p>
        </w:tc>
      </w:tr>
    </w:tbl>
    <w:p w14:paraId="20BBA618" w14:textId="77777777" w:rsidR="00B35872" w:rsidRDefault="00B35872">
      <w:pPr>
        <w:spacing w:before="120" w:after="60"/>
      </w:pPr>
    </w:p>
    <w:p w14:paraId="20BBA619" w14:textId="77777777" w:rsidR="00B35872" w:rsidRDefault="000576C5">
      <w:pPr>
        <w:spacing w:before="200" w:after="80"/>
      </w:pPr>
      <w:r>
        <w:rPr>
          <w:b/>
          <w:bCs/>
          <w:color w:val="404040"/>
          <w:sz w:val="24"/>
          <w:szCs w:val="24"/>
        </w:rPr>
        <w:t>Description</w:t>
      </w:r>
    </w:p>
    <w:p w14:paraId="20BBA61A" w14:textId="77777777" w:rsidR="00B35872" w:rsidRDefault="000576C5">
      <w:pPr>
        <w:spacing w:before="60" w:after="60"/>
      </w:pPr>
      <w:r>
        <w:t>Cette base de données pionnière fournit des estimations des taux d'émigration des travailleurs qualifiés (diplômés du supérieur) par pays d'origine. Compilée à partir des recensements de 30 pays de l'OCDE, elle permet d'étudier la fuite des cerveaux depuis les pays d'Afrique subsaharienne. Les versions successives (Docquier &amp; Marfouk 2006 ; Docquier, Lowell &amp; Marfouk 2009 ; Beine, Docquier &amp; Rapoport) ont étendu la couverture des pays et des années.</w:t>
      </w:r>
    </w:p>
    <w:p w14:paraId="20BBA61B" w14:textId="77777777" w:rsidR="00B35872" w:rsidRDefault="000576C5">
      <w:pPr>
        <w:spacing w:before="200" w:after="80"/>
      </w:pPr>
      <w:r>
        <w:rPr>
          <w:b/>
          <w:bCs/>
          <w:color w:val="404040"/>
          <w:sz w:val="24"/>
          <w:szCs w:val="24"/>
        </w:rPr>
        <w:t>Sections couvertes</w:t>
      </w:r>
    </w:p>
    <w:p w14:paraId="20BBA61C" w14:textId="77777777" w:rsidR="00B35872" w:rsidRDefault="000576C5">
      <w:pPr>
        <w:spacing w:before="60" w:after="60"/>
      </w:pPr>
      <w:r>
        <w:t>Stocks d'émigrants par pays d'origine, pays de destination et niveau d'éducation (faible, moyen, élevé), taux d'émigration des qualifiés (brain drain rate) pour chaque pays d'Afrique subsaharienne, ventilation par sexe dans les versions récentes, données sur la migration des professionnels de santé (médecins, infirmières) depuis l'Afrique.</w:t>
      </w:r>
    </w:p>
    <w:p w14:paraId="20BBA61D" w14:textId="77777777" w:rsidR="00B35872" w:rsidRDefault="000576C5">
      <w:pPr>
        <w:spacing w:before="60" w:after="60"/>
      </w:pPr>
      <w:r>
        <w:rPr>
          <w:b/>
          <w:bCs/>
        </w:rPr>
        <w:t xml:space="preserve">IAB Brain Drain Database : </w:t>
      </w:r>
      <w:hyperlink r:id="rId38" w:history="1">
        <w:r>
          <w:rPr>
            <w:color w:val="0563C1"/>
            <w:u w:val="single"/>
          </w:rPr>
          <w:t>https://www.iab.de/en/daten/iab-brain-drain-data.aspx</w:t>
        </w:r>
      </w:hyperlink>
    </w:p>
    <w:p w14:paraId="20BBA61E" w14:textId="77777777" w:rsidR="00B35872" w:rsidRDefault="000576C5">
      <w:pPr>
        <w:spacing w:before="60" w:after="60"/>
      </w:pPr>
      <w:r>
        <w:rPr>
          <w:b/>
          <w:bCs/>
        </w:rPr>
        <w:t xml:space="preserve">OCDE — Base données migration qualifiée : </w:t>
      </w:r>
      <w:hyperlink r:id="rId39" w:history="1">
        <w:r>
          <w:rPr>
            <w:color w:val="0563C1"/>
            <w:u w:val="single"/>
          </w:rPr>
          <w:t>https://www.oecd.org/en/data/datasets/database-on-immigrants-in-oecd-and-non-oecd-countries.html</w:t>
        </w:r>
      </w:hyperlink>
    </w:p>
    <w:p w14:paraId="20BBA61F" w14:textId="77777777" w:rsidR="00B35872" w:rsidRDefault="00B35872">
      <w:pPr>
        <w:pBdr>
          <w:bottom w:val="single" w:sz="4" w:space="1" w:color="CCCCCC"/>
        </w:pBdr>
        <w:spacing w:before="120" w:after="120"/>
      </w:pPr>
    </w:p>
    <w:p w14:paraId="20BBA620" w14:textId="77777777" w:rsidR="00B35872" w:rsidRDefault="000576C5">
      <w:pPr>
        <w:pStyle w:val="Heading2"/>
      </w:pPr>
      <w:r>
        <w:t>17. OCDE — DIOC (Database on Immigrants in OECD Countries)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21"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22" w14:textId="77777777" w:rsidR="00B35872" w:rsidRDefault="000576C5">
            <w:r>
              <w:rPr>
                <w:sz w:val="20"/>
                <w:szCs w:val="20"/>
              </w:rPr>
              <w:t>Pays OCDE (immigrants africains dans les pays de l'OCDE)</w:t>
            </w:r>
          </w:p>
        </w:tc>
      </w:tr>
      <w:tr w:rsidR="00B35872" w14:paraId="20BBA6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24"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25" w14:textId="77777777" w:rsidR="00B35872" w:rsidRDefault="000576C5">
            <w:r>
              <w:rPr>
                <w:sz w:val="20"/>
                <w:szCs w:val="20"/>
              </w:rPr>
              <w:t>2000-2001, 2005-2006, 2010-2011, 2015-2016</w:t>
            </w:r>
          </w:p>
        </w:tc>
      </w:tr>
      <w:tr w:rsidR="00B35872" w14:paraId="20BBA6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27"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28" w14:textId="77777777" w:rsidR="00B35872" w:rsidRDefault="000576C5">
            <w:r>
              <w:rPr>
                <w:sz w:val="20"/>
                <w:szCs w:val="20"/>
              </w:rPr>
              <w:t>Organisation de Coopération et de Développement Économiques (OCDE)</w:t>
            </w:r>
          </w:p>
        </w:tc>
      </w:tr>
      <w:tr w:rsidR="00B35872" w14:paraId="20BBA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2A"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2B" w14:textId="77777777" w:rsidR="00B35872" w:rsidRDefault="000576C5">
            <w:r>
              <w:rPr>
                <w:sz w:val="20"/>
                <w:szCs w:val="20"/>
              </w:rPr>
              <w:t>Libre et gratuit</w:t>
            </w:r>
          </w:p>
        </w:tc>
      </w:tr>
    </w:tbl>
    <w:p w14:paraId="20BBA62D" w14:textId="77777777" w:rsidR="00B35872" w:rsidRDefault="00B35872">
      <w:pPr>
        <w:spacing w:before="120" w:after="60"/>
      </w:pPr>
    </w:p>
    <w:p w14:paraId="20BBA62E" w14:textId="77777777" w:rsidR="00B35872" w:rsidRDefault="000576C5">
      <w:pPr>
        <w:spacing w:before="200" w:after="80"/>
      </w:pPr>
      <w:r>
        <w:rPr>
          <w:b/>
          <w:bCs/>
          <w:color w:val="404040"/>
          <w:sz w:val="24"/>
          <w:szCs w:val="24"/>
        </w:rPr>
        <w:t>Description</w:t>
      </w:r>
    </w:p>
    <w:p w14:paraId="20BBA62F" w14:textId="77777777" w:rsidR="00B35872" w:rsidRDefault="000576C5">
      <w:pPr>
        <w:spacing w:before="60" w:after="60"/>
      </w:pPr>
      <w:r>
        <w:lastRenderedPageBreak/>
        <w:t>La base DIOC rassemble des données harmonisées sur les immigrants dans les pays de l'OCDE, issues principalement des recensements nationaux. Elle permet d'étudier les caractéristiques des immigrants d'Afrique subsaharienne dans les pays développés : niveau de qualification, intégration sur le marché du travail, statut d'activité, composition par âge et sexe. Pour chaque pays de destination OCDE, les données sont ventilées par pays de naissance des immigrants.</w:t>
      </w:r>
    </w:p>
    <w:p w14:paraId="20BBA630" w14:textId="77777777" w:rsidR="00B35872" w:rsidRDefault="000576C5">
      <w:pPr>
        <w:spacing w:before="200" w:after="80"/>
      </w:pPr>
      <w:r>
        <w:rPr>
          <w:b/>
          <w:bCs/>
          <w:color w:val="404040"/>
          <w:sz w:val="24"/>
          <w:szCs w:val="24"/>
        </w:rPr>
        <w:t>Sections couvertes</w:t>
      </w:r>
    </w:p>
    <w:p w14:paraId="20BBA631" w14:textId="77777777" w:rsidR="00B35872" w:rsidRDefault="000576C5">
      <w:pPr>
        <w:spacing w:before="60" w:after="60"/>
      </w:pPr>
      <w:r>
        <w:t>Stocks d'immigrants par pays de naissance et de destination, caractéristiques démographiques (âge, sexe), niveau d'éducation, statut d'emploi, secteur d'activité, revenus (dans certaines versions), double nationalité. Couvre les principaux corridors d'Afrique subsaharienne vers les pays OCDE (France, Royaume-Uni, Italie, Espagne, États-Unis, etc.).</w:t>
      </w:r>
    </w:p>
    <w:p w14:paraId="20BBA632" w14:textId="77777777" w:rsidR="00B35872" w:rsidRDefault="000576C5">
      <w:pPr>
        <w:spacing w:before="60" w:after="60"/>
      </w:pPr>
      <w:r>
        <w:rPr>
          <w:b/>
          <w:bCs/>
        </w:rPr>
        <w:t xml:space="preserve">DIOC — OCDE : </w:t>
      </w:r>
      <w:hyperlink r:id="rId40" w:history="1">
        <w:r>
          <w:rPr>
            <w:color w:val="0563C1"/>
            <w:u w:val="single"/>
          </w:rPr>
          <w:t>https://www.oecd.org/en/data/datasets/database-on-immigrants-in-oecd-and-non-oecd-countries.html</w:t>
        </w:r>
      </w:hyperlink>
    </w:p>
    <w:p w14:paraId="20BBA633" w14:textId="77777777" w:rsidR="00B35872" w:rsidRDefault="000576C5">
      <w:r>
        <w:br w:type="page"/>
      </w:r>
    </w:p>
    <w:p w14:paraId="20BBA634" w14:textId="77777777" w:rsidR="00B35872" w:rsidRDefault="000576C5">
      <w:pPr>
        <w:pStyle w:val="Heading1"/>
      </w:pPr>
      <w:r>
        <w:lastRenderedPageBreak/>
        <w:t>V. Bases de données humanitaires sur les déplacements forcés</w:t>
      </w:r>
    </w:p>
    <w:p w14:paraId="20BBA635" w14:textId="77777777" w:rsidR="00B35872" w:rsidRDefault="00B35872">
      <w:pPr>
        <w:pBdr>
          <w:bottom w:val="single" w:sz="4" w:space="1" w:color="CCCCCC"/>
        </w:pBdr>
        <w:spacing w:before="120" w:after="120"/>
      </w:pPr>
    </w:p>
    <w:p w14:paraId="20BBA636" w14:textId="77777777" w:rsidR="00B35872" w:rsidRDefault="000576C5">
      <w:pPr>
        <w:pStyle w:val="Heading2"/>
      </w:pPr>
      <w:r>
        <w:t>18. IDMC — Internal Displacement Monitoring Centre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37"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38" w14:textId="77777777" w:rsidR="00B35872" w:rsidRDefault="000576C5">
            <w:r>
              <w:rPr>
                <w:sz w:val="20"/>
                <w:szCs w:val="20"/>
              </w:rPr>
              <w:t>Monde entier, focus fort sur l'Afrique subsaharienne</w:t>
            </w:r>
          </w:p>
        </w:tc>
      </w:tr>
      <w:tr w:rsidR="00B35872" w14:paraId="20BBA6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3A"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3B" w14:textId="77777777" w:rsidR="00B35872" w:rsidRDefault="000576C5">
            <w:r>
              <w:rPr>
                <w:sz w:val="20"/>
                <w:szCs w:val="20"/>
              </w:rPr>
              <w:t>2008 – présent (annuel)</w:t>
            </w:r>
          </w:p>
        </w:tc>
      </w:tr>
      <w:tr w:rsidR="00B35872" w14:paraId="20BBA6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3D"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3E" w14:textId="77777777" w:rsidR="00B35872" w:rsidRDefault="000576C5">
            <w:r>
              <w:rPr>
                <w:sz w:val="20"/>
                <w:szCs w:val="20"/>
              </w:rPr>
              <w:t>Internal Displacement Monitoring Centre (IDMC) / Conseil Norvégien pour les Réfugiés (NRC)</w:t>
            </w:r>
          </w:p>
        </w:tc>
      </w:tr>
      <w:tr w:rsidR="00B35872" w14:paraId="20BBA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40"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41" w14:textId="77777777" w:rsidR="00B35872" w:rsidRDefault="000576C5">
            <w:r>
              <w:rPr>
                <w:sz w:val="20"/>
                <w:szCs w:val="20"/>
              </w:rPr>
              <w:t>Libre et gratuit</w:t>
            </w:r>
          </w:p>
        </w:tc>
      </w:tr>
    </w:tbl>
    <w:p w14:paraId="20BBA643" w14:textId="77777777" w:rsidR="00B35872" w:rsidRDefault="00B35872">
      <w:pPr>
        <w:spacing w:before="120" w:after="60"/>
      </w:pPr>
    </w:p>
    <w:p w14:paraId="20BBA644" w14:textId="77777777" w:rsidR="00B35872" w:rsidRDefault="000576C5">
      <w:pPr>
        <w:spacing w:before="200" w:after="80"/>
      </w:pPr>
      <w:r>
        <w:rPr>
          <w:b/>
          <w:bCs/>
          <w:color w:val="404040"/>
          <w:sz w:val="24"/>
          <w:szCs w:val="24"/>
        </w:rPr>
        <w:t>Description</w:t>
      </w:r>
    </w:p>
    <w:p w14:paraId="20BBA645" w14:textId="77777777" w:rsidR="00B35872" w:rsidRDefault="000576C5">
      <w:pPr>
        <w:spacing w:before="60" w:after="60"/>
      </w:pPr>
      <w:r>
        <w:t>L'IDMC est l'autorité de référence mondiale sur le déplacement interne. Son rapport annuel GRID (Global Report on Internal Displacement) fournit des estimations des nouveaux déplacements (liés aux conflits et aux catastrophes naturelles) et des stocks de personnes déplacées internes (PDI) dans chaque pays. L'Afrique subsaharienne, notamment la région du Sahel, la Corne de l'Afrique et la RDC, concentre une part majeure des déplacements internes mondiaux.</w:t>
      </w:r>
    </w:p>
    <w:p w14:paraId="20BBA646" w14:textId="77777777" w:rsidR="00B35872" w:rsidRDefault="000576C5">
      <w:pPr>
        <w:spacing w:before="200" w:after="80"/>
      </w:pPr>
      <w:r>
        <w:rPr>
          <w:b/>
          <w:bCs/>
          <w:color w:val="404040"/>
          <w:sz w:val="24"/>
          <w:szCs w:val="24"/>
        </w:rPr>
        <w:t>Sections couvertes</w:t>
      </w:r>
    </w:p>
    <w:p w14:paraId="20BBA647" w14:textId="77777777" w:rsidR="00B35872" w:rsidRDefault="000576C5">
      <w:pPr>
        <w:spacing w:before="60" w:after="60"/>
      </w:pPr>
      <w:r>
        <w:t>Nouveaux déplacements annuels par pays (liés aux conflits armés et aux catastrophes naturelles), stocks de PDI en fin d'année, données désagrégées par type de choc, analyse des tendances et des profils de vulnérabilité, données économiques sur le coût du déplacement interne.</w:t>
      </w:r>
    </w:p>
    <w:p w14:paraId="20BBA648" w14:textId="77777777" w:rsidR="00B35872" w:rsidRDefault="000576C5">
      <w:pPr>
        <w:spacing w:before="60" w:after="60"/>
      </w:pPr>
      <w:r>
        <w:rPr>
          <w:b/>
          <w:bCs/>
        </w:rPr>
        <w:t xml:space="preserve">Portail IDMC : </w:t>
      </w:r>
      <w:hyperlink r:id="rId41" w:history="1">
        <w:r>
          <w:rPr>
            <w:color w:val="0563C1"/>
            <w:u w:val="single"/>
          </w:rPr>
          <w:t>https://www.internal-displacement.org/</w:t>
        </w:r>
      </w:hyperlink>
    </w:p>
    <w:p w14:paraId="20BBA649" w14:textId="77777777" w:rsidR="00B35872" w:rsidRDefault="000576C5">
      <w:pPr>
        <w:spacing w:before="60" w:after="60"/>
      </w:pPr>
      <w:r>
        <w:rPr>
          <w:b/>
          <w:bCs/>
        </w:rPr>
        <w:t xml:space="preserve">Téléchargement des données GRID : </w:t>
      </w:r>
      <w:hyperlink r:id="rId42" w:history="1">
        <w:r>
          <w:rPr>
            <w:color w:val="0563C1"/>
            <w:u w:val="single"/>
          </w:rPr>
          <w:t>https://www.internal-displacement.org/database/displacement-data</w:t>
        </w:r>
      </w:hyperlink>
    </w:p>
    <w:p w14:paraId="20BBA64A" w14:textId="77777777" w:rsidR="00B35872" w:rsidRDefault="00B35872">
      <w:pPr>
        <w:pBdr>
          <w:bottom w:val="single" w:sz="4" w:space="1" w:color="CCCCCC"/>
        </w:pBdr>
        <w:spacing w:before="120" w:after="120"/>
      </w:pPr>
    </w:p>
    <w:p w14:paraId="20BBA64B" w14:textId="77777777" w:rsidR="00B35872" w:rsidRDefault="000576C5">
      <w:pPr>
        <w:pStyle w:val="Heading2"/>
      </w:pPr>
      <w:r>
        <w:t>19. ACLED — Armed Conflict Location and Event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5872" w14:paraId="20BBA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4C" w14:textId="77777777" w:rsidR="00B35872" w:rsidRDefault="000576C5">
            <w:r>
              <w:rPr>
                <w:b/>
                <w:bCs/>
                <w:sz w:val="20"/>
                <w:szCs w:val="20"/>
              </w:rPr>
              <w:t>Zone géographique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4D" w14:textId="77777777" w:rsidR="00B35872" w:rsidRDefault="000576C5">
            <w:r>
              <w:rPr>
                <w:sz w:val="20"/>
                <w:szCs w:val="20"/>
              </w:rPr>
              <w:t>Afrique, Asie, Moyen-Orient, Europe (couverture mondiale)</w:t>
            </w:r>
          </w:p>
        </w:tc>
      </w:tr>
      <w:tr w:rsidR="00B35872" w14:paraId="20BBA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4F" w14:textId="77777777" w:rsidR="00B35872" w:rsidRDefault="000576C5">
            <w:r>
              <w:rPr>
                <w:b/>
                <w:bCs/>
                <w:sz w:val="20"/>
                <w:szCs w:val="20"/>
              </w:rPr>
              <w:t>Période couverte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50" w14:textId="77777777" w:rsidR="00B35872" w:rsidRDefault="000576C5">
            <w:r>
              <w:rPr>
                <w:sz w:val="20"/>
                <w:szCs w:val="20"/>
              </w:rPr>
              <w:t>1997 – présent (Afrique) ; plus récent pour d'autres régions</w:t>
            </w:r>
          </w:p>
        </w:tc>
      </w:tr>
      <w:tr w:rsidR="00B35872" w14:paraId="20BBA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52" w14:textId="77777777" w:rsidR="00B35872" w:rsidRDefault="000576C5">
            <w:r>
              <w:rPr>
                <w:b/>
                <w:bCs/>
                <w:sz w:val="20"/>
                <w:szCs w:val="20"/>
              </w:rPr>
              <w:t>Source / Gestionnaire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53" w14:textId="77777777" w:rsidR="00B35872" w:rsidRDefault="000576C5">
            <w:r>
              <w:rPr>
                <w:sz w:val="20"/>
                <w:szCs w:val="20"/>
              </w:rPr>
              <w:t>ACLED (indépendant, basé aux USA et en Belgique)</w:t>
            </w:r>
          </w:p>
        </w:tc>
      </w:tr>
      <w:tr w:rsidR="00B35872" w14:paraId="20BBA6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BBA655" w14:textId="77777777" w:rsidR="00B35872" w:rsidRDefault="000576C5">
            <w:r>
              <w:rPr>
                <w:b/>
                <w:bCs/>
                <w:sz w:val="20"/>
                <w:szCs w:val="20"/>
              </w:rPr>
              <w:t>Accès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A656" w14:textId="77777777" w:rsidR="00B35872" w:rsidRDefault="000576C5">
            <w:r>
              <w:rPr>
                <w:sz w:val="20"/>
                <w:szCs w:val="20"/>
              </w:rPr>
              <w:t>Libre (après enregistrement gratuit)</w:t>
            </w:r>
          </w:p>
        </w:tc>
      </w:tr>
    </w:tbl>
    <w:p w14:paraId="20BBA658" w14:textId="77777777" w:rsidR="00B35872" w:rsidRDefault="00B35872">
      <w:pPr>
        <w:spacing w:before="120" w:after="60"/>
      </w:pPr>
    </w:p>
    <w:p w14:paraId="20BBA659" w14:textId="77777777" w:rsidR="00B35872" w:rsidRDefault="000576C5">
      <w:pPr>
        <w:spacing w:before="200" w:after="80"/>
      </w:pPr>
      <w:r>
        <w:rPr>
          <w:b/>
          <w:bCs/>
          <w:color w:val="404040"/>
          <w:sz w:val="24"/>
          <w:szCs w:val="24"/>
        </w:rPr>
        <w:t>Description</w:t>
      </w:r>
    </w:p>
    <w:p w14:paraId="20BBA65A" w14:textId="77777777" w:rsidR="00B35872" w:rsidRDefault="000576C5">
      <w:pPr>
        <w:spacing w:before="60" w:after="60"/>
      </w:pPr>
      <w:r>
        <w:t xml:space="preserve">Bien que n'étant pas une base de données migratoires à proprement parler, ACLED est un outil incontournable pour analyser les déterminants des déplacements forcés en Afrique </w:t>
      </w:r>
      <w:r>
        <w:lastRenderedPageBreak/>
        <w:t>subsaharienne. Elle collecte et code en temps réel les événements de violence politique et de conflits armés (batailles, violences contre des civils, émeutes, manifestations, explosions) à partir de sources médiatiques, humanitaires et gouvernementales. Utilisée couramment pour instrumenter les flux migratoires et réfugiés dans les études économétriques sur la migration.</w:t>
      </w:r>
    </w:p>
    <w:p w14:paraId="20BBA65B" w14:textId="77777777" w:rsidR="00B35872" w:rsidRDefault="000576C5">
      <w:pPr>
        <w:spacing w:before="200" w:after="80"/>
      </w:pPr>
      <w:r>
        <w:rPr>
          <w:b/>
          <w:bCs/>
          <w:color w:val="404040"/>
          <w:sz w:val="24"/>
          <w:szCs w:val="24"/>
        </w:rPr>
        <w:t>Sections couvertes</w:t>
      </w:r>
    </w:p>
    <w:p w14:paraId="20BBA65C" w14:textId="77777777" w:rsidR="00B35872" w:rsidRDefault="000576C5">
      <w:pPr>
        <w:spacing w:before="60" w:after="60"/>
      </w:pPr>
      <w:r>
        <w:t>Événements de conflit géoréférencés (latitude, longitude, date, acteurs impliqués, type d'événement, fatalités), données agrégées par pays, région et période, base de données des acteurs armés (rebel groups, milices, forces gouvernementales), indicateurs d'intensité du conflit par zone administrative.</w:t>
      </w:r>
    </w:p>
    <w:p w14:paraId="20BBA65D" w14:textId="77777777" w:rsidR="00B35872" w:rsidRDefault="000576C5">
      <w:pPr>
        <w:spacing w:before="60" w:after="60"/>
      </w:pPr>
      <w:r>
        <w:rPr>
          <w:b/>
          <w:bCs/>
        </w:rPr>
        <w:t xml:space="preserve">Portail ACLED : </w:t>
      </w:r>
      <w:hyperlink r:id="rId43" w:history="1">
        <w:r>
          <w:rPr>
            <w:color w:val="0563C1"/>
            <w:u w:val="single"/>
          </w:rPr>
          <w:t>https://acleddata.com/</w:t>
        </w:r>
      </w:hyperlink>
    </w:p>
    <w:p w14:paraId="20BBA65E" w14:textId="77777777" w:rsidR="00B35872" w:rsidRDefault="000576C5">
      <w:pPr>
        <w:spacing w:before="60" w:after="60"/>
      </w:pPr>
      <w:r>
        <w:rPr>
          <w:b/>
          <w:bCs/>
        </w:rPr>
        <w:t xml:space="preserve">Téléchargement des données : </w:t>
      </w:r>
      <w:hyperlink r:id="rId44" w:history="1">
        <w:r>
          <w:rPr>
            <w:color w:val="0563C1"/>
            <w:u w:val="single"/>
          </w:rPr>
          <w:t>https://acleddata.com/data-export-tool/</w:t>
        </w:r>
      </w:hyperlink>
    </w:p>
    <w:p w14:paraId="20BBA65F" w14:textId="77777777" w:rsidR="00B35872" w:rsidRDefault="000576C5">
      <w:r>
        <w:br w:type="page"/>
      </w:r>
    </w:p>
    <w:p w14:paraId="20BBA660" w14:textId="77777777" w:rsidR="00B35872" w:rsidRDefault="000576C5">
      <w:pPr>
        <w:pStyle w:val="Heading1"/>
      </w:pPr>
      <w:r>
        <w:lastRenderedPageBreak/>
        <w:t>VI. Remarques générales et conseils d'utilisation</w:t>
      </w:r>
    </w:p>
    <w:p w14:paraId="20BBA661" w14:textId="77777777" w:rsidR="00B35872" w:rsidRDefault="00B35872">
      <w:pPr>
        <w:pBdr>
          <w:bottom w:val="single" w:sz="4" w:space="1" w:color="CCCCCC"/>
        </w:pBdr>
        <w:spacing w:before="120" w:after="120"/>
      </w:pPr>
    </w:p>
    <w:p w14:paraId="20BBA662" w14:textId="77777777" w:rsidR="00B35872" w:rsidRDefault="000576C5">
      <w:pPr>
        <w:pStyle w:val="Heading2"/>
      </w:pPr>
      <w:r>
        <w:t>Défis de la mesure de la migration en Afrique subsaharienne</w:t>
      </w:r>
    </w:p>
    <w:p w14:paraId="20BBA663" w14:textId="77777777" w:rsidR="00B35872" w:rsidRDefault="000576C5">
      <w:pPr>
        <w:spacing w:before="60" w:after="60"/>
      </w:pPr>
      <w:r>
        <w:t>Les données migratoires en Afrique subsaharienne souffrent de plusieurs limites structurelles : peu de pays disposent de systèmes d'enregistrement des flux (entrées/sorties aux frontières), les définitions de la migration ne sont pas harmonisées entre pays, les données ne sont pas toujours désagrégées par âge ou par sexe, et la migration circulaire et informelle est très largement sous-mesurée. Par ailleurs, de nombreux migrants se déplacent sans passer par des postes-frontières officiels, notamment dans le</w:t>
      </w:r>
      <w:r>
        <w:t>s zones à libre circulation (CEDEAO, EAC).</w:t>
      </w:r>
    </w:p>
    <w:p w14:paraId="20BBA664" w14:textId="77777777" w:rsidR="00B35872" w:rsidRDefault="000576C5">
      <w:pPr>
        <w:pStyle w:val="Heading2"/>
      </w:pPr>
      <w:r>
        <w:t>Comment combiner les sources</w:t>
      </w:r>
    </w:p>
    <w:p w14:paraId="20BBA665" w14:textId="77777777" w:rsidR="00B35872" w:rsidRDefault="000576C5">
      <w:pPr>
        <w:spacing w:before="60" w:after="60"/>
      </w:pPr>
      <w:r>
        <w:t>Pour une analyse complète, il est généralement recommandé de combiner plusieurs sources : les stocks bilatéraux (UN DESA, Banque Mondiale) pour le cadrage macroéconomique, les enquêtes ménages spécialisées (MAFE, REMUAO, LSMS) pour les analyses microéconomiques des déterminants et des impacts, les données DTM/UNHCR pour les contextes de crise et de déplacement forcé, et les données ACLED pour instrumenter les chocs d'insécurité.</w:t>
      </w:r>
    </w:p>
    <w:p w14:paraId="20BBA666" w14:textId="77777777" w:rsidR="00B35872" w:rsidRDefault="000576C5">
      <w:pPr>
        <w:pStyle w:val="Heading2"/>
      </w:pPr>
      <w:r>
        <w:t>Pour les remittances et migration qualifiée</w:t>
      </w:r>
    </w:p>
    <w:p w14:paraId="20BBA667" w14:textId="77777777" w:rsidR="00B35872" w:rsidRDefault="000576C5">
      <w:pPr>
        <w:spacing w:before="60" w:after="60"/>
      </w:pPr>
      <w:r>
        <w:t>Les données KNOMAD/Banque Mondiale sur les remises sont les références pour les flux formels, mais sous-estiment significativement les transferts informels (qui peuvent représenter 35 à 75% des transferts formels en Afrique subsaharienne). Pour la fuite des cerveaux, la base IAB/Docquier &amp; Marfouk et les données DIOC de l'OCDE sont complémentaires.</w:t>
      </w:r>
    </w:p>
    <w:p w14:paraId="20BBA668" w14:textId="77777777" w:rsidR="00B35872" w:rsidRDefault="000576C5">
      <w:pPr>
        <w:pStyle w:val="Heading2"/>
      </w:pPr>
      <w:r>
        <w:t>Accès aux données et réutilisation</w:t>
      </w:r>
    </w:p>
    <w:p w14:paraId="20BBA669" w14:textId="77777777" w:rsidR="00B35872" w:rsidRDefault="000576C5">
      <w:pPr>
        <w:spacing w:before="60" w:after="60"/>
      </w:pPr>
      <w:r>
        <w:t>La plupart des bases mentionnées dans ce document sont accessibles gratuitement après enregistrement. Les données MAFE et REMUAO sont disponibles pour la recherche académique via les portails de l'INED. Les données LSMS-ISA à module migration (Éthiopie ESS, Tanzania NPS, Uganda UNPS, Nigeria GHS-Panel, etc.) sont accessibles via le catalogue microdata de la Banque Mondiale. Les données DTM, UNHCR et IDMC sont entièrement ouvertes et mises à jour régulièrement.</w:t>
      </w:r>
    </w:p>
    <w:p w14:paraId="20BBA66A" w14:textId="77777777" w:rsidR="00B35872" w:rsidRDefault="000576C5">
      <w:pPr>
        <w:pStyle w:val="Heading2"/>
      </w:pPr>
      <w:r>
        <w:t>Portails et agrégateurs utiles</w:t>
      </w:r>
    </w:p>
    <w:p w14:paraId="20BBA66B" w14:textId="77777777" w:rsidR="00B35872" w:rsidRDefault="000576C5">
      <w:pPr>
        <w:spacing w:before="60" w:after="60"/>
      </w:pPr>
      <w:r>
        <w:t>Plusieurs portails centralisent l'accès aux données migratoires africaines :</w:t>
      </w:r>
    </w:p>
    <w:p w14:paraId="20BBA66C" w14:textId="77777777" w:rsidR="00B35872" w:rsidRDefault="000576C5">
      <w:pPr>
        <w:spacing w:before="60" w:after="60"/>
      </w:pPr>
      <w:r>
        <w:rPr>
          <w:b/>
          <w:bCs/>
        </w:rPr>
        <w:t xml:space="preserve">Migration Data Portal (IOM/GMDAC) : </w:t>
      </w:r>
      <w:hyperlink r:id="rId45" w:history="1">
        <w:r>
          <w:rPr>
            <w:color w:val="0563C1"/>
            <w:u w:val="single"/>
          </w:rPr>
          <w:t>https://www.migrationdataportal.org/</w:t>
        </w:r>
      </w:hyperlink>
    </w:p>
    <w:p w14:paraId="20BBA66D" w14:textId="77777777" w:rsidR="00B35872" w:rsidRDefault="000576C5">
      <w:pPr>
        <w:spacing w:before="60" w:after="60"/>
      </w:pPr>
      <w:r>
        <w:rPr>
          <w:b/>
          <w:bCs/>
        </w:rPr>
        <w:t xml:space="preserve">UNHCR Data : </w:t>
      </w:r>
      <w:hyperlink r:id="rId46" w:history="1">
        <w:r>
          <w:rPr>
            <w:color w:val="0563C1"/>
            <w:u w:val="single"/>
          </w:rPr>
          <w:t>https://www.unhcr.org/refugee-statistics/</w:t>
        </w:r>
      </w:hyperlink>
    </w:p>
    <w:p w14:paraId="20BBA66E" w14:textId="77777777" w:rsidR="00B35872" w:rsidRDefault="000576C5">
      <w:pPr>
        <w:spacing w:before="60" w:after="60"/>
      </w:pPr>
      <w:r>
        <w:rPr>
          <w:b/>
          <w:bCs/>
        </w:rPr>
        <w:t xml:space="preserve">World Bank Microdata Catalog : </w:t>
      </w:r>
      <w:hyperlink r:id="rId47" w:history="1">
        <w:r>
          <w:rPr>
            <w:color w:val="0563C1"/>
            <w:u w:val="single"/>
          </w:rPr>
          <w:t>https://microdata.worldbank.org/</w:t>
        </w:r>
      </w:hyperlink>
    </w:p>
    <w:p w14:paraId="20BBA66F" w14:textId="77777777" w:rsidR="00B35872" w:rsidRDefault="000576C5">
      <w:pPr>
        <w:spacing w:before="60" w:after="60"/>
      </w:pPr>
      <w:r>
        <w:rPr>
          <w:b/>
          <w:bCs/>
        </w:rPr>
        <w:t xml:space="preserve">IPUMS International : </w:t>
      </w:r>
      <w:hyperlink r:id="rId48" w:history="1">
        <w:r>
          <w:rPr>
            <w:color w:val="0563C1"/>
            <w:u w:val="single"/>
          </w:rPr>
          <w:t>https://international.ipums.org/international/</w:t>
        </w:r>
      </w:hyperlink>
    </w:p>
    <w:p w14:paraId="20BBA670" w14:textId="77777777" w:rsidR="00B35872" w:rsidRDefault="000576C5">
      <w:pPr>
        <w:spacing w:before="60" w:after="60"/>
      </w:pPr>
      <w:r>
        <w:rPr>
          <w:b/>
          <w:bCs/>
        </w:rPr>
        <w:t xml:space="preserve">IDMC Data : </w:t>
      </w:r>
      <w:hyperlink r:id="rId49" w:history="1">
        <w:r>
          <w:rPr>
            <w:color w:val="0563C1"/>
            <w:u w:val="single"/>
          </w:rPr>
          <w:t>https://www.internal-displacement.org/database/displacement-data</w:t>
        </w:r>
      </w:hyperlink>
    </w:p>
    <w:p w14:paraId="20BBA671" w14:textId="77777777" w:rsidR="00B35872" w:rsidRDefault="000576C5">
      <w:pPr>
        <w:spacing w:before="60" w:after="60"/>
      </w:pPr>
      <w:r>
        <w:rPr>
          <w:b/>
          <w:bCs/>
        </w:rPr>
        <w:t xml:space="preserve">ACLED Data : </w:t>
      </w:r>
      <w:hyperlink r:id="rId50" w:history="1">
        <w:r>
          <w:rPr>
            <w:color w:val="0563C1"/>
            <w:u w:val="single"/>
          </w:rPr>
          <w:t>https://acleddata.com/data-export-tool/</w:t>
        </w:r>
      </w:hyperlink>
    </w:p>
    <w:p w14:paraId="20BBA672" w14:textId="77777777" w:rsidR="00B35872" w:rsidRDefault="000576C5">
      <w:pPr>
        <w:spacing w:before="60" w:after="60"/>
      </w:pPr>
      <w:r>
        <w:rPr>
          <w:b/>
          <w:bCs/>
        </w:rPr>
        <w:t xml:space="preserve">DTM (IOM) : </w:t>
      </w:r>
      <w:hyperlink r:id="rId51" w:history="1">
        <w:r>
          <w:rPr>
            <w:color w:val="0563C1"/>
            <w:u w:val="single"/>
          </w:rPr>
          <w:t>https://dtm.iom.int/</w:t>
        </w:r>
      </w:hyperlink>
    </w:p>
    <w:p w14:paraId="20BBA673" w14:textId="77777777" w:rsidR="00B35872" w:rsidRDefault="000576C5">
      <w:pPr>
        <w:spacing w:before="60" w:after="60"/>
      </w:pPr>
      <w:r>
        <w:rPr>
          <w:b/>
          <w:bCs/>
        </w:rPr>
        <w:t xml:space="preserve">DEMOSTAF-INED (enquêtes africaines) : </w:t>
      </w:r>
      <w:hyperlink r:id="rId52" w:history="1">
        <w:r>
          <w:rPr>
            <w:color w:val="0563C1"/>
            <w:u w:val="single"/>
          </w:rPr>
          <w:t>https://demostaf.web.ined.fr/</w:t>
        </w:r>
      </w:hyperlink>
    </w:p>
    <w:sectPr w:rsidR="00B358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8597C"/>
    <w:multiLevelType w:val="hybridMultilevel"/>
    <w:tmpl w:val="485A0C50"/>
    <w:lvl w:ilvl="0" w:tplc="D90891D6">
      <w:start w:val="1"/>
      <w:numFmt w:val="bullet"/>
      <w:lvlText w:val="●"/>
      <w:lvlJc w:val="left"/>
      <w:pPr>
        <w:ind w:left="720" w:hanging="360"/>
      </w:pPr>
    </w:lvl>
    <w:lvl w:ilvl="1" w:tplc="6D002D7E">
      <w:start w:val="1"/>
      <w:numFmt w:val="bullet"/>
      <w:lvlText w:val="○"/>
      <w:lvlJc w:val="left"/>
      <w:pPr>
        <w:ind w:left="1440" w:hanging="360"/>
      </w:pPr>
    </w:lvl>
    <w:lvl w:ilvl="2" w:tplc="91FA94D2">
      <w:start w:val="1"/>
      <w:numFmt w:val="bullet"/>
      <w:lvlText w:val="■"/>
      <w:lvlJc w:val="left"/>
      <w:pPr>
        <w:ind w:left="2160" w:hanging="360"/>
      </w:pPr>
    </w:lvl>
    <w:lvl w:ilvl="3" w:tplc="AB987640">
      <w:start w:val="1"/>
      <w:numFmt w:val="bullet"/>
      <w:lvlText w:val="●"/>
      <w:lvlJc w:val="left"/>
      <w:pPr>
        <w:ind w:left="2880" w:hanging="360"/>
      </w:pPr>
    </w:lvl>
    <w:lvl w:ilvl="4" w:tplc="FFE482D0">
      <w:start w:val="1"/>
      <w:numFmt w:val="bullet"/>
      <w:lvlText w:val="○"/>
      <w:lvlJc w:val="left"/>
      <w:pPr>
        <w:ind w:left="3600" w:hanging="360"/>
      </w:pPr>
    </w:lvl>
    <w:lvl w:ilvl="5" w:tplc="D6365AD8">
      <w:start w:val="1"/>
      <w:numFmt w:val="bullet"/>
      <w:lvlText w:val="■"/>
      <w:lvlJc w:val="left"/>
      <w:pPr>
        <w:ind w:left="4320" w:hanging="360"/>
      </w:pPr>
    </w:lvl>
    <w:lvl w:ilvl="6" w:tplc="7E1C5CF4">
      <w:start w:val="1"/>
      <w:numFmt w:val="bullet"/>
      <w:lvlText w:val="●"/>
      <w:lvlJc w:val="left"/>
      <w:pPr>
        <w:ind w:left="5040" w:hanging="360"/>
      </w:pPr>
    </w:lvl>
    <w:lvl w:ilvl="7" w:tplc="5630D4FA">
      <w:start w:val="1"/>
      <w:numFmt w:val="bullet"/>
      <w:lvlText w:val="●"/>
      <w:lvlJc w:val="left"/>
      <w:pPr>
        <w:ind w:left="5760" w:hanging="360"/>
      </w:pPr>
    </w:lvl>
    <w:lvl w:ilvl="8" w:tplc="208A9622">
      <w:start w:val="1"/>
      <w:numFmt w:val="bullet"/>
      <w:lvlText w:val="●"/>
      <w:lvlJc w:val="left"/>
      <w:pPr>
        <w:ind w:left="6480" w:hanging="360"/>
      </w:pPr>
    </w:lvl>
  </w:abstractNum>
  <w:num w:numId="1" w16cid:durableId="1156914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72"/>
    <w:rsid w:val="000576C5"/>
    <w:rsid w:val="009F3679"/>
    <w:rsid w:val="00B35872"/>
    <w:rsid w:val="00B7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A4AF"/>
  <w15:docId w15:val="{598C7562-7FF1-4BE7-B53E-D8CD2A74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97D"/>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nomad.org/data/remittances" TargetMode="External"/><Relationship Id="rId18" Type="http://schemas.openxmlformats.org/officeDocument/2006/relationships/hyperlink" Target="https://demostaf.web.ined.fr/index.php/catalog/378/study-description" TargetMode="External"/><Relationship Id="rId26" Type="http://schemas.openxmlformats.org/officeDocument/2006/relationships/hyperlink" Target="https://data.unhcr.org/" TargetMode="External"/><Relationship Id="rId39" Type="http://schemas.openxmlformats.org/officeDocument/2006/relationships/hyperlink" Target="https://www.oecd.org/en/data/datasets/database-on-immigrants-in-oecd-and-non-oecd-countries.html" TargetMode="External"/><Relationship Id="rId21" Type="http://schemas.openxmlformats.org/officeDocument/2006/relationships/hyperlink" Target="https://data.humdata.org/organization/international-organization-for-migration" TargetMode="External"/><Relationship Id="rId34" Type="http://schemas.openxmlformats.org/officeDocument/2006/relationships/hyperlink" Target="https://dhsprogram.com/data/" TargetMode="External"/><Relationship Id="rId42" Type="http://schemas.openxmlformats.org/officeDocument/2006/relationships/hyperlink" Target="https://www.internal-displacement.org/database/displacement-data" TargetMode="External"/><Relationship Id="rId47" Type="http://schemas.openxmlformats.org/officeDocument/2006/relationships/hyperlink" Target="https://microdata.worldbank.org/" TargetMode="External"/><Relationship Id="rId50" Type="http://schemas.openxmlformats.org/officeDocument/2006/relationships/hyperlink" Target="https://acleddata.com/data-export-tool/" TargetMode="External"/><Relationship Id="rId7" Type="http://schemas.openxmlformats.org/officeDocument/2006/relationships/hyperlink" Target="https://databank.worldbank.org/source/global-bilateral-migration" TargetMode="External"/><Relationship Id="rId2" Type="http://schemas.openxmlformats.org/officeDocument/2006/relationships/styles" Target="styles.xml"/><Relationship Id="rId16" Type="http://schemas.openxmlformats.org/officeDocument/2006/relationships/hyperlink" Target="https://data.ined.fr/index.php/catalog/55" TargetMode="External"/><Relationship Id="rId29" Type="http://schemas.openxmlformats.org/officeDocument/2006/relationships/hyperlink" Target="https://international.ipums.org/international/" TargetMode="External"/><Relationship Id="rId11" Type="http://schemas.openxmlformats.org/officeDocument/2006/relationships/hyperlink" Target="https://www.migrationdataportal.org/data-catalogue" TargetMode="External"/><Relationship Id="rId24" Type="http://schemas.openxmlformats.org/officeDocument/2006/relationships/hyperlink" Target="https://www.unhcr.org/refugee-statistics/download/" TargetMode="External"/><Relationship Id="rId32" Type="http://schemas.openxmlformats.org/officeDocument/2006/relationships/hyperlink" Target="https://microdata.worldbank.org/index.php/catalog/" TargetMode="External"/><Relationship Id="rId37" Type="http://schemas.openxmlformats.org/officeDocument/2006/relationships/hyperlink" Target="https://www.acpmigration-obs.org/" TargetMode="External"/><Relationship Id="rId40" Type="http://schemas.openxmlformats.org/officeDocument/2006/relationships/hyperlink" Target="https://www.oecd.org/en/data/datasets/database-on-immigrants-in-oecd-and-non-oecd-countries.html" TargetMode="External"/><Relationship Id="rId45" Type="http://schemas.openxmlformats.org/officeDocument/2006/relationships/hyperlink" Target="https://www.migrationdataportal.org/" TargetMode="External"/><Relationship Id="rId53" Type="http://schemas.openxmlformats.org/officeDocument/2006/relationships/fontTable" Target="fontTable.xml"/><Relationship Id="rId5" Type="http://schemas.openxmlformats.org/officeDocument/2006/relationships/hyperlink" Target="https://www.un.org/development/desa/pd/content/international-migrant-stock" TargetMode="External"/><Relationship Id="rId10" Type="http://schemas.openxmlformats.org/officeDocument/2006/relationships/hyperlink" Target="https://www.migrationdataportal.org/regional-data-overview/western-africa" TargetMode="External"/><Relationship Id="rId19" Type="http://schemas.openxmlformats.org/officeDocument/2006/relationships/hyperlink" Target="https://horizon.documentation.ird.fr/exl-doc/pleins_textes/2023-12/010021422.pdf" TargetMode="External"/><Relationship Id="rId31" Type="http://schemas.openxmlformats.org/officeDocument/2006/relationships/hyperlink" Target="http://www.instat-mali.org/" TargetMode="External"/><Relationship Id="rId44" Type="http://schemas.openxmlformats.org/officeDocument/2006/relationships/hyperlink" Target="https://acleddata.com/data-export-tool/" TargetMode="External"/><Relationship Id="rId52" Type="http://schemas.openxmlformats.org/officeDocument/2006/relationships/hyperlink" Target="https://demostaf.web.ined.fr/" TargetMode="External"/><Relationship Id="rId4" Type="http://schemas.openxmlformats.org/officeDocument/2006/relationships/webSettings" Target="webSettings.xml"/><Relationship Id="rId9" Type="http://schemas.openxmlformats.org/officeDocument/2006/relationships/hyperlink" Target="https://www.migrationdataportal.org/" TargetMode="External"/><Relationship Id="rId14" Type="http://schemas.openxmlformats.org/officeDocument/2006/relationships/hyperlink" Target="https://gmdac.iom.int/africa-migration-data-network-amdn" TargetMode="External"/><Relationship Id="rId22" Type="http://schemas.openxmlformats.org/officeDocument/2006/relationships/hyperlink" Target="https://dtm.iom.int/data-and-analysis/dtm-api" TargetMode="External"/><Relationship Id="rId27" Type="http://schemas.openxmlformats.org/officeDocument/2006/relationships/hyperlink" Target="https://microdata.worldbank.org/index.php/catalog/" TargetMode="External"/><Relationship Id="rId30" Type="http://schemas.openxmlformats.org/officeDocument/2006/relationships/hyperlink" Target="https://international.ipums.org/international/samples.shtml" TargetMode="External"/><Relationship Id="rId35" Type="http://schemas.openxmlformats.org/officeDocument/2006/relationships/hyperlink" Target="https://www.idhsdata.org/idhs/" TargetMode="External"/><Relationship Id="rId43" Type="http://schemas.openxmlformats.org/officeDocument/2006/relationships/hyperlink" Target="https://acleddata.com/" TargetMode="External"/><Relationship Id="rId48" Type="http://schemas.openxmlformats.org/officeDocument/2006/relationships/hyperlink" Target="https://international.ipums.org/international/" TargetMode="External"/><Relationship Id="rId8" Type="http://schemas.openxmlformats.org/officeDocument/2006/relationships/hyperlink" Target="https://datacatalog.worldbank.org/dataset/global-bilateral-migration-database" TargetMode="External"/><Relationship Id="rId51" Type="http://schemas.openxmlformats.org/officeDocument/2006/relationships/hyperlink" Target="https://dtm.iom.int/" TargetMode="External"/><Relationship Id="rId3" Type="http://schemas.openxmlformats.org/officeDocument/2006/relationships/settings" Target="settings.xml"/><Relationship Id="rId12" Type="http://schemas.openxmlformats.org/officeDocument/2006/relationships/hyperlink" Target="https://www.worldbank.org/en/topic/migrationremittancesdiasporaissues/brief/migration-remittances-data" TargetMode="External"/><Relationship Id="rId17" Type="http://schemas.openxmlformats.org/officeDocument/2006/relationships/hyperlink" Target="https://data.ined.fr/index.php/catalog/56" TargetMode="External"/><Relationship Id="rId25" Type="http://schemas.openxmlformats.org/officeDocument/2006/relationships/hyperlink" Target="https://microdata.unhcr.org/" TargetMode="External"/><Relationship Id="rId33" Type="http://schemas.openxmlformats.org/officeDocument/2006/relationships/hyperlink" Target="https://demostaf.web.ined.fr/index.php/catalog/378/study-description" TargetMode="External"/><Relationship Id="rId38" Type="http://schemas.openxmlformats.org/officeDocument/2006/relationships/hyperlink" Target="https://www.iab.de/en/daten/iab-brain-drain-data.aspx" TargetMode="External"/><Relationship Id="rId46" Type="http://schemas.openxmlformats.org/officeDocument/2006/relationships/hyperlink" Target="https://www.unhcr.org/refugee-statistics/" TargetMode="External"/><Relationship Id="rId20" Type="http://schemas.openxmlformats.org/officeDocument/2006/relationships/hyperlink" Target="https://dtm.iom.int/" TargetMode="External"/><Relationship Id="rId41" Type="http://schemas.openxmlformats.org/officeDocument/2006/relationships/hyperlink" Target="https://www.internal-displacement.org/"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urworldindata.org/migration" TargetMode="External"/><Relationship Id="rId15" Type="http://schemas.openxmlformats.org/officeDocument/2006/relationships/hyperlink" Target="https://mafeproject.site.ined.fr/en/" TargetMode="External"/><Relationship Id="rId23" Type="http://schemas.openxmlformats.org/officeDocument/2006/relationships/hyperlink" Target="https://www.unhcr.org/refugee-statistics/" TargetMode="External"/><Relationship Id="rId28" Type="http://schemas.openxmlformats.org/officeDocument/2006/relationships/hyperlink" Target="https://www.worldbank.org/en/topic/migration/overview" TargetMode="External"/><Relationship Id="rId36" Type="http://schemas.openxmlformats.org/officeDocument/2006/relationships/hyperlink" Target="https://www.ecowas.int/ecowas-topics/free-movement-of-persons-and-migration/" TargetMode="External"/><Relationship Id="rId49" Type="http://schemas.openxmlformats.org/officeDocument/2006/relationships/hyperlink" Target="https://www.internal-displacement.org/database/displacemen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5237</Words>
  <Characters>29856</Characters>
  <Application>Microsoft Office Word</Application>
  <DocSecurity>0</DocSecurity>
  <Lines>248</Lines>
  <Paragraphs>70</Paragraphs>
  <ScaleCrop>false</ScaleCrop>
  <Company/>
  <LinksUpToDate>false</LinksUpToDate>
  <CharactersWithSpaces>35023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Aboubacar (IFPRI-Senegal)</cp:lastModifiedBy>
  <cp:revision>2</cp:revision>
  <dcterms:created xsi:type="dcterms:W3CDTF">2026-02-24T22:08:00Z</dcterms:created>
  <dcterms:modified xsi:type="dcterms:W3CDTF">2026-02-24T22:16:00Z</dcterms:modified>
</cp:coreProperties>
</file>