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F4E79"/>
          <w:sz w:val="52"/>
          <w:szCs w:val="52"/>
        </w:rPr>
        <w:t xml:space="preserve">Bases de données sur la sécurité alimentaire</w:t>
      </w:r>
    </w:p>
    <w:p>
      <w:pPr>
        <w:spacing w:before="0" w:after="200"/>
        <w:jc w:val="center"/>
      </w:pPr>
      <w:r>
        <w:rPr>
          <w:rFonts w:ascii="Arial" w:cs="Arial" w:eastAsia="Arial" w:hAnsi="Arial"/>
          <w:b/>
          <w:bCs/>
          <w:color w:val="1F4E79"/>
          <w:sz w:val="48"/>
          <w:szCs w:val="48"/>
        </w:rPr>
        <w:t xml:space="preserve">en Afrique subsaharienne</w:t>
      </w:r>
    </w:p>
    <w:p>
      <w:pPr>
        <w:spacing w:before="200" w:after="200"/>
        <w:jc w:val="center"/>
      </w:pPr>
      <w:r>
        <w:rPr>
          <w:rFonts w:ascii="Arial" w:cs="Arial" w:eastAsia="Arial" w:hAnsi="Arial"/>
          <w:i/>
          <w:iCs/>
          <w:color w:val="555555"/>
          <w:sz w:val="26"/>
          <w:szCs w:val="26"/>
        </w:rPr>
        <w:t xml:space="preserve">Description, sections couvertes, sources et liens de téléchargement</w:t>
      </w:r>
    </w:p>
    <w:p>
      <w:pPr>
        <w:spacing w:before="200" w:after="1440"/>
        <w:jc w:val="center"/>
      </w:pPr>
      <w:r>
        <w:rPr>
          <w:rFonts w:ascii="Arial" w:cs="Arial" w:eastAsia="Arial" w:hAnsi="Arial"/>
          <w:color w:val="777777"/>
          <w:sz w:val="22"/>
          <w:szCs w:val="22"/>
        </w:rPr>
        <w:t xml:space="preserve">Février 2026</w:t>
      </w:r>
    </w:p>
    <w:p>
      <w:r>
        <w:br w:type="page"/>
      </w:r>
    </w:p>
    <w:p>
      <w:pPr>
        <w:pStyle w:val="Heading1"/>
        <w:spacing w:before="400" w:after="200"/>
      </w:pPr>
      <w:r>
        <w:rPr>
          <w:rFonts w:ascii="Arial" w:cs="Arial" w:eastAsia="Arial" w:hAnsi="Arial"/>
          <w:b/>
          <w:bCs/>
          <w:color w:val="1F4E79"/>
          <w:sz w:val="32"/>
          <w:szCs w:val="32"/>
        </w:rPr>
        <w:t xml:space="preserve">Introduction</w:t>
      </w:r>
    </w:p>
    <w:p>
      <w:pPr>
        <w:spacing w:before="60" w:after="60"/>
      </w:pPr>
      <w:r>
        <w:rPr>
          <w:rFonts w:ascii="Arial" w:cs="Arial" w:eastAsia="Arial" w:hAnsi="Arial"/>
          <w:sz w:val="22"/>
          <w:szCs w:val="22"/>
        </w:rPr>
        <w:t xml:space="preserve">La sécurité alimentaire est définie, depuis le Sommet Mondial de l'Alimentation de 1996, comme la situation dans laquelle tous les êtres humains ont, à tout moment, un accès physique, social et économique à une nourriture suffisante, saine et nutritive leur permettant de satisfaire leurs besoins énergétiques et leurs préférences alimentaires pour mener une vie saine et active. Cette définition repose sur quatre piliers complémentaires : la disponibilité alimentaire, l'accessibilité (économique et physique), l'utilisation (qualité nutritionnelle, eau, assainissement) et la stabilité dans le temps.</w:t>
      </w:r>
    </w:p>
    <w:p>
      <w:pPr>
        <w:spacing w:before="60" w:after="60"/>
      </w:pPr>
      <w:r>
        <w:rPr>
          <w:rFonts w:ascii="Arial" w:cs="Arial" w:eastAsia="Arial" w:hAnsi="Arial"/>
          <w:sz w:val="22"/>
          <w:szCs w:val="22"/>
        </w:rPr>
        <w:t xml:space="preserve">La mesure de la sécurité alimentaire mobilise ainsi plusieurs niveaux d'analyse : les bilans alimentaires nationaux, les enquêtes ménages, les évaluations rapides d'urgence, les systèmes d'alerte précoce, les indices composites et les indicateurs anthropométriques de nutrition. Ce document présente les principales bases de données quantitatives disponibles pour l'étude de la sécurité alimentaire en Afrique subsaharienne, organisées en cinq catégories.</w:t>
      </w:r>
    </w:p>
    <w:p>
      <w:pPr>
        <w:pStyle w:val="Heading2"/>
        <w:spacing w:before="300" w:after="150"/>
      </w:pPr>
      <w:r>
        <w:rPr>
          <w:rFonts w:ascii="Arial" w:cs="Arial" w:eastAsia="Arial" w:hAnsi="Arial"/>
          <w:b/>
          <w:bCs/>
          <w:color w:val="2E75B6"/>
          <w:sz w:val="26"/>
          <w:szCs w:val="26"/>
        </w:rPr>
        <w:t xml:space="preserve">Les principaux indicateurs de sécurité alimentaire utilisés dans les bases présentées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principale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PoU (Prevalence of Undernourishment)</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Part de la population dont l'apport calorique habituel est insuffisant pour couvrir les besoins énergétiques minimaux</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FAO/FAOSTAT — SOFI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FIES (Food Insecurity Experience Scale)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Échelle expérientielle mesurant l'insécurité alimentaire vécue par auto-déclaration (8 questions)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FAO / Gallup World Poll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FCS (Food Consumption Score)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Score composite WFP mesurant la diversité alimentaire et la fréquence de consommation sur 7 jours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WFP-VAM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HDDS (Household Diet Diversity Score)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Nombre de groupes d'aliments consommés au cours des 24 heures précédentes (0-12)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FAO / enquêtes ménages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HFIAS (Household Food Insecurity Access Scale)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Échelle en 9 questions mesurant l'accès à la nourriture et les comportements d'adaptation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FANTA / USAID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MAHFP (Months of Adequate Household Food Provisioning)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Nombre de mois dans l'année où le ménage a pu se nourrir correctement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FANTA / USAID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rCSI (reduced Coping Strategy Index)</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Fréquence de recours à des stratégies d'adaptation négatives face au manque de nourriture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WFP / Care International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GHI (Global Hunger Index)</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Indice composite : sous-alimentation, retard de croissance, émaciation, mortalité infantile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Welthungerhilfe / Concern Worldwide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IPC (Integrated Food Security Phase Classification)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Cadre de classification en 5 phases de la sévérité de l'insécurité alimentaire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IPC Global Partners (FAO, WFP,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Cadre Harmonisé (CH)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Version adaptée de l'IPC pour les pays du Sahel et d'Afrique de l'Ouest (CILSS/CEDEAO)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CILSS / ECOWAS / UEMOA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MAM / SAM</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Malnutrition Aiguë Modérée / Sévère (MUAC et Z-score poids-pour-taille)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UNICEF / WHO / WFP</w:t>
            </w:r>
          </w:p>
        </w:tc>
      </w:tr>
    </w:tbl>
    <w:p>
      <w:r>
        <w:br w:type="page"/>
      </w:r>
    </w:p>
    <w:p>
      <w:pPr>
        <w:pStyle w:val="Heading1"/>
        <w:spacing w:before="400" w:after="200"/>
      </w:pPr>
      <w:r>
        <w:rPr>
          <w:rFonts w:ascii="Arial" w:cs="Arial" w:eastAsia="Arial" w:hAnsi="Arial"/>
          <w:b/>
          <w:bCs/>
          <w:color w:val="1F4E79"/>
          <w:sz w:val="32"/>
          <w:szCs w:val="32"/>
        </w:rPr>
        <w:t xml:space="preserve">I. Bases de données globales et agrégées</w:t>
      </w:r>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1. FAOSTAT — Suite d'indicateurs de sécurité alimentaire (FAO)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Monde entier (245+ pays et territoires, dont toute l'Afrique subsaharienne)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Annuel depuis 2000 (certains indicateurs depuis 1990)</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Organisation des Nations Unies pour l'Alimentation et l'Agriculture (FAO) — Division de la statistique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La Suite d'indicateurs de sécurité alimentaire de FAOSTAT est la base de données de référence mondiale pour le suivi des ODD liés à la faim (ODD 2). Elle rassemble les indicateurs statistiques de sécurité alimentaire publiés chaque année dans le rapport SOFI (State of Food Security and Nutrition in the World), ainsi que d'autres indicateurs issus des bilans alimentaires nationaux. C'est la source officielle de l'indicateur PoU (Prevalence of Undernourishment), qui est l'indicateur principal de suivi de l'ODD 2.1.1.</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Prévalence de la sous-alimentation (PoU) par pays et groupes régionaux (ODD 2.1.1), prévalence de l'insécurité alimentaire modérée ou grave selon la FIES (ODD 2.1.2), indicateurs de bilans alimentaires (disponibilité calorique par personne, composition en macronutriments), prévalence du retard de croissance (stunting), de l'émaciation (wasting) et du surpoids chez les enfants de moins de cinq ans (ODD 2.2.1 et 2.2.2), indicateurs sur le coût et l'accessibilité financière d'une alimentation saine (CoAHD), indicateurs de dépenses publiques agricoles (CAPI), données sur les pertes alimentaires.</w:t>
      </w:r>
    </w:p>
    <w:p>
      <w:pPr>
        <w:spacing w:before="60" w:after="60"/>
      </w:pPr>
      <w:r>
        <w:rPr>
          <w:rFonts w:ascii="Arial" w:cs="Arial" w:eastAsia="Arial" w:hAnsi="Arial"/>
          <w:b/>
          <w:bCs/>
          <w:sz w:val="22"/>
          <w:szCs w:val="22"/>
        </w:rPr>
        <w:t xml:space="preserve">Téléchargement FAOSTAT — Sécurité alimentaire : </w:t>
      </w:r>
      <w:hyperlink w:history="1" r:id="rIdze6trbegyjjmlbzvqbgl6">
        <w:r>
          <w:rPr>
            <w:rFonts w:ascii="Arial" w:cs="Arial" w:eastAsia="Arial" w:hAnsi="Arial"/>
            <w:color w:val="0563C1"/>
            <w:sz w:val="22"/>
            <w:szCs w:val="22"/>
            <w:u w:val="single"/>
          </w:rPr>
          <w:t xml:space="preserve">https://www.fao.org/faostat/en/#data/FS</w:t>
        </w:r>
      </w:hyperlink>
    </w:p>
    <w:p>
      <w:pPr>
        <w:spacing w:before="60" w:after="60"/>
      </w:pPr>
      <w:r>
        <w:rPr>
          <w:rFonts w:ascii="Arial" w:cs="Arial" w:eastAsia="Arial" w:hAnsi="Arial"/>
          <w:b/>
          <w:bCs/>
          <w:sz w:val="22"/>
          <w:szCs w:val="22"/>
        </w:rPr>
        <w:t xml:space="preserve">Coût d'une alimentation saine (CoAHD) : </w:t>
      </w:r>
      <w:hyperlink w:history="1" r:id="rIdvuird43ovfbwo12hl-5xp">
        <w:r>
          <w:rPr>
            <w:rFonts w:ascii="Arial" w:cs="Arial" w:eastAsia="Arial" w:hAnsi="Arial"/>
            <w:color w:val="0563C1"/>
            <w:sz w:val="22"/>
            <w:szCs w:val="22"/>
            <w:u w:val="single"/>
          </w:rPr>
          <w:t xml:space="preserve">https://www.fao.org/faostat/en/#data/CAHD</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2. SOFI — The State of Food Security and Nutrition in the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Monde entier (dont Afrique subsaharienne avec données désagrégées par sous-région)</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Rapport annuel depuis 1999 ; données sous-jacentes depuis 2000</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FAO, IFAD, UNICEF, WFP et OMS (publication conjointe)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Rapport et données librement téléchargeables</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Le SOFI est le rapport de référence mondial pour le suivi des Objectifs de Développement Durable liés à la faim, à la sécurité alimentaire et à la nutrition (ODD 2). Publié chaque année en juillet par cinq agences des Nations Unies, il constitue la source officielle des estimations mondiales du nombre de personnes souffrant de la faim. Chaque édition présente l'état de la sécurité alimentaire et de la nutrition au niveau mondial et régional, ainsi qu'une analyse approfondie d'un thème spécifique (financement, systèmes alimentaires, changement climatique, etc.). Le SOFI 2025 indique que plus d'un Africain sur cinq souffre de la faim, avec une prévalence de la sous-alimentation dépassant 20% en Afrique.</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Estimations mondiales, régionales et nationales du nombre et de la proportion de personnes sous-alimentées (PoU), prévalence de l'insécurité alimentaire modérée ou grave (FIES), indicateurs nutritionnels chez les enfants de moins de 5 ans (retard de croissance, émaciation, surpoids) et chez les femmes, accessibilité financière d'une alimentation saine (proportion de la population n'ayant pas les moyens de se payer une alimentation saine), analyses par niveau de revenus, zone de résidence (urbain/rural) et genre.</w:t>
      </w:r>
    </w:p>
    <w:p>
      <w:pPr>
        <w:spacing w:before="60" w:after="60"/>
      </w:pPr>
      <w:r>
        <w:rPr>
          <w:rFonts w:ascii="Arial" w:cs="Arial" w:eastAsia="Arial" w:hAnsi="Arial"/>
          <w:b/>
          <w:bCs/>
          <w:sz w:val="22"/>
          <w:szCs w:val="22"/>
        </w:rPr>
        <w:t xml:space="preserve">Rapport SOFI 2025 : </w:t>
      </w:r>
      <w:hyperlink w:history="1" r:id="rId5tr4oh4jw4h3lkvgosh6j">
        <w:r>
          <w:rPr>
            <w:rFonts w:ascii="Arial" w:cs="Arial" w:eastAsia="Arial" w:hAnsi="Arial"/>
            <w:color w:val="0563C1"/>
            <w:sz w:val="22"/>
            <w:szCs w:val="22"/>
            <w:u w:val="single"/>
          </w:rPr>
          <w:t xml:space="preserve">https://www.fao.org/publications/fao-flagship-publications/the-state-of-food-security-and-nutrition-in-the-world/en</w:t>
        </w:r>
      </w:hyperlink>
    </w:p>
    <w:p>
      <w:pPr>
        <w:spacing w:before="60" w:after="60"/>
      </w:pPr>
      <w:r>
        <w:rPr>
          <w:rFonts w:ascii="Arial" w:cs="Arial" w:eastAsia="Arial" w:hAnsi="Arial"/>
          <w:b/>
          <w:bCs/>
          <w:sz w:val="22"/>
          <w:szCs w:val="22"/>
        </w:rPr>
        <w:t xml:space="preserve">Données SOFI (FAOSTAT) : </w:t>
      </w:r>
      <w:hyperlink w:history="1" r:id="rIdupkuf3uvqscxuwcyovhmh">
        <w:r>
          <w:rPr>
            <w:rFonts w:ascii="Arial" w:cs="Arial" w:eastAsia="Arial" w:hAnsi="Arial"/>
            <w:color w:val="0563C1"/>
            <w:sz w:val="22"/>
            <w:szCs w:val="22"/>
            <w:u w:val="single"/>
          </w:rPr>
          <w:t xml:space="preserve">https://www.fao.org/faostat/en/#data/FS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3. FAO GIEWS — Global Information and Early Warning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Monde entier — focus fort sur l'Afrique subsaharienne et les pays à faible revenu</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Données depuis 1980 (selon les outils) ; alertes et rapports en continu</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FAO — Division des politiques commerciales et des marchés (Service GIEWS)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Le Système mondial d'information et d'alerte rapide sur l'alimentation et l'agriculture (GIEWS) est le principal outil d'alerte précoce de la FAO pour les crises alimentaires mondiales. Créé en réponse à la crise alimentaire mondiale du début des années 1970, il surveille en continu la situation alimentaire dans tous les pays du monde et alerte sur les crises alimentaires émergentes. En Afrique subsaharienne, le GIEWS publie des rapports spécifiques sur les bilans céréaliers et la situation alimentaire, et collabore avec le WFP pour des missions conjointes d'évaluation des récoltes et de la sécurité alimentaire (CFSAMs).</w:t>
      </w:r>
    </w:p>
    <w:p>
      <w:pPr>
        <w:spacing w:before="200" w:after="80"/>
      </w:pPr>
      <w:r>
        <w:rPr>
          <w:rFonts w:ascii="Arial" w:cs="Arial" w:eastAsia="Arial" w:hAnsi="Arial"/>
          <w:b/>
          <w:bCs/>
          <w:color w:val="375623"/>
          <w:sz w:val="24"/>
          <w:szCs w:val="24"/>
        </w:rPr>
        <w:t xml:space="preserve">Outils et données disponibles</w:t>
      </w:r>
    </w:p>
    <w:p>
      <w:pPr>
        <w:spacing w:before="60" w:after="60"/>
      </w:pPr>
      <w:r>
        <w:rPr>
          <w:rFonts w:ascii="Arial" w:cs="Arial" w:eastAsia="Arial" w:hAnsi="Arial"/>
          <w:sz w:val="22"/>
          <w:szCs w:val="22"/>
        </w:rPr>
        <w:t xml:space="preserve">Outil de suivi des prix alimentaires (FPMA Tool) : plus de 2 100 séries de prix mensuels de denrées alimentaires de base dans 126 pays, dont tous les pays d'Afrique subsaharienne, depuis 2009. Système de bilans céréaliers nationaux (CCBS) : bilans annuels d'offre et d'utilisation des principales céréales pour plus de 220 pays depuis 1980. Système d'Indice de stress agricole (ASIS) : indice de suivi par télédétection des zones agricoles probablement touchées par des sécheresses ou poches de sécheresse. Rapports pays (Country Briefs) : fiches de situation alimentaire actualisées pour chaque pays en développement. Rapports GIEWS : Food Outlook (biannuel), Crop Prospects and Food Situation (triannuel), Hunger Hotspots (avec le WFP, régulier).</w:t>
      </w:r>
    </w:p>
    <w:p>
      <w:pPr>
        <w:spacing w:before="60" w:after="60"/>
      </w:pPr>
      <w:r>
        <w:rPr>
          <w:rFonts w:ascii="Arial" w:cs="Arial" w:eastAsia="Arial" w:hAnsi="Arial"/>
          <w:b/>
          <w:bCs/>
          <w:sz w:val="22"/>
          <w:szCs w:val="22"/>
        </w:rPr>
        <w:t xml:space="preserve">Portail GIEWS : </w:t>
      </w:r>
      <w:hyperlink w:history="1" r:id="rIdhma066sb3hqlh6_k1m_zk">
        <w:r>
          <w:rPr>
            <w:rFonts w:ascii="Arial" w:cs="Arial" w:eastAsia="Arial" w:hAnsi="Arial"/>
            <w:color w:val="0563C1"/>
            <w:sz w:val="22"/>
            <w:szCs w:val="22"/>
            <w:u w:val="single"/>
          </w:rPr>
          <w:t xml:space="preserve">https://www.fao.org/giews/en/</w:t>
        </w:r>
      </w:hyperlink>
    </w:p>
    <w:p>
      <w:pPr>
        <w:spacing w:before="60" w:after="60"/>
      </w:pPr>
      <w:r>
        <w:rPr>
          <w:rFonts w:ascii="Arial" w:cs="Arial" w:eastAsia="Arial" w:hAnsi="Arial"/>
          <w:b/>
          <w:bCs/>
          <w:sz w:val="22"/>
          <w:szCs w:val="22"/>
        </w:rPr>
        <w:t xml:space="preserve">Outil FPMA (prix alimentaires) : </w:t>
      </w:r>
      <w:hyperlink w:history="1" r:id="rIdq0rjsogpkqagebti7zt-s">
        <w:r>
          <w:rPr>
            <w:rFonts w:ascii="Arial" w:cs="Arial" w:eastAsia="Arial" w:hAnsi="Arial"/>
            <w:color w:val="0563C1"/>
            <w:sz w:val="22"/>
            <w:szCs w:val="22"/>
            <w:u w:val="single"/>
          </w:rPr>
          <w:t xml:space="preserve">https://www.fao.org/giews/food-prices/tool/public/#/</w:t>
        </w:r>
      </w:hyperlink>
    </w:p>
    <w:p>
      <w:pPr>
        <w:spacing w:before="60" w:after="60"/>
      </w:pPr>
      <w:r>
        <w:rPr>
          <w:rFonts w:ascii="Arial" w:cs="Arial" w:eastAsia="Arial" w:hAnsi="Arial"/>
          <w:b/>
          <w:bCs/>
          <w:sz w:val="22"/>
          <w:szCs w:val="22"/>
        </w:rPr>
        <w:t xml:space="preserve">Bilans céréaliers (CCBS) : </w:t>
      </w:r>
      <w:hyperlink w:history="1" r:id="rId6nrsicrbrvrnyimwv34mg">
        <w:r>
          <w:rPr>
            <w:rFonts w:ascii="Arial" w:cs="Arial" w:eastAsia="Arial" w:hAnsi="Arial"/>
            <w:color w:val="0563C1"/>
            <w:sz w:val="22"/>
            <w:szCs w:val="22"/>
            <w:u w:val="single"/>
          </w:rPr>
          <w:t xml:space="preserve">https://www.fao.org/giews/data-tools/en/</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4. IPC — Integrated Food Security Phase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pays d'Afrique subsaharienne actifs (et monde, selon les crises)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Données depuis 2009 (FEWS NET) ; IPC depuis 2004 (Somalie, origine du système)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Partenariat IPC mondial (19 organisations : FAO, WFP, UNICEF, FEWS NET, CILSS, IGAD, CARE, Save the Children, Oxfam, JRC-UE, IFPRI, Banque Mondiale, OMS, PNUD, etc.)</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 (portail IPC et HDX)</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L'IPC est le cadre de référence mondial pour la classification de la sévérité et de l'ampleur de l'insécurité alimentaire et de la malnutrition. Développé initialement en 2004 en Somalie par la FAO et ses partenaires, il est désormais le standard international utilisé dans plus de 55 pays. Il fonctionne sur la base d'une échelle en 5 phases : Phase 1 (Minimale), Phase 2 (Sous pression / Stressed), Phase 3 (Crise), Phase 4 (Urgence) et Phase 5 (Catastrophe/Famine). La classification est fondée sur une convergence de données et de preuves (consommation alimentaire, moyens d'existence, malnutrition, mortalité) analysées collectivement par des groupes techniques multi-partis.</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Classification de l'insécurité alimentaire aiguë par zone géographique (national, Admin 1, Admin 2) selon les 5 phases IPC, estimations de population par phase, situation actuelle et projections pour la période suivante (3 à 6 mois), données sur la malnutrition aiguë (IPC-AMN), données de référence (Chronic Food Insecurity — IPC CFI), cartes téléchargeables (PNG, GeoJSON), tableaux de populations (Excel). Base de données historique depuis 2009 (FEWS NET IPC-compatible) et depuis 2017 (IPC officiel).</w:t>
      </w:r>
    </w:p>
    <w:p>
      <w:pPr>
        <w:spacing w:before="60" w:after="60"/>
      </w:pPr>
      <w:r>
        <w:rPr>
          <w:rFonts w:ascii="Arial" w:cs="Arial" w:eastAsia="Arial" w:hAnsi="Arial"/>
          <w:b/>
          <w:bCs/>
          <w:sz w:val="22"/>
          <w:szCs w:val="22"/>
        </w:rPr>
        <w:t xml:space="preserve">Portail IPC : </w:t>
      </w:r>
      <w:hyperlink w:history="1" r:id="rIdav0-jfoijgxasdncavssz">
        <w:r>
          <w:rPr>
            <w:rFonts w:ascii="Arial" w:cs="Arial" w:eastAsia="Arial" w:hAnsi="Arial"/>
            <w:color w:val="0563C1"/>
            <w:sz w:val="22"/>
            <w:szCs w:val="22"/>
            <w:u w:val="single"/>
          </w:rPr>
          <w:t xml:space="preserve">https://www.ipcinfo.org/</w:t>
        </w:r>
      </w:hyperlink>
    </w:p>
    <w:p>
      <w:pPr>
        <w:spacing w:before="60" w:after="60"/>
      </w:pPr>
      <w:r>
        <w:rPr>
          <w:rFonts w:ascii="Arial" w:cs="Arial" w:eastAsia="Arial" w:hAnsi="Arial"/>
          <w:b/>
          <w:bCs/>
          <w:sz w:val="22"/>
          <w:szCs w:val="22"/>
        </w:rPr>
        <w:t xml:space="preserve">Outil de cartographie IPC : </w:t>
      </w:r>
      <w:hyperlink w:history="1" r:id="rId0z45kmpqzq3tfvm7umgze">
        <w:r>
          <w:rPr>
            <w:rFonts w:ascii="Arial" w:cs="Arial" w:eastAsia="Arial" w:hAnsi="Arial"/>
            <w:color w:val="0563C1"/>
            <w:sz w:val="22"/>
            <w:szCs w:val="22"/>
            <w:u w:val="single"/>
          </w:rPr>
          <w:t xml:space="preserve">https://www.ipcinfo.org/ipc-country-analysis/ipc-mapping-tool/</w:t>
        </w:r>
      </w:hyperlink>
    </w:p>
    <w:p>
      <w:pPr>
        <w:spacing w:before="60" w:after="60"/>
      </w:pPr>
      <w:r>
        <w:rPr>
          <w:rFonts w:ascii="Arial" w:cs="Arial" w:eastAsia="Arial" w:hAnsi="Arial"/>
          <w:b/>
          <w:bCs/>
          <w:sz w:val="22"/>
          <w:szCs w:val="22"/>
        </w:rPr>
        <w:t xml:space="preserve">Données IPC sur HDX : </w:t>
      </w:r>
      <w:hyperlink w:history="1" r:id="rIdo_fulcxga-orlamwhlaau">
        <w:r>
          <w:rPr>
            <w:rFonts w:ascii="Arial" w:cs="Arial" w:eastAsia="Arial" w:hAnsi="Arial"/>
            <w:color w:val="0563C1"/>
            <w:sz w:val="22"/>
            <w:szCs w:val="22"/>
            <w:u w:val="single"/>
          </w:rPr>
          <w:t xml:space="preserve">https://data.humdata.org/organization/ipc</w:t>
        </w:r>
      </w:hyperlink>
    </w:p>
    <w:p>
      <w:pPr>
        <w:spacing w:before="60" w:after="60"/>
      </w:pPr>
      <w:r>
        <w:rPr>
          <w:rFonts w:ascii="Arial" w:cs="Arial" w:eastAsia="Arial" w:hAnsi="Arial"/>
          <w:b/>
          <w:bCs/>
          <w:sz w:val="22"/>
          <w:szCs w:val="22"/>
        </w:rPr>
        <w:t xml:space="preserve">API et données IPC : </w:t>
      </w:r>
      <w:hyperlink w:history="1" r:id="rIdxjcrpezqspnn6mjdfr-ab">
        <w:r>
          <w:rPr>
            <w:rFonts w:ascii="Arial" w:cs="Arial" w:eastAsia="Arial" w:hAnsi="Arial"/>
            <w:color w:val="0563C1"/>
            <w:sz w:val="22"/>
            <w:szCs w:val="22"/>
            <w:u w:val="single"/>
          </w:rPr>
          <w:t xml:space="preserve">https://www.ipcinfo.org/ipcinfo-website/ipc-dashboard/en/</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5. Cadre Harmonisé (CH) — Afrique de l'Ouest et Sahel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 pays d'Afrique de l'Ouest et du Sahel (Bénin, Burkina Faso, Cameroun, Cap-Vert, Côte d'Ivoire, Gambie, Ghana, Guinée, Guinée-Bissau, Liberia, Mali, Mauritanie, Niger, Nigeria, RCA, Sénégal, Sierra Leone, Tchad, Togo)</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2014 – présent (analyses bi-annuelles : saison de soudure et post-récolte)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CILSS (Comité permanent Inter-Etats de Lutte contre la Sécheresse dans le Sahel), CEDEAO, UEMOA, FAO, UNICEF, WFP, FEWS NET, Oxfam, Save the Children</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Le Cadre Harmonisé (CH) est l'adaptation régionale de l'IPC pour les pays du Sahel et d'Afrique de l'Ouest côtière. Développé depuis 1999 par le CILSS avec l'appui de la CEDEAO et de l'UEMOA, il utilise une approche analytique similaire à l'IPC, basée sur les systèmes d'information sur la sécurité alimentaire et la nutrition déjà en place dans la plupart des pays du Sahel depuis 1985. Le CH produit deux analyses par an : une après la récolte (novembre-décembre) et une en période de soudure (mai-juin), avec des projections sur 3 à 6 mois. Depuis 2020, les données du CH sont intégrées au portail IPC.</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Classification de l'insécurité alimentaire aiguë par zone selon les 5 phases CH, estimations de populations par phase et par pays, situation actuelle et projetée, analyses par zones agro-écologiques (zone sahélienne, zone soudano-sahélienne, zone côtière), données sur la malnutrition aiguë, indicateurs utilisés dans l'analyse (prix des denrées alimentaires, bilan céréalier, pastoralisme, accès humanitaire).</w:t>
      </w:r>
    </w:p>
    <w:p>
      <w:pPr>
        <w:spacing w:before="60" w:after="60"/>
      </w:pPr>
      <w:r>
        <w:rPr>
          <w:rFonts w:ascii="Arial" w:cs="Arial" w:eastAsia="Arial" w:hAnsi="Arial"/>
          <w:b/>
          <w:bCs/>
          <w:sz w:val="22"/>
          <w:szCs w:val="22"/>
        </w:rPr>
        <w:t xml:space="preserve">Données CH sur IPC : </w:t>
      </w:r>
      <w:hyperlink w:history="1" r:id="rIdjyal5oqdlq-xqzm8vpyzi">
        <w:r>
          <w:rPr>
            <w:rFonts w:ascii="Arial" w:cs="Arial" w:eastAsia="Arial" w:hAnsi="Arial"/>
            <w:color w:val="0563C1"/>
            <w:sz w:val="22"/>
            <w:szCs w:val="22"/>
            <w:u w:val="single"/>
          </w:rPr>
          <w:t xml:space="preserve">https://www.ipcinfo.org/ch/</w:t>
        </w:r>
      </w:hyperlink>
    </w:p>
    <w:p>
      <w:pPr>
        <w:spacing w:before="60" w:after="60"/>
      </w:pPr>
      <w:r>
        <w:rPr>
          <w:rFonts w:ascii="Arial" w:cs="Arial" w:eastAsia="Arial" w:hAnsi="Arial"/>
          <w:b/>
          <w:bCs/>
          <w:sz w:val="22"/>
          <w:szCs w:val="22"/>
        </w:rPr>
        <w:t xml:space="preserve">Données CH sur HDX : </w:t>
      </w:r>
      <w:hyperlink w:history="1" r:id="rId-xgtsdcgyjmlijsjmoipt">
        <w:r>
          <w:rPr>
            <w:rFonts w:ascii="Arial" w:cs="Arial" w:eastAsia="Arial" w:hAnsi="Arial"/>
            <w:color w:val="0563C1"/>
            <w:sz w:val="22"/>
            <w:szCs w:val="22"/>
            <w:u w:val="single"/>
          </w:rPr>
          <w:t xml:space="preserve">https://data.humdata.org/dataset/cadre-harmonise</w:t>
        </w:r>
      </w:hyperlink>
    </w:p>
    <w:p>
      <w:pPr>
        <w:spacing w:before="60" w:after="60"/>
      </w:pPr>
      <w:r>
        <w:rPr>
          <w:rFonts w:ascii="Arial" w:cs="Arial" w:eastAsia="Arial" w:hAnsi="Arial"/>
          <w:b/>
          <w:bCs/>
          <w:sz w:val="22"/>
          <w:szCs w:val="22"/>
        </w:rPr>
        <w:t xml:space="preserve">CILSS — Informations sur le CH : </w:t>
      </w:r>
      <w:hyperlink w:history="1" r:id="rIdkelnibbvgavphhve5_dr1">
        <w:r>
          <w:rPr>
            <w:rFonts w:ascii="Arial" w:cs="Arial" w:eastAsia="Arial" w:hAnsi="Arial"/>
            <w:color w:val="0563C1"/>
            <w:sz w:val="22"/>
            <w:szCs w:val="22"/>
            <w:u w:val="single"/>
          </w:rPr>
          <w:t xml:space="preserve">https://www.cilss.int/cadre-harmonise/</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6. FEWS NET — Famine Early Warning Systems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pays d'Afrique, Amérique centrale, Asie centrale et Moyen-Orient (dont 23 pays africains)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Depuis 2009 pour les données spatiales ; rapports depuis 1985</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USAID — Réseau regroupant USGS, NOAA, NASA, USDA, CHC-UCSB et partenaires gouvernementaux</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 (après inscription au Data Explorer)</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FEWS NET est le réseau d'alerte précoce aux famines financé par l'USAID. Il produit mensuellement des analyses prospectives de la situation de la sécurité alimentaire dans ses pays d'intervention, en utilisant le cadre analytique IPC-compatible. En Afrique subsaharienne, FEWS NET couvre notamment le Sahel, la Corne de l'Afrique, l'Afrique australe et les régions affectées par des conflits ou des chocs climatiques récurrents. Son Data Explorer permet de télécharger l'ensemble des données produites depuis 2009, incluant les classifications spatiales, les données de marchés et les estimations de population.</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Cartes de classification de l'insécurité alimentaire aiguë (IPC-compatible, niveau Admin 1 et 2), données de marchés et de prix alimentaires, matrices de flux commerciaux, prévisions météorologiques et données climatiques (NDVI, précipitations estimées), alertes et rapports d'alerte précoce, Food Security Outlooks (FSO) et Outlook Updates (FSOU), données sur les systèmes de moyens d'existence (Livelihood Zones), données disponibles en formats GIS (shapefiles) et tabulaires (CSV/Excel).</w:t>
      </w:r>
    </w:p>
    <w:p>
      <w:pPr>
        <w:spacing w:before="60" w:after="60"/>
      </w:pPr>
      <w:r>
        <w:rPr>
          <w:rFonts w:ascii="Arial" w:cs="Arial" w:eastAsia="Arial" w:hAnsi="Arial"/>
          <w:b/>
          <w:bCs/>
          <w:sz w:val="22"/>
          <w:szCs w:val="22"/>
        </w:rPr>
        <w:t xml:space="preserve">Portail FEWS NET : </w:t>
      </w:r>
      <w:hyperlink w:history="1" r:id="rIdxbhciqckalmgb9pcno7xw">
        <w:r>
          <w:rPr>
            <w:rFonts w:ascii="Arial" w:cs="Arial" w:eastAsia="Arial" w:hAnsi="Arial"/>
            <w:color w:val="0563C1"/>
            <w:sz w:val="22"/>
            <w:szCs w:val="22"/>
            <w:u w:val="single"/>
          </w:rPr>
          <w:t xml:space="preserve">https://fews.net/</w:t>
        </w:r>
      </w:hyperlink>
    </w:p>
    <w:p>
      <w:pPr>
        <w:spacing w:before="60" w:after="60"/>
      </w:pPr>
      <w:r>
        <w:rPr>
          <w:rFonts w:ascii="Arial" w:cs="Arial" w:eastAsia="Arial" w:hAnsi="Arial"/>
          <w:b/>
          <w:bCs/>
          <w:sz w:val="22"/>
          <w:szCs w:val="22"/>
        </w:rPr>
        <w:t xml:space="preserve">Data Explorer (inscription requise) : </w:t>
      </w:r>
      <w:hyperlink w:history="1" r:id="rIdzfmmadgs_zbpjm42kvfpx">
        <w:r>
          <w:rPr>
            <w:rFonts w:ascii="Arial" w:cs="Arial" w:eastAsia="Arial" w:hAnsi="Arial"/>
            <w:color w:val="0563C1"/>
            <w:sz w:val="22"/>
            <w:szCs w:val="22"/>
            <w:u w:val="single"/>
          </w:rPr>
          <w:t xml:space="preserve">https://fews.net/data</w:t>
        </w:r>
      </w:hyperlink>
    </w:p>
    <w:p>
      <w:pPr>
        <w:spacing w:before="60" w:after="60"/>
      </w:pPr>
      <w:r>
        <w:rPr>
          <w:rFonts w:ascii="Arial" w:cs="Arial" w:eastAsia="Arial" w:hAnsi="Arial"/>
          <w:b/>
          <w:bCs/>
          <w:sz w:val="22"/>
          <w:szCs w:val="22"/>
        </w:rPr>
        <w:t xml:space="preserve">Données de prix alimentaires FEWS NET : </w:t>
      </w:r>
      <w:hyperlink w:history="1" r:id="rIdak4lquve4stpulxoz6bll">
        <w:r>
          <w:rPr>
            <w:rFonts w:ascii="Arial" w:cs="Arial" w:eastAsia="Arial" w:hAnsi="Arial"/>
            <w:color w:val="0563C1"/>
            <w:sz w:val="22"/>
            <w:szCs w:val="22"/>
            <w:u w:val="single"/>
          </w:rPr>
          <w:t xml:space="preserve">https://fews.net/data/market-prices</w:t>
        </w:r>
      </w:hyperlink>
    </w:p>
    <w:p>
      <w:r>
        <w:br w:type="page"/>
      </w:r>
    </w:p>
    <w:p>
      <w:pPr>
        <w:pStyle w:val="Heading1"/>
        <w:spacing w:before="400" w:after="200"/>
      </w:pPr>
      <w:r>
        <w:rPr>
          <w:rFonts w:ascii="Arial" w:cs="Arial" w:eastAsia="Arial" w:hAnsi="Arial"/>
          <w:b/>
          <w:bCs/>
          <w:color w:val="1F4E79"/>
          <w:sz w:val="32"/>
          <w:szCs w:val="32"/>
        </w:rPr>
        <w:t xml:space="preserve">II. Enquêtes ménages sur la sécurité alimentaire</w:t>
      </w:r>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7. WFP VAM — Vulnerability Analysis and Mapping / CFSVA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Pays d'intervention du PAM en Afrique subsaharienne (30+ pays)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selon les pays et les crises ; mVAM en continu depuis 2014</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Programme Alimentaire Mondial (PAM/WFP) — Division VAM</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 (portail DataViz WFP)</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Le VAM (Vulnerability Analysis and Mapping) est le système d'analyse et de surveillance de la sécurité alimentaire du Programme Alimentaire Mondial. Il regroupe un réseau de plus de 150 analystes dans le monde entier, qui produisent des informations exploitables pour chaque pays dans lequel le PAM opère. Les enquêtes CFSVA (Comprehensive Food Security and Vulnerability Analysis) sont les enquêtes ménages les plus complètes du VAM, réalisées tous les 3 à 5 ans par pays pour établir un profil de référence de la sécurité alimentaire. Le mVAM (mobile VAM) collecte des données de suivi par téléphone mobile ou SMS auprès de panels de ménages sentinelles.</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Scores de consommation alimentaire des ménages (FCS — Food Consumption Score), diversité alimentaire (HDDS), stratégies d'adaptation à l'insécurité alimentaire (rCSI), accès économique à la nourriture (dépenses alimentaires, revenus), insécurité alimentaire expérienciée (FIES), profils de vulnérabilité des ménages, déterminants structurels (actifs, accès aux marchés, chocs récents), nutrition (état nutritionnel des enfants et des femmes), accès à l'eau et à l'assainissement. Données de prix alimentaires sur marchés (ALPS — Abnormal Price Level Stress).</w:t>
      </w:r>
    </w:p>
    <w:p>
      <w:pPr>
        <w:spacing w:before="60" w:after="60"/>
      </w:pPr>
      <w:r>
        <w:rPr>
          <w:rFonts w:ascii="Arial" w:cs="Arial" w:eastAsia="Arial" w:hAnsi="Arial"/>
          <w:b/>
          <w:bCs/>
          <w:sz w:val="22"/>
          <w:szCs w:val="22"/>
        </w:rPr>
        <w:t xml:space="preserve">Portail DataViz WFP (prix, FCS, suivi) : </w:t>
      </w:r>
      <w:hyperlink w:history="1" r:id="rIduell8pd0rmnglkoc6ywk9">
        <w:r>
          <w:rPr>
            <w:rFonts w:ascii="Arial" w:cs="Arial" w:eastAsia="Arial" w:hAnsi="Arial"/>
            <w:color w:val="0563C1"/>
            <w:sz w:val="22"/>
            <w:szCs w:val="22"/>
            <w:u w:val="single"/>
          </w:rPr>
          <w:t xml:space="preserve">https://dataviz.vam.wfp.org/</w:t>
        </w:r>
      </w:hyperlink>
    </w:p>
    <w:p>
      <w:pPr>
        <w:spacing w:before="60" w:after="60"/>
      </w:pPr>
      <w:r>
        <w:rPr>
          <w:rFonts w:ascii="Arial" w:cs="Arial" w:eastAsia="Arial" w:hAnsi="Arial"/>
          <w:b/>
          <w:bCs/>
          <w:sz w:val="22"/>
          <w:szCs w:val="22"/>
        </w:rPr>
        <w:t xml:space="preserve">HungerMap Live (suivi temps réel) : </w:t>
      </w:r>
      <w:hyperlink w:history="1" r:id="rIduzpywo_qivynuklnaatla">
        <w:r>
          <w:rPr>
            <w:rFonts w:ascii="Arial" w:cs="Arial" w:eastAsia="Arial" w:hAnsi="Arial"/>
            <w:color w:val="0563C1"/>
            <w:sz w:val="22"/>
            <w:szCs w:val="22"/>
            <w:u w:val="single"/>
          </w:rPr>
          <w:t xml:space="preserve">https://hungermap.wfp.org/</w:t>
        </w:r>
      </w:hyperlink>
    </w:p>
    <w:p>
      <w:pPr>
        <w:spacing w:before="60" w:after="60"/>
      </w:pPr>
      <w:r>
        <w:rPr>
          <w:rFonts w:ascii="Arial" w:cs="Arial" w:eastAsia="Arial" w:hAnsi="Arial"/>
          <w:b/>
          <w:bCs/>
          <w:sz w:val="22"/>
          <w:szCs w:val="22"/>
        </w:rPr>
        <w:t xml:space="preserve">Resource Centre VAM : </w:t>
      </w:r>
      <w:hyperlink w:history="1" r:id="rIdv-a-hi--2swllitsx0bwk">
        <w:r>
          <w:rPr>
            <w:rFonts w:ascii="Arial" w:cs="Arial" w:eastAsia="Arial" w:hAnsi="Arial"/>
            <w:color w:val="0563C1"/>
            <w:sz w:val="22"/>
            <w:szCs w:val="22"/>
            <w:u w:val="single"/>
          </w:rPr>
          <w:t xml:space="preserve">https://vam.wfp.org/</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8. LSMS-ISA — Modules sécurité alimentaire dans les enquêtes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Bénin, Burkina Faso, Côte d'Ivoire, Éthiopie, Guinée-Bissau, Malawi, Mali, Niger, Nigeria, Sénégal, Tanzanie, Togo, Ouganda</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2008 – 2022 (selon les pays et les vagues)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Banque Mondiale — Development Research Group / LSMS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(après enregistrement)</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Les enquêtes ménages LSMS-ISA (Living Standards Measurement Study – Integrated Surveys on Agriculture) incluent dans la grande majorité de leurs vagues des modules complets sur la sécurité alimentaire et la consommation des ménages, permettant de relier directement la sécurité alimentaire aux activités agricoles, aux revenus et à la pauvreté. Ces modules permettent de calculer les principaux indicateurs de sécurité alimentaire au niveau des ménages (FCS, HDDS, FIES, rCSI) et de les mettre en lien avec les déterminants structurels (production agricole, revenus, accès aux marchés).</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Dépenses alimentaires et non-alimentaires des ménages (permettant le calcul d'indicateurs de pauvreté et d'insécurité alimentaire), diversité alimentaire du ménage (HDDS), sécurité alimentaire auto-déclarée et stratégies d'adaptation (rCSI, HFIAS), accès physique et économique à la nourriture, production agricole du ménage (autoconsommation vs ventes), indicateurs de nutrition chez les enfants (dans certaines vagues), module FIES disponible dans les vagues récentes (post-2018).</w:t>
      </w:r>
    </w:p>
    <w:p>
      <w:pPr>
        <w:spacing w:before="60" w:after="60"/>
      </w:pPr>
      <w:r>
        <w:rPr>
          <w:rFonts w:ascii="Arial" w:cs="Arial" w:eastAsia="Arial" w:hAnsi="Arial"/>
          <w:b/>
          <w:bCs/>
          <w:sz w:val="22"/>
          <w:szCs w:val="22"/>
        </w:rPr>
        <w:t xml:space="preserve">Catalogue microdata Banque Mondiale (LSMS) : </w:t>
      </w:r>
      <w:hyperlink w:history="1" r:id="rIdoxresvc2kbugs3r0vs539">
        <w:r>
          <w:rPr>
            <w:rFonts w:ascii="Arial" w:cs="Arial" w:eastAsia="Arial" w:hAnsi="Arial"/>
            <w:color w:val="0563C1"/>
            <w:sz w:val="22"/>
            <w:szCs w:val="22"/>
            <w:u w:val="single"/>
          </w:rPr>
          <w:t xml:space="preserve">https://microdata.worldbank.org/index.php/catalog/lsms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9. EDS/DHS — Modules nutrition et sécurité alimentaire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pays d'Afrique subsaharienne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1984 – présent (vagues tous les 5 ans environ par pays)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USAID — DHS Program / ICF International</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(après enregistrement sur le portail DHS)</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Les Enquêtes Démographiques et de Santé (EDS / Demographic and Health Surveys) sont des enquêtes ménages représentatives au niveau national, implementées dans plus de 90 pays depuis 1984. En Afrique subsaharienne, elles constituent la principale source de données représentatives sur l'état nutritionnel des enfants et des femmes, avec des mesures anthropométriques standardisées (poids, taille, périmètre brachial) pour les enfants de moins de 5 ans et pour les femmes en âge de procréer. Les vagues récentes incluent également des modules sur la diversité alimentaire et la sécurité alimentaire.</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Mesures anthropométriques des enfants de moins de 5 ans (poids-pour-taille, taille-pour-âge, poids-pour-âge) permettant le calcul des taux d'émaciation, de retard de croissance et d'insuffisance pondérale, indice de masse corporelle (IMC) des femmes de 15-49 ans, allaitement maternel (exclusif, durée), pratiques d'alimentation des nourrissons et des jeunes enfants (ANJE / IYCF), diversité alimentaire minimale des nourrissons et des jeunes enfants, anémie (mesures de l'hémoglobine), supplémentation en micronutriments (vitamine A, fer), insécurité alimentaire des ménages (module FIES dans les vagues récentes).</w:t>
      </w:r>
    </w:p>
    <w:p>
      <w:pPr>
        <w:spacing w:before="60" w:after="60"/>
      </w:pPr>
      <w:r>
        <w:rPr>
          <w:rFonts w:ascii="Arial" w:cs="Arial" w:eastAsia="Arial" w:hAnsi="Arial"/>
          <w:b/>
          <w:bCs/>
          <w:sz w:val="22"/>
          <w:szCs w:val="22"/>
        </w:rPr>
        <w:t xml:space="preserve">Portail DHS Program : </w:t>
      </w:r>
      <w:hyperlink w:history="1" r:id="rIdzvaqf7wgbvhsmhtr03bx2">
        <w:r>
          <w:rPr>
            <w:rFonts w:ascii="Arial" w:cs="Arial" w:eastAsia="Arial" w:hAnsi="Arial"/>
            <w:color w:val="0563C1"/>
            <w:sz w:val="22"/>
            <w:szCs w:val="22"/>
            <w:u w:val="single"/>
          </w:rPr>
          <w:t xml:space="preserve">https://dhsprogram.com/data/</w:t>
        </w:r>
      </w:hyperlink>
    </w:p>
    <w:p>
      <w:pPr>
        <w:spacing w:before="60" w:after="60"/>
      </w:pPr>
      <w:r>
        <w:rPr>
          <w:rFonts w:ascii="Arial" w:cs="Arial" w:eastAsia="Arial" w:hAnsi="Arial"/>
          <w:b/>
          <w:bCs/>
          <w:sz w:val="22"/>
          <w:szCs w:val="22"/>
        </w:rPr>
        <w:t xml:space="preserve">Données harmonisées IPUMS-DHS : </w:t>
      </w:r>
      <w:hyperlink w:history="1" r:id="rIdkko69tsgxfu2alpawzi8n">
        <w:r>
          <w:rPr>
            <w:rFonts w:ascii="Arial" w:cs="Arial" w:eastAsia="Arial" w:hAnsi="Arial"/>
            <w:color w:val="0563C1"/>
            <w:sz w:val="22"/>
            <w:szCs w:val="22"/>
            <w:u w:val="single"/>
          </w:rPr>
          <w:t xml:space="preserve">https://www.idhsdata.org/idhs/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10. Enquêtes SMART et SENS — Malnutrition aiguë en situation d'urgence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Zones en crise humanitaire en Afrique subsaharienne (Sahel, Corne de l'Afrique, RDC, etc.)</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(enquêtes ponctuelles selon les crises) ; nombreuses depuis 2005</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UNICEF, WFP, gouvernements nationaux, ONG (ACF, Save the Children, IMC, IRC, MSF, etc.)</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ENA/SMART Repository (SMART Initiative) et UNHCR microdata</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Les enquêtes SMART (Standardized Monitoring and Assessment of Relief and Transitions) et SENS (Standard Expanded Nutrition Survey — pour les camps de réfugiés, UNHCR) sont les méthodes standardisées de mesure de la malnutrition aiguë en situations d'urgence. Elles reposent sur des mesures anthropométriques en grappes aléatoires auprès des enfants de 6 à 59 mois, selon des protocoles stricts permettant de comparer les résultats entre pays et dans le temps. Elles sont utilisées pour déclencher des réponses nutritionnelles d'urgence et pour le suivi des crises dans le cadre IPC-AMN (malnutrition aiguë).</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Taux de malnutrition aiguë globale (MAG/GAM) : pourcentage d'enfants 6-59 mois avec un Z-score poids-pour-taille &lt; -2 ou avec un PB (périmètre brachial) &lt; 125 mm ou avec des œdèmes, taux de malnutrition aiguë sévère (MAS/SAM : Z-score &lt; -3 ou PB &lt; 115 mm ou œdèmes), taux de retard de croissance (stunting, Z-score taille-pour-âge &lt; -2), couverture des programmes de nutrition, mortalité rétrospective (taux brut de mortalité et mortalité des enfants de moins de 5 ans), facteurs associés : alimentation, eau/assainissement/hygiène, morbidité, couverture vaccinale.</w:t>
      </w:r>
    </w:p>
    <w:p>
      <w:pPr>
        <w:spacing w:before="60" w:after="60"/>
      </w:pPr>
      <w:r>
        <w:rPr>
          <w:rFonts w:ascii="Arial" w:cs="Arial" w:eastAsia="Arial" w:hAnsi="Arial"/>
          <w:b/>
          <w:bCs/>
          <w:sz w:val="22"/>
          <w:szCs w:val="22"/>
        </w:rPr>
        <w:t xml:space="preserve">SMART Initiative (méthodologie et logiciel ENA) : </w:t>
      </w:r>
      <w:hyperlink w:history="1" r:id="rIduzljsckm60nvcq_1a08rs">
        <w:r>
          <w:rPr>
            <w:rFonts w:ascii="Arial" w:cs="Arial" w:eastAsia="Arial" w:hAnsi="Arial"/>
            <w:color w:val="0563C1"/>
            <w:sz w:val="22"/>
            <w:szCs w:val="22"/>
            <w:u w:val="single"/>
          </w:rPr>
          <w:t xml:space="preserve">https://www.smartmethodology.org/</w:t>
        </w:r>
      </w:hyperlink>
    </w:p>
    <w:p>
      <w:pPr>
        <w:spacing w:before="60" w:after="60"/>
      </w:pPr>
      <w:r>
        <w:rPr>
          <w:rFonts w:ascii="Arial" w:cs="Arial" w:eastAsia="Arial" w:hAnsi="Arial"/>
          <w:b/>
          <w:bCs/>
          <w:sz w:val="22"/>
          <w:szCs w:val="22"/>
        </w:rPr>
        <w:t xml:space="preserve">UNHCR microdata (enquêtes SENS) : </w:t>
      </w:r>
      <w:hyperlink w:history="1" r:id="rIdw-ennhpsx1mu78rxmnuml">
        <w:r>
          <w:rPr>
            <w:rFonts w:ascii="Arial" w:cs="Arial" w:eastAsia="Arial" w:hAnsi="Arial"/>
            <w:color w:val="0563C1"/>
            <w:sz w:val="22"/>
            <w:szCs w:val="22"/>
            <w:u w:val="single"/>
          </w:rPr>
          <w:t xml:space="preserve">https://microdata.unhcr.org/</w:t>
        </w:r>
      </w:hyperlink>
    </w:p>
    <w:p>
      <w:pPr>
        <w:spacing w:before="60" w:after="60"/>
      </w:pPr>
      <w:r>
        <w:rPr>
          <w:rFonts w:ascii="Arial" w:cs="Arial" w:eastAsia="Arial" w:hAnsi="Arial"/>
          <w:b/>
          <w:bCs/>
          <w:sz w:val="22"/>
          <w:szCs w:val="22"/>
        </w:rPr>
        <w:t xml:space="preserve">UNICEF — Données malnutrition : </w:t>
      </w:r>
      <w:hyperlink w:history="1" r:id="rIddih5tprmujmtz9jgrjvhc">
        <w:r>
          <w:rPr>
            <w:rFonts w:ascii="Arial" w:cs="Arial" w:eastAsia="Arial" w:hAnsi="Arial"/>
            <w:color w:val="0563C1"/>
            <w:sz w:val="22"/>
            <w:szCs w:val="22"/>
            <w:u w:val="single"/>
          </w:rPr>
          <w:t xml:space="preserve">https://data.unicef.org/topic/nutrition/malnutrition/</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11. FANTA — Outils de mesure de la sécurité alimentaire et de la diversité alimentaire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Monde entier ; largement utilisés en Afrique subsaharienne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(outils utilisés dans de nombreuses enquêtes depuis 2000)</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FANTA (Food and Nutrition Technical Assistance) / USAID</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Outils méthodologiques libres ; données dans des enquêtes nationales et de projets</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La FANTA (Food and Nutrition Technical Assistance) est un projet de l'USAID qui a développé et standardisé plusieurs outils de mesure de la sécurité alimentaire au niveau des ménages, largement utilisés dans les enquêtes nationales et les évaluations de programmes en Afrique subsaharienne. Ces outils incluent le HDDS (Household Diet Diversity Score — nombre de groupes d'aliments consommés par le ménage sur 24h), le HFIAS (Household Food Insecurity Access Scale — échelle en 9 questions sur l'accès à la nourriture et les comportements d'adaptation), le MAHFP (Months of Adequate Household Food Provisioning — nombre de mois par an où le ménage peut se nourrir correctement), et le WDDS (Women's Dietary Diversity Score — diversité alimentaire des femmes de 15-49 ans).</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Diversité alimentaire des ménages (HDDS), accès à la nourriture et comportements d'adaptation négatifs (HFIAS), stabilité de l'approvisionnement alimentaire au cours de l'année (MAHFP), diversité alimentaire des femmes en âge de procréer (WDDS/MDD-W). Ces indicateurs sont souvent collectés dans les enquêtes LSMS-ISA, DHS, WFP-CFSVA, et les évaluations de projets agricoles et nutritionnels.</w:t>
      </w:r>
    </w:p>
    <w:p>
      <w:pPr>
        <w:spacing w:before="60" w:after="60"/>
      </w:pPr>
      <w:r>
        <w:rPr>
          <w:rFonts w:ascii="Arial" w:cs="Arial" w:eastAsia="Arial" w:hAnsi="Arial"/>
          <w:b/>
          <w:bCs/>
          <w:sz w:val="22"/>
          <w:szCs w:val="22"/>
        </w:rPr>
        <w:t xml:space="preserve">FANTA — Outils et guides méthodologiques : </w:t>
      </w:r>
      <w:hyperlink w:history="1" r:id="rIdtt2rnosxuludgvn51r5i1">
        <w:r>
          <w:rPr>
            <w:rFonts w:ascii="Arial" w:cs="Arial" w:eastAsia="Arial" w:hAnsi="Arial"/>
            <w:color w:val="0563C1"/>
            <w:sz w:val="22"/>
            <w:szCs w:val="22"/>
            <w:u w:val="single"/>
          </w:rPr>
          <w:t xml:space="preserve">https://www.fantaproject.org/research-and-learning/food-security-indicators</w:t>
        </w:r>
      </w:hyperlink>
    </w:p>
    <w:p>
      <w:pPr>
        <w:spacing w:before="60" w:after="60"/>
      </w:pPr>
      <w:r>
        <w:rPr>
          <w:rFonts w:ascii="Arial" w:cs="Arial" w:eastAsia="Arial" w:hAnsi="Arial"/>
          <w:b/>
          <w:bCs/>
          <w:sz w:val="22"/>
          <w:szCs w:val="22"/>
        </w:rPr>
        <w:t xml:space="preserve">FANTA — HDDS Guide : </w:t>
      </w:r>
      <w:hyperlink w:history="1" r:id="rIdjcpaz7m0g8kkrseim3shw">
        <w:r>
          <w:rPr>
            <w:rFonts w:ascii="Arial" w:cs="Arial" w:eastAsia="Arial" w:hAnsi="Arial"/>
            <w:color w:val="0563C1"/>
            <w:sz w:val="22"/>
            <w:szCs w:val="22"/>
            <w:u w:val="single"/>
          </w:rPr>
          <w:t xml:space="preserve">https://www.fantaproject.org/research-and-learning/household-dietary-diversity-score</w:t>
        </w:r>
      </w:hyperlink>
    </w:p>
    <w:p>
      <w:r>
        <w:br w:type="page"/>
      </w:r>
    </w:p>
    <w:p>
      <w:pPr>
        <w:pStyle w:val="Heading1"/>
        <w:spacing w:before="400" w:after="200"/>
      </w:pPr>
      <w:r>
        <w:rPr>
          <w:rFonts w:ascii="Arial" w:cs="Arial" w:eastAsia="Arial" w:hAnsi="Arial"/>
          <w:b/>
          <w:bCs/>
          <w:color w:val="1F4E79"/>
          <w:sz w:val="32"/>
          <w:szCs w:val="32"/>
        </w:rPr>
        <w:t xml:space="preserve">III. Indices composites de sécurité alimentaire</w:t>
      </w:r>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12. GHI — Global Hunger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 pays classés (dont toute l'Afrique subsaharienne) ; 136 pays évalués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Depuis 2006 ; scores comparables entre 2000, 2008, 2016 et année courante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Welthungerhilfe (Allemagne) et Concern Worldwide (Irlande) ; initialement développé par l'IFPRI</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L'Indice Mondial de la Faim (Global Hunger Index) est un outil multidimensionnel de mesure et de suivi de la faim aux niveaux mondial, régional et national, publié chaque année en octobre. Il est calculé à partir de quatre indicateurs : la prévalence de la sous-alimentation (PoU, FAO), le taux de retard de croissance des enfants de moins de 5 ans (stunting), le taux d'émaciation des enfants de moins de 5 ans (wasting) et la mortalité infantile (enfants de moins de 5 ans). Le score GHI est compris entre 0 (aucune faim) et 100 (faim maximale), et est classé par sévérité : faible (&lt;10), modérée (10-19,9), sérieuse (20-34,9), alarmante (35-49,9) et extrêmement alarmante (50+). L'édition 2025 indique que la faim reste sérieuse dans 36 pays et alarmante dans 6, dont la quasi-totalité en Afrique subsaharienne.</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Scores GHI par pays pour les années de référence (2000, 2008, 2016 et l'année courante), valeurs des quatre indicateurs composites par pays (PoU, stunting, wasting, mortalité moins de 5 ans), classement et évolution par rapport aux années précédentes, agrégats régionaux et mondiaux, analyse des tendances et du chemin restant à parcourir pour atteindre l'ODD 2 d'ici 2030.</w:t>
      </w:r>
    </w:p>
    <w:p>
      <w:pPr>
        <w:spacing w:before="60" w:after="60"/>
      </w:pPr>
      <w:r>
        <w:rPr>
          <w:rFonts w:ascii="Arial" w:cs="Arial" w:eastAsia="Arial" w:hAnsi="Arial"/>
          <w:b/>
          <w:bCs/>
          <w:sz w:val="22"/>
          <w:szCs w:val="22"/>
        </w:rPr>
        <w:t xml:space="preserve">Portail GHI (scores, classements, carte interactive) : </w:t>
      </w:r>
      <w:hyperlink w:history="1" r:id="rIdogctfjeszmz0b5omhvm3w">
        <w:r>
          <w:rPr>
            <w:rFonts w:ascii="Arial" w:cs="Arial" w:eastAsia="Arial" w:hAnsi="Arial"/>
            <w:color w:val="0563C1"/>
            <w:sz w:val="22"/>
            <w:szCs w:val="22"/>
            <w:u w:val="single"/>
          </w:rPr>
          <w:t xml:space="preserve">https://www.globalhungerindex.org/</w:t>
        </w:r>
      </w:hyperlink>
    </w:p>
    <w:p>
      <w:pPr>
        <w:spacing w:before="60" w:after="60"/>
      </w:pPr>
      <w:r>
        <w:rPr>
          <w:rFonts w:ascii="Arial" w:cs="Arial" w:eastAsia="Arial" w:hAnsi="Arial"/>
          <w:b/>
          <w:bCs/>
          <w:sz w:val="22"/>
          <w:szCs w:val="22"/>
        </w:rPr>
        <w:t xml:space="preserve">Téléchargement des données GHI : </w:t>
      </w:r>
      <w:hyperlink w:history="1" r:id="rId9tsqccw8wi9gwy5xotnid">
        <w:r>
          <w:rPr>
            <w:rFonts w:ascii="Arial" w:cs="Arial" w:eastAsia="Arial" w:hAnsi="Arial"/>
            <w:color w:val="0563C1"/>
            <w:sz w:val="22"/>
            <w:szCs w:val="22"/>
            <w:u w:val="single"/>
          </w:rPr>
          <w:t xml:space="preserve">https://www.globalhungerindex.org/ranking.html</w:t>
        </w:r>
      </w:hyperlink>
    </w:p>
    <w:p>
      <w:pPr>
        <w:spacing w:before="60" w:after="60"/>
      </w:pPr>
      <w:r>
        <w:rPr>
          <w:rFonts w:ascii="Arial" w:cs="Arial" w:eastAsia="Arial" w:hAnsi="Arial"/>
          <w:b/>
          <w:bCs/>
          <w:sz w:val="22"/>
          <w:szCs w:val="22"/>
        </w:rPr>
        <w:t xml:space="preserve">Rapport GHI 2025 (PDF) : </w:t>
      </w:r>
      <w:hyperlink w:history="1" r:id="rIdtbbovujrdyh1kgyvz8e6_">
        <w:r>
          <w:rPr>
            <w:rFonts w:ascii="Arial" w:cs="Arial" w:eastAsia="Arial" w:hAnsi="Arial"/>
            <w:color w:val="0563C1"/>
            <w:sz w:val="22"/>
            <w:szCs w:val="22"/>
            <w:u w:val="single"/>
          </w:rPr>
          <w:t xml:space="preserve">https://www.globalhungerindex.org/pdf/en/2025.pdf</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13. GFSI — Global Food Security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113 pays (dont tous les pays d'Afrique subsaharienne majeurs)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Annuel depuis 2012</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Economist Impact (filiale de The Economist Group), avec le soutien de Corteva Agriscience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Données partiellement libres en ligne ; rapport complet téléchargeable</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L'Indice Mondial de Sécurité Alimentaire (GFSI) est un modèle d'évaluation comparatif et dynamique mesurant les déterminants (plutôt que les résultats) de la sécurité alimentaire dans 113 pays. Il est construit à partir de 68 indicateurs regroupés en quatre dimensions : accessibilité financière (affordability — ex. part de l'alimentation dans le budget des ménages, pauvreté), disponibilité alimentaire (production, réserves, risque d'approvisionnement), qualité et sécurité sanitaire des aliments, et durabilité et adaptation (changement climatique, ressources naturelles). Contrairement au GHI qui mesure des résultats (outcomes), le GFSI mesure l'environnement de sécurité alimentaire (drivers).</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Score global GFSI par pays (0-100), scores par pilier (accessibilité, disponibilité, qualité/sécurité, durabilité), classements nationaux et évolution depuis 2012, données pour 68 indicateurs individuels par pays, comparaisons régionales et mondiales. En 2022, l'Afrique subsaharienne présente les scores les plus faibles de toutes les régions mondiales, avec l'Afrique du Sud (59e rang mondial) en tête du continent.</w:t>
      </w:r>
    </w:p>
    <w:p>
      <w:pPr>
        <w:spacing w:before="60" w:after="60"/>
      </w:pPr>
      <w:r>
        <w:rPr>
          <w:rFonts w:ascii="Arial" w:cs="Arial" w:eastAsia="Arial" w:hAnsi="Arial"/>
          <w:b/>
          <w:bCs/>
          <w:sz w:val="22"/>
          <w:szCs w:val="22"/>
        </w:rPr>
        <w:t xml:space="preserve">Portail GFSI : </w:t>
      </w:r>
      <w:hyperlink w:history="1" r:id="rIdj4pafxrz9tauepxvtevmv">
        <w:r>
          <w:rPr>
            <w:rFonts w:ascii="Arial" w:cs="Arial" w:eastAsia="Arial" w:hAnsi="Arial"/>
            <w:color w:val="0563C1"/>
            <w:sz w:val="22"/>
            <w:szCs w:val="22"/>
            <w:u w:val="single"/>
          </w:rPr>
          <w:t xml:space="preserve">https://impact.economist.com/sustainability/project/food-security-index</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14. Food Security Portal — IFPRI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Afrique subsaharienne et monde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selon les indicateurs et les pays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IFPRI (International Food Policy Research Institute)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Le Food Security Portal de l'IFPRI est un portail agrégateur de données et d'analyses sur la sécurité alimentaire mondiale et africaine. Il centralise des données issues de multiples sources (FAOSTAT, Banque Mondiale, WFP, prix de marché) et propose des outils d'analyse et de visualisation. Il dispose d'un sous-portail spécifique pour l'Afrique subsaharienne et comprend des données sur les prix alimentaires, les bilans céréaliers, la production agricole et les indicateurs macroéconomiques liés à la sécurité alimentaire.</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Prix alimentaires mondiaux et nationaux, indicateurs de sécurité alimentaire par pays (faim, pauvreté, malnutrition), bilans céréaliers et données de production, accès aux marchés et intégration des marchés alimentaires, données sur les politiques agricoles et alimentaires, modèles prospectifs de prix alimentaires, outils d'analyse d'impact des chocs sur les prix alimentaires.</w:t>
      </w:r>
    </w:p>
    <w:p>
      <w:pPr>
        <w:spacing w:before="60" w:after="60"/>
      </w:pPr>
      <w:r>
        <w:rPr>
          <w:rFonts w:ascii="Arial" w:cs="Arial" w:eastAsia="Arial" w:hAnsi="Arial"/>
          <w:b/>
          <w:bCs/>
          <w:sz w:val="22"/>
          <w:szCs w:val="22"/>
        </w:rPr>
        <w:t xml:space="preserve">Food Security Portal (IFPRI) : </w:t>
      </w:r>
      <w:hyperlink w:history="1" r:id="rIdhjzndcvnrfmh8czmepgyh">
        <w:r>
          <w:rPr>
            <w:rFonts w:ascii="Arial" w:cs="Arial" w:eastAsia="Arial" w:hAnsi="Arial"/>
            <w:color w:val="0563C1"/>
            <w:sz w:val="22"/>
            <w:szCs w:val="22"/>
            <w:u w:val="single"/>
          </w:rPr>
          <w:t xml:space="preserve">https://www.foodsecurityportal.org/</w:t>
        </w:r>
      </w:hyperlink>
    </w:p>
    <w:p>
      <w:pPr>
        <w:spacing w:before="60" w:after="60"/>
      </w:pPr>
      <w:r>
        <w:rPr>
          <w:rFonts w:ascii="Arial" w:cs="Arial" w:eastAsia="Arial" w:hAnsi="Arial"/>
          <w:b/>
          <w:bCs/>
          <w:sz w:val="22"/>
          <w:szCs w:val="22"/>
        </w:rPr>
        <w:t xml:space="preserve">Sous-portail Afrique subsaharienne : </w:t>
      </w:r>
      <w:hyperlink w:history="1" r:id="rIdfboab4nnbll4mfcxzl9ls">
        <w:r>
          <w:rPr>
            <w:rFonts w:ascii="Arial" w:cs="Arial" w:eastAsia="Arial" w:hAnsi="Arial"/>
            <w:color w:val="0563C1"/>
            <w:sz w:val="22"/>
            <w:szCs w:val="22"/>
            <w:u w:val="single"/>
          </w:rPr>
          <w:t xml:space="preserve">https://ssa.foodsecurityportal.org/</w:t>
        </w:r>
      </w:hyperlink>
    </w:p>
    <w:p>
      <w:r>
        <w:br w:type="page"/>
      </w:r>
    </w:p>
    <w:p>
      <w:pPr>
        <w:pStyle w:val="Heading1"/>
        <w:spacing w:before="400" w:after="200"/>
      </w:pPr>
      <w:r>
        <w:rPr>
          <w:rFonts w:ascii="Arial" w:cs="Arial" w:eastAsia="Arial" w:hAnsi="Arial"/>
          <w:b/>
          <w:bCs/>
          <w:color w:val="1F4E79"/>
          <w:sz w:val="32"/>
          <w:szCs w:val="32"/>
        </w:rPr>
        <w:t xml:space="preserve">IV. Bases de données sur les prix alimentaires et les marchés</w:t>
      </w:r>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15. WFP VAM — Economic Explorer / Market Prices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Afrique subsaharienne et monde (80+ pays d'intervention WFP)</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Depuis les années 2000 (selon les pays) ; actualisée mensuellement</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WFP — Division VAM</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La base de prix alimentaires du WFP est l'une des bases les plus complètes pour le suivi des prix des denrées alimentaires de base dans les pays à faible revenu. Elle compile mensuellement les relevés de prix sur les marchés locaux, collectés par les bureaux de terrain du WFP et les agences partenaires. L'outil Economic Explorer permet de visualiser et de télécharger des séries de prix par pays, marché, produit et période. L'indicateur ALPS (Abnormal Price Level Stress) permet d'identifier automatiquement les marchés où les prix sont anormalement élevés par rapport aux valeurs saisonnières historiques.</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Prix au détail et en gros des denrées alimentaires de base (céréales, légumineuses, huiles, tubercules, viandes, produits laitiers) sur les marchés locaux d'Afrique subsaharienne, données mensuelles par marché, indicateur ALPS de stress des prix, indices de prix alimentaires locaux et comparaisons avec les prix internationaux, intégration des marchés et transmission des prix, données de flux commerciaux.</w:t>
      </w:r>
    </w:p>
    <w:p>
      <w:pPr>
        <w:spacing w:before="60" w:after="60"/>
      </w:pPr>
      <w:r>
        <w:rPr>
          <w:rFonts w:ascii="Arial" w:cs="Arial" w:eastAsia="Arial" w:hAnsi="Arial"/>
          <w:b/>
          <w:bCs/>
          <w:sz w:val="22"/>
          <w:szCs w:val="22"/>
        </w:rPr>
        <w:t xml:space="preserve">WFP Economic Explorer (prix alimentaires) : </w:t>
      </w:r>
      <w:hyperlink w:history="1" r:id="rId_9emgylguvg657dyqnc8z">
        <w:r>
          <w:rPr>
            <w:rFonts w:ascii="Arial" w:cs="Arial" w:eastAsia="Arial" w:hAnsi="Arial"/>
            <w:color w:val="0563C1"/>
            <w:sz w:val="22"/>
            <w:szCs w:val="22"/>
            <w:u w:val="single"/>
          </w:rPr>
          <w:t xml:space="preserve">https://dataviz.vam.wfp.org/economic_explorer/prices</w:t>
        </w:r>
      </w:hyperlink>
    </w:p>
    <w:p>
      <w:pPr>
        <w:spacing w:before="60" w:after="60"/>
      </w:pPr>
      <w:r>
        <w:rPr>
          <w:rFonts w:ascii="Arial" w:cs="Arial" w:eastAsia="Arial" w:hAnsi="Arial"/>
          <w:b/>
          <w:bCs/>
          <w:sz w:val="22"/>
          <w:szCs w:val="22"/>
        </w:rPr>
        <w:t xml:space="preserve">Open Data Portal WFP (téléchargement) : </w:t>
      </w:r>
      <w:hyperlink w:history="1" r:id="rIdgpjrxj3cix1utrjeww1xx">
        <w:r>
          <w:rPr>
            <w:rFonts w:ascii="Arial" w:cs="Arial" w:eastAsia="Arial" w:hAnsi="Arial"/>
            <w:color w:val="0563C1"/>
            <w:sz w:val="22"/>
            <w:szCs w:val="22"/>
            <w:u w:val="single"/>
          </w:rPr>
          <w:t xml:space="preserve">https://data.humdata.org/organization/wfp</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16. FAO FPMA — Food Price Monitoring and Analysis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126 pays (dont tous les pays d'Afrique subsaharienne majeurs)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Mensuel depuis 2009 (certaines séries depuis les années 1990)</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FAO — GIEWS (Service mondial d'information et d'alerte rapide)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L'outil FPMA (Food Price Monitoring and Analysis) du GIEWS est l'outil de référence de la FAO pour le suivi des prix alimentaires nationaux et locaux dans les pays en développement. Il compile plus de 2 100 séries de prix mensuels (prix de détail et en gros) pour les principales denrées alimentaires consommées dans 126 pays. Pour l'Afrique subsaharienne, il couvre les céréales de base (mil, sorgho, maïs, riz local et importé), les légumineuses, les tubercules et d'autres produits de base. L'outil permet de visualiser les tendances, comparer des séries et télécharger les données.</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Séries de prix mensuels par pays, marché et produit depuis 2009, comparaisons de prix entre marchés d'un même pays, comparaison avec les moyennes historiques et les prix internationaux, statistiques de base (min, max, moyennes, écart-types, variations en %), données sur les prix des engrais dans certains pays.</w:t>
      </w:r>
    </w:p>
    <w:p>
      <w:pPr>
        <w:spacing w:before="60" w:after="60"/>
      </w:pPr>
      <w:r>
        <w:rPr>
          <w:rFonts w:ascii="Arial" w:cs="Arial" w:eastAsia="Arial" w:hAnsi="Arial"/>
          <w:b/>
          <w:bCs/>
          <w:sz w:val="22"/>
          <w:szCs w:val="22"/>
        </w:rPr>
        <w:t xml:space="preserve">Outil FPMA (FAO) : </w:t>
      </w:r>
      <w:hyperlink w:history="1" r:id="rIdwahkh-ke8eg_76j9z-hh9">
        <w:r>
          <w:rPr>
            <w:rFonts w:ascii="Arial" w:cs="Arial" w:eastAsia="Arial" w:hAnsi="Arial"/>
            <w:color w:val="0563C1"/>
            <w:sz w:val="22"/>
            <w:szCs w:val="22"/>
            <w:u w:val="single"/>
          </w:rPr>
          <w:t xml:space="preserve">https://www.fao.org/giews/food-prices/tool/public/#/</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17. AfDB / MCC — Indice Ibrahim, données de gouvernance alimentaire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 pays africains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Depuis 2000 (Ibrahim) ; variable selon les pays et indicateurs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Fondation Mo Ibrahim (Ibrahim Index) ; Banque Africaine de Développement (BAD)</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L'Indice Ibrahim de gouvernance africaine (IIAG) inclut une composante spécifique sur le développement rural et la sécurité alimentaire, permettant d'évaluer la gouvernance des systèmes alimentaires au niveau national. La BAD publie également des indicateurs de développement africain (African Development Indicators) incluant des données sur la sécurité alimentaire, la nutrition et les politiques agricoles. Ces sources sont complémentaires aux bases de données sur les résultats (outcomes) alimentaires et permettent d'analyser les déterminants institutionnels et de gouvernance.</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Indicateurs de gouvernance du secteur agricole et alimentaire, scores de développement rural et sécurité alimentaire par pays (IIAG), investissements publics dans l'agriculture, politiques alimentaires et de protection sociale, indicateurs de développement humain incluant la nutrition.</w:t>
      </w:r>
    </w:p>
    <w:p>
      <w:pPr>
        <w:spacing w:before="60" w:after="60"/>
      </w:pPr>
      <w:r>
        <w:rPr>
          <w:rFonts w:ascii="Arial" w:cs="Arial" w:eastAsia="Arial" w:hAnsi="Arial"/>
          <w:b/>
          <w:bCs/>
          <w:sz w:val="22"/>
          <w:szCs w:val="22"/>
        </w:rPr>
        <w:t xml:space="preserve">Indice Ibrahim (IIAG) : </w:t>
      </w:r>
      <w:hyperlink w:history="1" r:id="rIdzzicpglzhi1js8gmb8cud">
        <w:r>
          <w:rPr>
            <w:rFonts w:ascii="Arial" w:cs="Arial" w:eastAsia="Arial" w:hAnsi="Arial"/>
            <w:color w:val="0563C1"/>
            <w:sz w:val="22"/>
            <w:szCs w:val="22"/>
            <w:u w:val="single"/>
          </w:rPr>
          <w:t xml:space="preserve">https://mo.ibrahim.foundation/iiag</w:t>
        </w:r>
      </w:hyperlink>
    </w:p>
    <w:p>
      <w:pPr>
        <w:spacing w:before="60" w:after="60"/>
      </w:pPr>
      <w:r>
        <w:rPr>
          <w:rFonts w:ascii="Arial" w:cs="Arial" w:eastAsia="Arial" w:hAnsi="Arial"/>
          <w:b/>
          <w:bCs/>
          <w:sz w:val="22"/>
          <w:szCs w:val="22"/>
        </w:rPr>
        <w:t xml:space="preserve">BAD — Indicateurs de développement africain : </w:t>
      </w:r>
      <w:hyperlink w:history="1" r:id="rIdt5pbaicu6s30qhfbzrvao">
        <w:r>
          <w:rPr>
            <w:rFonts w:ascii="Arial" w:cs="Arial" w:eastAsia="Arial" w:hAnsi="Arial"/>
            <w:color w:val="0563C1"/>
            <w:sz w:val="22"/>
            <w:szCs w:val="22"/>
            <w:u w:val="single"/>
          </w:rPr>
          <w:t xml:space="preserve">https://dataportal.opendataforafrica.org/</w:t>
        </w:r>
      </w:hyperlink>
    </w:p>
    <w:p>
      <w:r>
        <w:br w:type="page"/>
      </w:r>
    </w:p>
    <w:p>
      <w:pPr>
        <w:pStyle w:val="Heading1"/>
        <w:spacing w:before="400" w:after="200"/>
      </w:pPr>
      <w:r>
        <w:rPr>
          <w:rFonts w:ascii="Arial" w:cs="Arial" w:eastAsia="Arial" w:hAnsi="Arial"/>
          <w:b/>
          <w:bCs/>
          <w:color w:val="1F4E79"/>
          <w:sz w:val="32"/>
          <w:szCs w:val="32"/>
        </w:rPr>
        <w:t xml:space="preserve">V. Sources spécifiques et régionales</w:t>
      </w:r>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18. UNICEF — Bases de données sur la nutrition infantile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Monde entier (dont Afrique subsaharienne)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Données depuis 1990 ; actualisées annuellement</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UNICEF (Fonds des Nations Unies pour l'Enfance)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et gratuit</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UNICEF maintient la base de données mondiale de référence sur l'état nutritionnel des enfants de moins de 5 ans. Elle compile et harmonise les données issues de toutes les enquêtes nationales disponibles (DHS, MICS, SMART, enquêtes nationales) pour produire des estimations comparables entre pays et dans le temps. C'est la source utilisée pour le calcul des indicateurs ODD 2.2.1 (stunting) et 2.2.2 (wasting et surpoids). UNICEF produit également des estimations sur la couverture des interventions nutritionnelles et sur l'alimentation des nourrissons et des jeunes enfants.</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Taux de retard de croissance (stunting : taille-pour-âge &lt; -2 Z-scores) par pays, age, sexe et zone de résidence, taux d'émaciation (wasting : poids-pour-taille &lt; -2 Z-scores), taux de surpoids chez les enfants de moins de 5 ans, insuffisance pondérale (poids-pour-âge &lt; -2), anémie chez les enfants et les femmes, indicateurs ANJE/IYCF (allaitement exclusif, diversité alimentaire minimale des nourrissons, fréquence minimale des repas), couverture des supplémentations (vitamine A, zinc, fer).</w:t>
      </w:r>
    </w:p>
    <w:p>
      <w:pPr>
        <w:spacing w:before="60" w:after="60"/>
      </w:pPr>
      <w:r>
        <w:rPr>
          <w:rFonts w:ascii="Arial" w:cs="Arial" w:eastAsia="Arial" w:hAnsi="Arial"/>
          <w:b/>
          <w:bCs/>
          <w:sz w:val="22"/>
          <w:szCs w:val="22"/>
        </w:rPr>
        <w:t xml:space="preserve">UNICEF Data — Nutrition : </w:t>
      </w:r>
      <w:hyperlink w:history="1" r:id="rIdcidrvme6px3hdxg96r_uw">
        <w:r>
          <w:rPr>
            <w:rFonts w:ascii="Arial" w:cs="Arial" w:eastAsia="Arial" w:hAnsi="Arial"/>
            <w:color w:val="0563C1"/>
            <w:sz w:val="22"/>
            <w:szCs w:val="22"/>
            <w:u w:val="single"/>
          </w:rPr>
          <w:t xml:space="preserve">https://data.unicef.org/topic/nutrition/</w:t>
        </w:r>
      </w:hyperlink>
    </w:p>
    <w:p>
      <w:pPr>
        <w:spacing w:before="60" w:after="60"/>
      </w:pPr>
      <w:r>
        <w:rPr>
          <w:rFonts w:ascii="Arial" w:cs="Arial" w:eastAsia="Arial" w:hAnsi="Arial"/>
          <w:b/>
          <w:bCs/>
          <w:sz w:val="22"/>
          <w:szCs w:val="22"/>
        </w:rPr>
        <w:t xml:space="preserve">UNICEF Data — Malnutrition (téléchargement) : </w:t>
      </w:r>
      <w:hyperlink w:history="1" r:id="rIdvapzk_y6dtq21suzzjsgr">
        <w:r>
          <w:rPr>
            <w:rFonts w:ascii="Arial" w:cs="Arial" w:eastAsia="Arial" w:hAnsi="Arial"/>
            <w:color w:val="0563C1"/>
            <w:sz w:val="22"/>
            <w:szCs w:val="22"/>
            <w:u w:val="single"/>
          </w:rPr>
          <w:t xml:space="preserve">https://data.unicef.org/topic/nutrition/malnutrition/</w:t>
        </w:r>
      </w:hyperlink>
    </w:p>
    <w:p>
      <w:pPr>
        <w:spacing w:before="60" w:after="60"/>
      </w:pPr>
      <w:r>
        <w:rPr>
          <w:rFonts w:ascii="Arial" w:cs="Arial" w:eastAsia="Arial" w:hAnsi="Arial"/>
          <w:b/>
          <w:bCs/>
          <w:sz w:val="22"/>
          <w:szCs w:val="22"/>
        </w:rPr>
        <w:t xml:space="preserve">JME (UNICEF-WHO-WB Joint Malnutrition Estimates) : </w:t>
      </w:r>
      <w:hyperlink w:history="1" r:id="rIdydksqauupwwaglcumt1uc">
        <w:r>
          <w:rPr>
            <w:rFonts w:ascii="Arial" w:cs="Arial" w:eastAsia="Arial" w:hAnsi="Arial"/>
            <w:color w:val="0563C1"/>
            <w:sz w:val="22"/>
            <w:szCs w:val="22"/>
            <w:u w:val="single"/>
          </w:rPr>
          <w:t xml:space="preserve">https://www.who.int/teams/nutrition-and-food-safety/monitoring-nutritional-status-and-food-safety-practices/joint-child-malnutrition-estimates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19. MICS — Multiple Indicator Cluster Surveys (UNICEF)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pays d'Afrique subsaharienne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Cycles depuis 1995 (MICS1) ; MICS6 : 2017-2022 ; MICS7 en cours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UNICEF — Programme MICS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 (après enregistrement sur le portail MICS)</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Les Enquêtes en Grappes à Indicateurs Multiples (MICS) sont des enquêtes ménages représentatives au niveau national, menées par les gouvernements avec l'assistance technique et financière de l'UNICEF. Elles constituent un complément aux EDS/DHS et couvrent souvent des pays non couverts par les DHS (notamment en Afrique centrale). Les MICS utilisent des modules standardisés comparables entre pays et dans le temps, et produisent des données désagrégées par sexe, âge, zone de résidence, niveau d'instruction et quintile de richesse.</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Anthropométrie des enfants de moins de 5 ans (stunting, wasting, surpoids), alimentation des nourrissons et des jeunes enfants (ANJE/IYCF) : allaitement maternel (initiation, exclusif, durée), diversité alimentaire minimale (âges 6-23 mois), fréquence minimale des repas, consommation de fer, pratiques d'alimentation des adolescentes, insécurité alimentaire des ménages (FIES dans les cycles récents), eau, assainissement et hygiène (WASH), sécurité alimentaire et diversité alimentaire des ménages.</w:t>
      </w:r>
    </w:p>
    <w:p>
      <w:pPr>
        <w:spacing w:before="60" w:after="60"/>
      </w:pPr>
      <w:r>
        <w:rPr>
          <w:rFonts w:ascii="Arial" w:cs="Arial" w:eastAsia="Arial" w:hAnsi="Arial"/>
          <w:b/>
          <w:bCs/>
          <w:sz w:val="22"/>
          <w:szCs w:val="22"/>
        </w:rPr>
        <w:t xml:space="preserve">Portail MICS : </w:t>
      </w:r>
      <w:hyperlink w:history="1" r:id="rId2r4fqimfojfledu5gifnr">
        <w:r>
          <w:rPr>
            <w:rFonts w:ascii="Arial" w:cs="Arial" w:eastAsia="Arial" w:hAnsi="Arial"/>
            <w:color w:val="0563C1"/>
            <w:sz w:val="22"/>
            <w:szCs w:val="22"/>
            <w:u w:val="single"/>
          </w:rPr>
          <w:t xml:space="preserve">https://mics.unicef.org/</w:t>
        </w:r>
      </w:hyperlink>
    </w:p>
    <w:p>
      <w:pPr>
        <w:spacing w:before="60" w:after="60"/>
      </w:pPr>
      <w:r>
        <w:rPr>
          <w:rFonts w:ascii="Arial" w:cs="Arial" w:eastAsia="Arial" w:hAnsi="Arial"/>
          <w:b/>
          <w:bCs/>
          <w:sz w:val="22"/>
          <w:szCs w:val="22"/>
        </w:rPr>
        <w:t xml:space="preserve">Téléchargement données MICS : </w:t>
      </w:r>
      <w:hyperlink w:history="1" r:id="rIdo0yzp_nwjwfbpa59wh5ic">
        <w:r>
          <w:rPr>
            <w:rFonts w:ascii="Arial" w:cs="Arial" w:eastAsia="Arial" w:hAnsi="Arial"/>
            <w:color w:val="0563C1"/>
            <w:sz w:val="22"/>
            <w:szCs w:val="22"/>
            <w:u w:val="single"/>
          </w:rPr>
          <w:t xml:space="preserve">https://mics.unicef.org/surveys</w:t>
        </w:r>
      </w:hyperlink>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20. Sources régionales : IGAD, CILSS, SADC, ReSAKSS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Zone géographique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Afrique de l'Est (IGAD), Sahel (CILSS), Afrique australe (SADC), Afrique (ReSAKSS)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selon les organisations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Source / Gestionnaire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IGAD (Autorité intergouvernementale pour le développement), CILSS (Comité permanent Inter-Etats de Lutte contre la Sécheresse dans le Sahel), SADC (Communauté de Développement de l'Afrique australe), IFPRI/ReSAKSS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Partiellement libre</w:t>
            </w:r>
          </w:p>
        </w:tc>
      </w:tr>
    </w:tbl>
    <w:p>
      <w:pPr>
        <w:spacing w:before="100" w:after="60"/>
      </w:pPr>
    </w:p>
    <w:p>
      <w:pPr>
        <w:spacing w:before="200" w:after="80"/>
      </w:pPr>
      <w:r>
        <w:rPr>
          <w:rFonts w:ascii="Arial" w:cs="Arial" w:eastAsia="Arial" w:hAnsi="Arial"/>
          <w:b/>
          <w:bCs/>
          <w:color w:val="375623"/>
          <w:sz w:val="24"/>
          <w:szCs w:val="24"/>
        </w:rPr>
        <w:t xml:space="preserve">Description</w:t>
      </w:r>
    </w:p>
    <w:p>
      <w:pPr>
        <w:spacing w:before="60" w:after="60"/>
      </w:pPr>
      <w:r>
        <w:rPr>
          <w:rFonts w:ascii="Arial" w:cs="Arial" w:eastAsia="Arial" w:hAnsi="Arial"/>
          <w:sz w:val="22"/>
          <w:szCs w:val="22"/>
        </w:rPr>
        <w:t xml:space="preserve">Plusieurs organisations régionales africaines produisent et agrègent des données spécifiques sur la sécurité alimentaire dans leur zone géographique. L'IGAD (Corne de l'Afrique) publie des analyses régionales de sécurité alimentaire via son Centre for Pastoral Areas and Livestock Development (ICPALD) et coordonne le système d'alerte précoce FSNWG (Food Security and Nutrition Working Group) pour la Corne de l'Afrique. Le CILSS publie des données sur les marchés, les bilans céréaliers et les situations alimentaires du Sahel dans le cadre de son système d'information AGRHYMET. La SADC produit des données sur la sécurité alimentaire régionale pour l'Afrique australe. Le ReSAKSS (IFPRI) centralise des indicateurs CAADP incluant des dimensions de sécurité alimentaire.</w:t>
      </w:r>
    </w:p>
    <w:p>
      <w:pPr>
        <w:spacing w:before="200" w:after="80"/>
      </w:pPr>
      <w:r>
        <w:rPr>
          <w:rFonts w:ascii="Arial" w:cs="Arial" w:eastAsia="Arial" w:hAnsi="Arial"/>
          <w:b/>
          <w:bCs/>
          <w:color w:val="375623"/>
          <w:sz w:val="24"/>
          <w:szCs w:val="24"/>
        </w:rPr>
        <w:t xml:space="preserve">Sections couvertes</w:t>
      </w:r>
    </w:p>
    <w:p>
      <w:pPr>
        <w:spacing w:before="60" w:after="60"/>
      </w:pPr>
      <w:r>
        <w:rPr>
          <w:rFonts w:ascii="Arial" w:cs="Arial" w:eastAsia="Arial" w:hAnsi="Arial"/>
          <w:sz w:val="22"/>
          <w:szCs w:val="22"/>
        </w:rPr>
        <w:t xml:space="preserve">Bilans céréaliers régionaux, données de marchés transfrontaliers, informations sur le pastoralisme et la sécurité alimentaire des ménages pastoraux, données sur les chocs climatiques et leurs impacts sur la production, indicateurs CAADP de sécurité alimentaire et nutritionnelle, données agro-hydrologiques (AGRHYMET/CILSS).</w:t>
      </w:r>
    </w:p>
    <w:p>
      <w:pPr>
        <w:spacing w:before="60" w:after="60"/>
      </w:pPr>
      <w:r>
        <w:rPr>
          <w:rFonts w:ascii="Arial" w:cs="Arial" w:eastAsia="Arial" w:hAnsi="Arial"/>
          <w:b/>
          <w:bCs/>
          <w:sz w:val="22"/>
          <w:szCs w:val="22"/>
        </w:rPr>
        <w:t xml:space="preserve">IGAD Food Security / FSNWG : </w:t>
      </w:r>
      <w:hyperlink w:history="1" r:id="rId-uzhmygkc4mbjjact6vuf">
        <w:r>
          <w:rPr>
            <w:rFonts w:ascii="Arial" w:cs="Arial" w:eastAsia="Arial" w:hAnsi="Arial"/>
            <w:color w:val="0563C1"/>
            <w:sz w:val="22"/>
            <w:szCs w:val="22"/>
            <w:u w:val="single"/>
          </w:rPr>
          <w:t xml:space="preserve">https://igad.int/programs/food-security-and-nutrition/</w:t>
        </w:r>
      </w:hyperlink>
    </w:p>
    <w:p>
      <w:pPr>
        <w:spacing w:before="60" w:after="60"/>
      </w:pPr>
      <w:r>
        <w:rPr>
          <w:rFonts w:ascii="Arial" w:cs="Arial" w:eastAsia="Arial" w:hAnsi="Arial"/>
          <w:b/>
          <w:bCs/>
          <w:sz w:val="22"/>
          <w:szCs w:val="22"/>
        </w:rPr>
        <w:t xml:space="preserve">CILSS / AGRHYMET : </w:t>
      </w:r>
      <w:hyperlink w:history="1" r:id="rIdstm7sqy_4s6qbbgpbugm0">
        <w:r>
          <w:rPr>
            <w:rFonts w:ascii="Arial" w:cs="Arial" w:eastAsia="Arial" w:hAnsi="Arial"/>
            <w:color w:val="0563C1"/>
            <w:sz w:val="22"/>
            <w:szCs w:val="22"/>
            <w:u w:val="single"/>
          </w:rPr>
          <w:t xml:space="preserve">https://www.cilss.int/</w:t>
        </w:r>
      </w:hyperlink>
    </w:p>
    <w:p>
      <w:pPr>
        <w:spacing w:before="60" w:after="60"/>
      </w:pPr>
      <w:r>
        <w:rPr>
          <w:rFonts w:ascii="Arial" w:cs="Arial" w:eastAsia="Arial" w:hAnsi="Arial"/>
          <w:b/>
          <w:bCs/>
          <w:sz w:val="22"/>
          <w:szCs w:val="22"/>
        </w:rPr>
        <w:t xml:space="preserve">SADC Food Security : </w:t>
      </w:r>
      <w:hyperlink w:history="1" r:id="rIdacsvdo8m7ohipbl-06qud">
        <w:r>
          <w:rPr>
            <w:rFonts w:ascii="Arial" w:cs="Arial" w:eastAsia="Arial" w:hAnsi="Arial"/>
            <w:color w:val="0563C1"/>
            <w:sz w:val="22"/>
            <w:szCs w:val="22"/>
            <w:u w:val="single"/>
          </w:rPr>
          <w:t xml:space="preserve">https://www.sadc.int/themes/agriculture-food-security/</w:t>
        </w:r>
      </w:hyperlink>
    </w:p>
    <w:p>
      <w:pPr>
        <w:spacing w:before="60" w:after="60"/>
      </w:pPr>
      <w:r>
        <w:rPr>
          <w:rFonts w:ascii="Arial" w:cs="Arial" w:eastAsia="Arial" w:hAnsi="Arial"/>
          <w:b/>
          <w:bCs/>
          <w:sz w:val="22"/>
          <w:szCs w:val="22"/>
        </w:rPr>
        <w:t xml:space="preserve">ReSAKSS (IFPRI) : </w:t>
      </w:r>
      <w:hyperlink w:history="1" r:id="rId0aenuwanmgamcokqy6ogg">
        <w:r>
          <w:rPr>
            <w:rFonts w:ascii="Arial" w:cs="Arial" w:eastAsia="Arial" w:hAnsi="Arial"/>
            <w:color w:val="0563C1"/>
            <w:sz w:val="22"/>
            <w:szCs w:val="22"/>
            <w:u w:val="single"/>
          </w:rPr>
          <w:t xml:space="preserve">https://www.resakss.org/</w:t>
        </w:r>
      </w:hyperlink>
    </w:p>
    <w:p>
      <w:r>
        <w:br w:type="page"/>
      </w:r>
    </w:p>
    <w:p>
      <w:pPr>
        <w:pStyle w:val="Heading1"/>
        <w:spacing w:before="400" w:after="200"/>
      </w:pPr>
      <w:r>
        <w:rPr>
          <w:rFonts w:ascii="Arial" w:cs="Arial" w:eastAsia="Arial" w:hAnsi="Arial"/>
          <w:b/>
          <w:bCs/>
          <w:color w:val="1F4E79"/>
          <w:sz w:val="32"/>
          <w:szCs w:val="32"/>
        </w:rPr>
        <w:t xml:space="preserve">VI. Remarques générales et conseils d'utilisation</w:t>
      </w:r>
    </w:p>
    <w:p>
      <w:pPr>
        <w:pBdr>
          <w:bottom w:val="single" w:color="CCCCCC" w:sz="4" w:space="1"/>
        </w:pBdr>
        <w:spacing w:before="120" w:after="120"/>
      </w:pPr>
    </w:p>
    <w:p>
      <w:pPr>
        <w:pStyle w:val="Heading2"/>
        <w:spacing w:before="300" w:after="150"/>
      </w:pPr>
      <w:r>
        <w:rPr>
          <w:rFonts w:ascii="Arial" w:cs="Arial" w:eastAsia="Arial" w:hAnsi="Arial"/>
          <w:b/>
          <w:bCs/>
          <w:color w:val="2E75B6"/>
          <w:sz w:val="26"/>
          <w:szCs w:val="26"/>
        </w:rPr>
        <w:t xml:space="preserve">Multidimensionnalité de la sécurité alimentaire</w:t>
      </w:r>
    </w:p>
    <w:p>
      <w:pPr>
        <w:spacing w:before="60" w:after="60"/>
      </w:pPr>
      <w:r>
        <w:rPr>
          <w:rFonts w:ascii="Arial" w:cs="Arial" w:eastAsia="Arial" w:hAnsi="Arial"/>
          <w:sz w:val="22"/>
          <w:szCs w:val="22"/>
        </w:rPr>
        <w:t xml:space="preserve">La sécurité alimentaire étant multidimensionnelle, aucune base ne suffit à elle seule pour une analyse complète. Les quatre piliers (disponibilité, accessibilité, utilisation et stabilité) nécessitent des sources différentes. La disponibilité est mieux couverte par FAOSTAT et GIEWS ; l'accessibilité économique par les enquêtes ménages (LSMS-ISA, DHS, WFP-CFSVA) et les données de prix (FPMA, WFP Economic Explorer) ; l'utilisation alimentaire et nutritionnelle par les DHS, MICS et enquêtes SMART/SENS ; la stabilité et les chocs par l'IPC, le Cadre Harmonisé et FEWS NET.</w:t>
      </w:r>
    </w:p>
    <w:p>
      <w:pPr>
        <w:pStyle w:val="Heading2"/>
        <w:spacing w:before="300" w:after="150"/>
      </w:pPr>
      <w:r>
        <w:rPr>
          <w:rFonts w:ascii="Arial" w:cs="Arial" w:eastAsia="Arial" w:hAnsi="Arial"/>
          <w:b/>
          <w:bCs/>
          <w:color w:val="2E75B6"/>
          <w:sz w:val="26"/>
          <w:szCs w:val="26"/>
        </w:rPr>
        <w:t xml:space="preserve">Niveaux d'analyse et choix des sources</w:t>
      </w:r>
    </w:p>
    <w:p>
      <w:pPr>
        <w:spacing w:before="60" w:after="60"/>
      </w:pPr>
      <w:r>
        <w:rPr>
          <w:rFonts w:ascii="Arial" w:cs="Arial" w:eastAsia="Arial" w:hAnsi="Arial"/>
          <w:sz w:val="22"/>
          <w:szCs w:val="22"/>
        </w:rPr>
        <w:t xml:space="preserve">Pour les analyses macro (pays, régions) : FAOSTAT-FS, SOFI, GHI, GFSI, IPC (données agrégées). Pour les analyses méso (districts, zones agro-écologiques) : IPC, Cadre Harmonisé, FEWS NET (données spatiales). Pour les analyses micro (ménages) : LSMS-ISA, DHS/EDS, MICS, WFP-CFSVA (microdonnées individuelles et ménages). Pour les urgences et crises : IPC, Cadre Harmonisé, WFP mVAM, FEWS NET, DTM (IOM), UNHCR microdata, enquêtes SMART/SENS.</w:t>
      </w:r>
    </w:p>
    <w:p>
      <w:pPr>
        <w:pStyle w:val="Heading2"/>
        <w:spacing w:before="300" w:after="150"/>
      </w:pPr>
      <w:r>
        <w:rPr>
          <w:rFonts w:ascii="Arial" w:cs="Arial" w:eastAsia="Arial" w:hAnsi="Arial"/>
          <w:b/>
          <w:bCs/>
          <w:color w:val="2E75B6"/>
          <w:sz w:val="26"/>
          <w:szCs w:val="26"/>
        </w:rPr>
        <w:t xml:space="preserve">Indicateurs clés et leur comparabilité</w:t>
      </w:r>
    </w:p>
    <w:p>
      <w:pPr>
        <w:spacing w:before="60" w:after="60"/>
      </w:pPr>
      <w:r>
        <w:rPr>
          <w:rFonts w:ascii="Arial" w:cs="Arial" w:eastAsia="Arial" w:hAnsi="Arial"/>
          <w:sz w:val="22"/>
          <w:szCs w:val="22"/>
        </w:rPr>
        <w:t xml:space="preserve">La prévalence de la sous-alimentation (PoU) de la FAO est l'indicateur officiel ODD 2.1.1, calculable uniquement au niveau national et avec un décalage de 2 à 3 ans. La FIES (ODD 2.1.2) peut être collectée dans des enquêtes ménages et permet des analyses désagrégées plus fines. Le FCS du WFP est très utilisé pour le suivi de terrain mais n'est pas directement comparable à la PoU. Le GHI et le GFSI sont utiles pour les comparaisons inter-pays et longitudinales, mais ne remplacent pas les microdonnées pour les analyses causales.</w:t>
      </w:r>
    </w:p>
    <w:p>
      <w:pPr>
        <w:pStyle w:val="Heading2"/>
        <w:spacing w:before="300" w:after="150"/>
      </w:pPr>
      <w:r>
        <w:rPr>
          <w:rFonts w:ascii="Arial" w:cs="Arial" w:eastAsia="Arial" w:hAnsi="Arial"/>
          <w:b/>
          <w:bCs/>
          <w:color w:val="2E75B6"/>
          <w:sz w:val="26"/>
          <w:szCs w:val="26"/>
        </w:rPr>
        <w:t xml:space="preserve">Portails d'accès consolidés</w:t>
      </w:r>
    </w:p>
    <w:p>
      <w:pPr>
        <w:spacing w:before="60" w:after="60"/>
      </w:pPr>
      <w:r>
        <w:rPr>
          <w:rFonts w:ascii="Arial" w:cs="Arial" w:eastAsia="Arial" w:hAnsi="Arial"/>
          <w:b/>
          <w:bCs/>
          <w:sz w:val="22"/>
          <w:szCs w:val="22"/>
        </w:rPr>
        <w:t xml:space="preserve">FAOSTAT (FAO) : </w:t>
      </w:r>
      <w:hyperlink w:history="1" r:id="rIddbbt14brfgftmgqm6yn_x">
        <w:r>
          <w:rPr>
            <w:rFonts w:ascii="Arial" w:cs="Arial" w:eastAsia="Arial" w:hAnsi="Arial"/>
            <w:color w:val="0563C1"/>
            <w:sz w:val="22"/>
            <w:szCs w:val="22"/>
            <w:u w:val="single"/>
          </w:rPr>
          <w:t xml:space="preserve">https://www.fao.org/faostat/en/#data/FS</w:t>
        </w:r>
      </w:hyperlink>
    </w:p>
    <w:p>
      <w:pPr>
        <w:spacing w:before="60" w:after="60"/>
      </w:pPr>
      <w:r>
        <w:rPr>
          <w:rFonts w:ascii="Arial" w:cs="Arial" w:eastAsia="Arial" w:hAnsi="Arial"/>
          <w:b/>
          <w:bCs/>
          <w:sz w:val="22"/>
          <w:szCs w:val="22"/>
        </w:rPr>
        <w:t xml:space="preserve">IPC (Classification insécurité alimentaire) : </w:t>
      </w:r>
      <w:hyperlink w:history="1" r:id="rIdxdgw9uz06bcjrmmsu6ofv">
        <w:r>
          <w:rPr>
            <w:rFonts w:ascii="Arial" w:cs="Arial" w:eastAsia="Arial" w:hAnsi="Arial"/>
            <w:color w:val="0563C1"/>
            <w:sz w:val="22"/>
            <w:szCs w:val="22"/>
            <w:u w:val="single"/>
          </w:rPr>
          <w:t xml:space="preserve">https://www.ipcinfo.org/</w:t>
        </w:r>
      </w:hyperlink>
    </w:p>
    <w:p>
      <w:pPr>
        <w:spacing w:before="60" w:after="60"/>
      </w:pPr>
      <w:r>
        <w:rPr>
          <w:rFonts w:ascii="Arial" w:cs="Arial" w:eastAsia="Arial" w:hAnsi="Arial"/>
          <w:b/>
          <w:bCs/>
          <w:sz w:val="22"/>
          <w:szCs w:val="22"/>
        </w:rPr>
        <w:t xml:space="preserve">WFP DataViz (prix, FCS, suivi) : </w:t>
      </w:r>
      <w:hyperlink w:history="1" r:id="rIddva9gaiuc-pou53vi6vnn">
        <w:r>
          <w:rPr>
            <w:rFonts w:ascii="Arial" w:cs="Arial" w:eastAsia="Arial" w:hAnsi="Arial"/>
            <w:color w:val="0563C1"/>
            <w:sz w:val="22"/>
            <w:szCs w:val="22"/>
            <w:u w:val="single"/>
          </w:rPr>
          <w:t xml:space="preserve">https://dataviz.vam.wfp.org/</w:t>
        </w:r>
      </w:hyperlink>
    </w:p>
    <w:p>
      <w:pPr>
        <w:spacing w:before="60" w:after="60"/>
      </w:pPr>
      <w:r>
        <w:rPr>
          <w:rFonts w:ascii="Arial" w:cs="Arial" w:eastAsia="Arial" w:hAnsi="Arial"/>
          <w:b/>
          <w:bCs/>
          <w:sz w:val="22"/>
          <w:szCs w:val="22"/>
        </w:rPr>
        <w:t xml:space="preserve">FEWS NET Data Explorer : </w:t>
      </w:r>
      <w:hyperlink w:history="1" r:id="rIdkznpp8vcypcismk-lrb9w">
        <w:r>
          <w:rPr>
            <w:rFonts w:ascii="Arial" w:cs="Arial" w:eastAsia="Arial" w:hAnsi="Arial"/>
            <w:color w:val="0563C1"/>
            <w:sz w:val="22"/>
            <w:szCs w:val="22"/>
            <w:u w:val="single"/>
          </w:rPr>
          <w:t xml:space="preserve">https://fews.net/data</w:t>
        </w:r>
      </w:hyperlink>
    </w:p>
    <w:p>
      <w:pPr>
        <w:spacing w:before="60" w:after="60"/>
      </w:pPr>
      <w:r>
        <w:rPr>
          <w:rFonts w:ascii="Arial" w:cs="Arial" w:eastAsia="Arial" w:hAnsi="Arial"/>
          <w:b/>
          <w:bCs/>
          <w:sz w:val="22"/>
          <w:szCs w:val="22"/>
        </w:rPr>
        <w:t xml:space="preserve">Global Hunger Index : </w:t>
      </w:r>
      <w:hyperlink w:history="1" r:id="rIdrhawubjblwwfz2qt4_e6o">
        <w:r>
          <w:rPr>
            <w:rFonts w:ascii="Arial" w:cs="Arial" w:eastAsia="Arial" w:hAnsi="Arial"/>
            <w:color w:val="0563C1"/>
            <w:sz w:val="22"/>
            <w:szCs w:val="22"/>
            <w:u w:val="single"/>
          </w:rPr>
          <w:t xml:space="preserve">https://www.globalhungerindex.org/</w:t>
        </w:r>
      </w:hyperlink>
    </w:p>
    <w:p>
      <w:pPr>
        <w:spacing w:before="60" w:after="60"/>
      </w:pPr>
      <w:r>
        <w:rPr>
          <w:rFonts w:ascii="Arial" w:cs="Arial" w:eastAsia="Arial" w:hAnsi="Arial"/>
          <w:b/>
          <w:bCs/>
          <w:sz w:val="22"/>
          <w:szCs w:val="22"/>
        </w:rPr>
        <w:t xml:space="preserve">UNICEF Data — Nutrition : </w:t>
      </w:r>
      <w:hyperlink w:history="1" r:id="rId3qmepr0es7742alelh2wz">
        <w:r>
          <w:rPr>
            <w:rFonts w:ascii="Arial" w:cs="Arial" w:eastAsia="Arial" w:hAnsi="Arial"/>
            <w:color w:val="0563C1"/>
            <w:sz w:val="22"/>
            <w:szCs w:val="22"/>
            <w:u w:val="single"/>
          </w:rPr>
          <w:t xml:space="preserve">https://data.unicef.org/topic/nutrition/</w:t>
        </w:r>
      </w:hyperlink>
    </w:p>
    <w:p>
      <w:pPr>
        <w:spacing w:before="60" w:after="60"/>
      </w:pPr>
      <w:r>
        <w:rPr>
          <w:rFonts w:ascii="Arial" w:cs="Arial" w:eastAsia="Arial" w:hAnsi="Arial"/>
          <w:b/>
          <w:bCs/>
          <w:sz w:val="22"/>
          <w:szCs w:val="22"/>
        </w:rPr>
        <w:t xml:space="preserve">DHS Program (enquêtes ménages) : </w:t>
      </w:r>
      <w:hyperlink w:history="1" r:id="rIdh6xx1cc6layvcjg7ebyjl">
        <w:r>
          <w:rPr>
            <w:rFonts w:ascii="Arial" w:cs="Arial" w:eastAsia="Arial" w:hAnsi="Arial"/>
            <w:color w:val="0563C1"/>
            <w:sz w:val="22"/>
            <w:szCs w:val="22"/>
            <w:u w:val="single"/>
          </w:rPr>
          <w:t xml:space="preserve">https://dhsprogram.com/data/</w:t>
        </w:r>
      </w:hyperlink>
    </w:p>
    <w:p>
      <w:pPr>
        <w:spacing w:before="60" w:after="60"/>
      </w:pPr>
      <w:r>
        <w:rPr>
          <w:rFonts w:ascii="Arial" w:cs="Arial" w:eastAsia="Arial" w:hAnsi="Arial"/>
          <w:b/>
          <w:bCs/>
          <w:sz w:val="22"/>
          <w:szCs w:val="22"/>
        </w:rPr>
        <w:t xml:space="preserve">MICS (UNICEF) : </w:t>
      </w:r>
      <w:hyperlink w:history="1" r:id="rIdkxm-zhr6gjkyzejd2r9d2">
        <w:r>
          <w:rPr>
            <w:rFonts w:ascii="Arial" w:cs="Arial" w:eastAsia="Arial" w:hAnsi="Arial"/>
            <w:color w:val="0563C1"/>
            <w:sz w:val="22"/>
            <w:szCs w:val="22"/>
            <w:u w:val="single"/>
          </w:rPr>
          <w:t xml:space="preserve">https://mics.unicef.org/surveys</w:t>
        </w:r>
      </w:hyperlink>
    </w:p>
    <w:p>
      <w:pPr>
        <w:spacing w:before="60" w:after="60"/>
      </w:pPr>
      <w:r>
        <w:rPr>
          <w:rFonts w:ascii="Arial" w:cs="Arial" w:eastAsia="Arial" w:hAnsi="Arial"/>
          <w:b/>
          <w:bCs/>
          <w:sz w:val="22"/>
          <w:szCs w:val="22"/>
        </w:rPr>
        <w:t xml:space="preserve">World Bank Microdata (LSMS-ISA) : </w:t>
      </w:r>
      <w:hyperlink w:history="1" r:id="rIdf_nydrp2il3coiewp71di">
        <w:r>
          <w:rPr>
            <w:rFonts w:ascii="Arial" w:cs="Arial" w:eastAsia="Arial" w:hAnsi="Arial"/>
            <w:color w:val="0563C1"/>
            <w:sz w:val="22"/>
            <w:szCs w:val="22"/>
            <w:u w:val="single"/>
          </w:rPr>
          <w:t xml:space="preserve">https://microdata.worldbank.org/index.php/catalog/lsms</w:t>
        </w:r>
      </w:hyperlink>
    </w:p>
    <w:p>
      <w:pPr>
        <w:spacing w:before="60" w:after="60"/>
      </w:pPr>
      <w:r>
        <w:rPr>
          <w:rFonts w:ascii="Arial" w:cs="Arial" w:eastAsia="Arial" w:hAnsi="Arial"/>
          <w:b/>
          <w:bCs/>
          <w:sz w:val="22"/>
          <w:szCs w:val="22"/>
        </w:rPr>
        <w:t xml:space="preserve">HDX — Humanitarian Data Exchange : </w:t>
      </w:r>
      <w:hyperlink w:history="1" r:id="rIdtiamnfxhyf2qzj4s2yqq1">
        <w:r>
          <w:rPr>
            <w:rFonts w:ascii="Arial" w:cs="Arial" w:eastAsia="Arial" w:hAnsi="Arial"/>
            <w:color w:val="0563C1"/>
            <w:sz w:val="22"/>
            <w:szCs w:val="22"/>
            <w:u w:val="single"/>
          </w:rPr>
          <w:t xml:space="preserve">https://data.humdata.org/</w:t>
        </w:r>
      </w:hyperlink>
    </w:p>
    <w:p>
      <w:pPr>
        <w:spacing w:before="60" w:after="60"/>
      </w:pPr>
      <w:r>
        <w:rPr>
          <w:rFonts w:ascii="Arial" w:cs="Arial" w:eastAsia="Arial" w:hAnsi="Arial"/>
          <w:b/>
          <w:bCs/>
          <w:sz w:val="22"/>
          <w:szCs w:val="22"/>
        </w:rPr>
        <w:t xml:space="preserve">Food Security Portal (IFPRI) : </w:t>
      </w:r>
      <w:hyperlink w:history="1" r:id="rId2gsecth1r8wprdhhj9wzq">
        <w:r>
          <w:rPr>
            <w:rFonts w:ascii="Arial" w:cs="Arial" w:eastAsia="Arial" w:hAnsi="Arial"/>
            <w:color w:val="0563C1"/>
            <w:sz w:val="22"/>
            <w:szCs w:val="22"/>
            <w:u w:val="single"/>
          </w:rPr>
          <w:t xml:space="preserve">https://www.foodsecurityportal.org/</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e6trbegyjjmlbzvqbgl6" Type="http://schemas.openxmlformats.org/officeDocument/2006/relationships/hyperlink" Target="https://www.fao.org/faostat/en/#data/FS" TargetMode="External"/><Relationship Id="rIdvuird43ovfbwo12hl-5xp" Type="http://schemas.openxmlformats.org/officeDocument/2006/relationships/hyperlink" Target="https://www.fao.org/faostat/en/#data/CAHD" TargetMode="External"/><Relationship Id="rId5tr4oh4jw4h3lkvgosh6j" Type="http://schemas.openxmlformats.org/officeDocument/2006/relationships/hyperlink" Target="https://www.fao.org/publications/fao-flagship-publications/the-state-of-food-security-and-nutrition-in-the-world/en" TargetMode="External"/><Relationship Id="rIdupkuf3uvqscxuwcyovhmh" Type="http://schemas.openxmlformats.org/officeDocument/2006/relationships/hyperlink" Target="https://www.fao.org/faostat/en/#data/FS" TargetMode="External"/><Relationship Id="rIdhma066sb3hqlh6_k1m_zk" Type="http://schemas.openxmlformats.org/officeDocument/2006/relationships/hyperlink" Target="https://www.fao.org/giews/en/" TargetMode="External"/><Relationship Id="rIdq0rjsogpkqagebti7zt-s" Type="http://schemas.openxmlformats.org/officeDocument/2006/relationships/hyperlink" Target="https://www.fao.org/giews/food-prices/tool/public/#/" TargetMode="External"/><Relationship Id="rId6nrsicrbrvrnyimwv34mg" Type="http://schemas.openxmlformats.org/officeDocument/2006/relationships/hyperlink" Target="https://www.fao.org/giews/data-tools/en/" TargetMode="External"/><Relationship Id="rIdav0-jfoijgxasdncavssz" Type="http://schemas.openxmlformats.org/officeDocument/2006/relationships/hyperlink" Target="https://www.ipcinfo.org/" TargetMode="External"/><Relationship Id="rId0z45kmpqzq3tfvm7umgze" Type="http://schemas.openxmlformats.org/officeDocument/2006/relationships/hyperlink" Target="https://www.ipcinfo.org/ipc-country-analysis/ipc-mapping-tool/" TargetMode="External"/><Relationship Id="rIdo_fulcxga-orlamwhlaau" Type="http://schemas.openxmlformats.org/officeDocument/2006/relationships/hyperlink" Target="https://data.humdata.org/organization/ipc" TargetMode="External"/><Relationship Id="rIdxjcrpezqspnn6mjdfr-ab" Type="http://schemas.openxmlformats.org/officeDocument/2006/relationships/hyperlink" Target="https://www.ipcinfo.org/ipcinfo-website/ipc-dashboard/en/" TargetMode="External"/><Relationship Id="rIdjyal5oqdlq-xqzm8vpyzi" Type="http://schemas.openxmlformats.org/officeDocument/2006/relationships/hyperlink" Target="https://www.ipcinfo.org/ch/" TargetMode="External"/><Relationship Id="rId-xgtsdcgyjmlijsjmoipt" Type="http://schemas.openxmlformats.org/officeDocument/2006/relationships/hyperlink" Target="https://data.humdata.org/dataset/cadre-harmonise" TargetMode="External"/><Relationship Id="rIdkelnibbvgavphhve5_dr1" Type="http://schemas.openxmlformats.org/officeDocument/2006/relationships/hyperlink" Target="https://www.cilss.int/cadre-harmonise/" TargetMode="External"/><Relationship Id="rIdxbhciqckalmgb9pcno7xw" Type="http://schemas.openxmlformats.org/officeDocument/2006/relationships/hyperlink" Target="https://fews.net/" TargetMode="External"/><Relationship Id="rIdzfmmadgs_zbpjm42kvfpx" Type="http://schemas.openxmlformats.org/officeDocument/2006/relationships/hyperlink" Target="https://fews.net/data" TargetMode="External"/><Relationship Id="rIdak4lquve4stpulxoz6bll" Type="http://schemas.openxmlformats.org/officeDocument/2006/relationships/hyperlink" Target="https://fews.net/data/market-prices" TargetMode="External"/><Relationship Id="rIduell8pd0rmnglkoc6ywk9" Type="http://schemas.openxmlformats.org/officeDocument/2006/relationships/hyperlink" Target="https://dataviz.vam.wfp.org/" TargetMode="External"/><Relationship Id="rIduzpywo_qivynuklnaatla" Type="http://schemas.openxmlformats.org/officeDocument/2006/relationships/hyperlink" Target="https://hungermap.wfp.org/" TargetMode="External"/><Relationship Id="rIdv-a-hi--2swllitsx0bwk" Type="http://schemas.openxmlformats.org/officeDocument/2006/relationships/hyperlink" Target="https://vam.wfp.org/" TargetMode="External"/><Relationship Id="rIdoxresvc2kbugs3r0vs539" Type="http://schemas.openxmlformats.org/officeDocument/2006/relationships/hyperlink" Target="https://microdata.worldbank.org/index.php/catalog/lsms" TargetMode="External"/><Relationship Id="rIdzvaqf7wgbvhsmhtr03bx2" Type="http://schemas.openxmlformats.org/officeDocument/2006/relationships/hyperlink" Target="https://dhsprogram.com/data/" TargetMode="External"/><Relationship Id="rIdkko69tsgxfu2alpawzi8n" Type="http://schemas.openxmlformats.org/officeDocument/2006/relationships/hyperlink" Target="https://www.idhsdata.org/idhs/" TargetMode="External"/><Relationship Id="rIduzljsckm60nvcq_1a08rs" Type="http://schemas.openxmlformats.org/officeDocument/2006/relationships/hyperlink" Target="https://www.smartmethodology.org/" TargetMode="External"/><Relationship Id="rIdw-ennhpsx1mu78rxmnuml" Type="http://schemas.openxmlformats.org/officeDocument/2006/relationships/hyperlink" Target="https://microdata.unhcr.org/" TargetMode="External"/><Relationship Id="rIddih5tprmujmtz9jgrjvhc" Type="http://schemas.openxmlformats.org/officeDocument/2006/relationships/hyperlink" Target="https://data.unicef.org/topic/nutrition/malnutrition/" TargetMode="External"/><Relationship Id="rIdtt2rnosxuludgvn51r5i1" Type="http://schemas.openxmlformats.org/officeDocument/2006/relationships/hyperlink" Target="https://www.fantaproject.org/research-and-learning/food-security-indicators" TargetMode="External"/><Relationship Id="rIdjcpaz7m0g8kkrseim3shw" Type="http://schemas.openxmlformats.org/officeDocument/2006/relationships/hyperlink" Target="https://www.fantaproject.org/research-and-learning/household-dietary-diversity-score" TargetMode="External"/><Relationship Id="rIdogctfjeszmz0b5omhvm3w" Type="http://schemas.openxmlformats.org/officeDocument/2006/relationships/hyperlink" Target="https://www.globalhungerindex.org/" TargetMode="External"/><Relationship Id="rId9tsqccw8wi9gwy5xotnid" Type="http://schemas.openxmlformats.org/officeDocument/2006/relationships/hyperlink" Target="https://www.globalhungerindex.org/ranking.html" TargetMode="External"/><Relationship Id="rIdtbbovujrdyh1kgyvz8e6_" Type="http://schemas.openxmlformats.org/officeDocument/2006/relationships/hyperlink" Target="https://www.globalhungerindex.org/pdf/en/2025.pdf" TargetMode="External"/><Relationship Id="rIdj4pafxrz9tauepxvtevmv" Type="http://schemas.openxmlformats.org/officeDocument/2006/relationships/hyperlink" Target="https://impact.economist.com/sustainability/project/food-security-index" TargetMode="External"/><Relationship Id="rIdhjzndcvnrfmh8czmepgyh" Type="http://schemas.openxmlformats.org/officeDocument/2006/relationships/hyperlink" Target="https://www.foodsecurityportal.org/" TargetMode="External"/><Relationship Id="rIdfboab4nnbll4mfcxzl9ls" Type="http://schemas.openxmlformats.org/officeDocument/2006/relationships/hyperlink" Target="https://ssa.foodsecurityportal.org/" TargetMode="External"/><Relationship Id="rId_9emgylguvg657dyqnc8z" Type="http://schemas.openxmlformats.org/officeDocument/2006/relationships/hyperlink" Target="https://dataviz.vam.wfp.org/economic_explorer/prices" TargetMode="External"/><Relationship Id="rIdgpjrxj3cix1utrjeww1xx" Type="http://schemas.openxmlformats.org/officeDocument/2006/relationships/hyperlink" Target="https://data.humdata.org/organization/wfp" TargetMode="External"/><Relationship Id="rIdwahkh-ke8eg_76j9z-hh9" Type="http://schemas.openxmlformats.org/officeDocument/2006/relationships/hyperlink" Target="https://www.fao.org/giews/food-prices/tool/public/#/" TargetMode="External"/><Relationship Id="rIdzzicpglzhi1js8gmb8cud" Type="http://schemas.openxmlformats.org/officeDocument/2006/relationships/hyperlink" Target="https://mo.ibrahim.foundation/iiag" TargetMode="External"/><Relationship Id="rIdt5pbaicu6s30qhfbzrvao" Type="http://schemas.openxmlformats.org/officeDocument/2006/relationships/hyperlink" Target="https://dataportal.opendataforafrica.org/" TargetMode="External"/><Relationship Id="rIdcidrvme6px3hdxg96r_uw" Type="http://schemas.openxmlformats.org/officeDocument/2006/relationships/hyperlink" Target="https://data.unicef.org/topic/nutrition/" TargetMode="External"/><Relationship Id="rIdvapzk_y6dtq21suzzjsgr" Type="http://schemas.openxmlformats.org/officeDocument/2006/relationships/hyperlink" Target="https://data.unicef.org/topic/nutrition/malnutrition/" TargetMode="External"/><Relationship Id="rIdydksqauupwwaglcumt1uc" Type="http://schemas.openxmlformats.org/officeDocument/2006/relationships/hyperlink" Target="https://www.who.int/teams/nutrition-and-food-safety/monitoring-nutritional-status-and-food-safety-practices/joint-child-malnutrition-estimates" TargetMode="External"/><Relationship Id="rId2r4fqimfojfledu5gifnr" Type="http://schemas.openxmlformats.org/officeDocument/2006/relationships/hyperlink" Target="https://mics.unicef.org/" TargetMode="External"/><Relationship Id="rIdo0yzp_nwjwfbpa59wh5ic" Type="http://schemas.openxmlformats.org/officeDocument/2006/relationships/hyperlink" Target="https://mics.unicef.org/surveys" TargetMode="External"/><Relationship Id="rId-uzhmygkc4mbjjact6vuf" Type="http://schemas.openxmlformats.org/officeDocument/2006/relationships/hyperlink" Target="https://igad.int/programs/food-security-and-nutrition/" TargetMode="External"/><Relationship Id="rIdstm7sqy_4s6qbbgpbugm0" Type="http://schemas.openxmlformats.org/officeDocument/2006/relationships/hyperlink" Target="https://www.cilss.int/" TargetMode="External"/><Relationship Id="rIdacsvdo8m7ohipbl-06qud" Type="http://schemas.openxmlformats.org/officeDocument/2006/relationships/hyperlink" Target="https://www.sadc.int/themes/agriculture-food-security/" TargetMode="External"/><Relationship Id="rId0aenuwanmgamcokqy6ogg" Type="http://schemas.openxmlformats.org/officeDocument/2006/relationships/hyperlink" Target="https://www.resakss.org/" TargetMode="External"/><Relationship Id="rIddbbt14brfgftmgqm6yn_x" Type="http://schemas.openxmlformats.org/officeDocument/2006/relationships/hyperlink" Target="https://www.fao.org/faostat/en/#data/FS" TargetMode="External"/><Relationship Id="rIdxdgw9uz06bcjrmmsu6ofv" Type="http://schemas.openxmlformats.org/officeDocument/2006/relationships/hyperlink" Target="https://www.ipcinfo.org/" TargetMode="External"/><Relationship Id="rIddva9gaiuc-pou53vi6vnn" Type="http://schemas.openxmlformats.org/officeDocument/2006/relationships/hyperlink" Target="https://dataviz.vam.wfp.org/" TargetMode="External"/><Relationship Id="rIdkznpp8vcypcismk-lrb9w" Type="http://schemas.openxmlformats.org/officeDocument/2006/relationships/hyperlink" Target="https://fews.net/data" TargetMode="External"/><Relationship Id="rIdrhawubjblwwfz2qt4_e6o" Type="http://schemas.openxmlformats.org/officeDocument/2006/relationships/hyperlink" Target="https://www.globalhungerindex.org/" TargetMode="External"/><Relationship Id="rId3qmepr0es7742alelh2wz" Type="http://schemas.openxmlformats.org/officeDocument/2006/relationships/hyperlink" Target="https://data.unicef.org/topic/nutrition/" TargetMode="External"/><Relationship Id="rIdh6xx1cc6layvcjg7ebyjl" Type="http://schemas.openxmlformats.org/officeDocument/2006/relationships/hyperlink" Target="https://dhsprogram.com/data/" TargetMode="External"/><Relationship Id="rIdkxm-zhr6gjkyzejd2r9d2" Type="http://schemas.openxmlformats.org/officeDocument/2006/relationships/hyperlink" Target="https://mics.unicef.org/surveys" TargetMode="External"/><Relationship Id="rIdf_nydrp2il3coiewp71di" Type="http://schemas.openxmlformats.org/officeDocument/2006/relationships/hyperlink" Target="https://microdata.worldbank.org/index.php/catalog/lsms" TargetMode="External"/><Relationship Id="rIdtiamnfxhyf2qzj4s2yqq1" Type="http://schemas.openxmlformats.org/officeDocument/2006/relationships/hyperlink" Target="https://data.humdata.org/" TargetMode="External"/><Relationship Id="rId2gsecth1r8wprdhhj9wzq" Type="http://schemas.openxmlformats.org/officeDocument/2006/relationships/hyperlink" Target="https://www.foodsecurityportal.org/" TargetMode="External"/><Relationship Id="rId6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2026-02-24T22:16:12.141Z</dcterms:created>
  <dcterms:modified xsi:type="dcterms:W3CDTF">2026-02-24T22:16:12.142Z</dcterms:modified>
</cp:coreProperties>
</file>

<file path=docProps/custom.xml><?xml version="1.0" encoding="utf-8"?>
<Properties xmlns="http://schemas.openxmlformats.org/officeDocument/2006/custom-properties" xmlns:vt="http://schemas.openxmlformats.org/officeDocument/2006/docPropsVTypes"/>
</file>