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23.png" ContentType="image/png"/>
  <Override PartName="/word/media/rId47.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30" w:name="projet-statistique-sur-r-evaluation"/>
    <w:p>
      <w:pPr>
        <w:pStyle w:val="Titre5"/>
      </w:pPr>
      <w:r>
        <w:t xml:space="preserve">Projet statistique sur R : Evaluation</w:t>
      </w:r>
    </w:p>
    <w:p>
      <w:pPr>
        <w:pStyle w:val="FirstParagraph"/>
      </w:pPr>
      <m:oMathPara>
        <m:oMathParaPr>
          <m:jc m:val="center"/>
        </m:oMathParaPr>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ZINABA Albert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Start w:id="29" w:name="introduction"/>
    <w:p>
      <w:pPr>
        <w:pStyle w:val="Titre6"/>
      </w:pPr>
      <w:r>
        <w:t xml:space="preserve">Introduction</w:t>
      </w:r>
    </w:p>
    <w:p>
      <w:pPr>
        <w:pStyle w:val="FirstParagraph"/>
      </w:pPr>
      <w:r>
        <w:t xml:space="preserve">Nous definition cette qui serviera à résumer rapidement la structure d’un tableau de données</w:t>
      </w:r>
    </w:p>
    <w:bookmarkEnd w:id="29"/>
    <w:bookmarkEnd w:id="30"/>
    <w:bookmarkStart w:id="36" w:name="X8a21f1c903fa8d8485ec67635d7a5321f4447e7"/>
    <w:p>
      <w:pPr>
        <w:pStyle w:val="Titre1"/>
      </w:pPr>
      <w:r>
        <w:t xml:space="preserve">Analyse des consitence des bases de données</w:t>
      </w:r>
    </w:p>
    <w:bookmarkStart w:id="31" w:name="importation-des-bases-de-données"/>
    <w:p>
      <w:pPr>
        <w:pStyle w:val="Titre2"/>
      </w:pPr>
      <w:r>
        <w:t xml:space="preserve">importation des bases de données</w:t>
      </w:r>
    </w:p>
    <w:p>
      <w:pPr>
        <w:pStyle w:val="FirstParagraph"/>
      </w:pPr>
      <w:r>
        <w:t xml:space="preserve">Nous importons les donnees afin de mieux comprendre leur structure et leur composition? Pour ce faire nous utilisons la fonction read_dta du package haven car les base sont en format stata.</w:t>
      </w:r>
    </w:p>
    <w:bookmarkEnd w:id="31"/>
    <w:bookmarkStart w:id="32" w:name="nettoyage-des-bases"/>
    <w:p>
      <w:pPr>
        <w:pStyle w:val="Titre2"/>
      </w:pPr>
      <w:r>
        <w:t xml:space="preserve">Nettoyage des bases</w:t>
      </w:r>
    </w:p>
    <w:p>
      <w:pPr>
        <w:pStyle w:val="FirstParagraph"/>
      </w:pPr>
      <w:r>
        <w:t xml:space="preserve">Nous nettoyons les noms de variables des bases Base_Individus et Base_Principale à l’aide de la fonction clean_names() du package janitor, afin de les rendre plus cohérents et compatibles avec les conventions de nommage.</w:t>
      </w:r>
    </w:p>
    <w:p>
      <w:pPr>
        <w:pStyle w:val="BodyText"/>
      </w:pPr>
      <w:r>
        <w:t xml:space="preserve">##** Structure des bases de données**</w:t>
      </w:r>
    </w:p>
    <w:p>
      <w:pPr>
        <w:pStyle w:val="BodyText"/>
      </w:pPr>
      <w:r>
        <w:t xml:space="preserve">Pour une meilleur traitement et etude de nos base de données il est iportation de voir leur sructure. Pour ce faire a travers la fonction str du package</w:t>
      </w:r>
      <w:r>
        <w:t xml:space="preserve"> </w:t>
      </w:r>
      <w:r>
        <w:t xml:space="preserve">‘utils’</w:t>
      </w:r>
      <w:r>
        <w:t xml:space="preserve"> </w:t>
      </w:r>
      <w:r>
        <w:t xml:space="preserve">nous affichons les structures des deux bases de données.</w:t>
      </w:r>
    </w:p>
    <w:p>
      <w:pPr>
        <w:pStyle w:val="BodyText"/>
      </w:pPr>
      <w:r>
        <w:t xml:space="preserve">Ici nous aussi utiliosons la fobction description_base defini plus haut pour afin d’avoir une breve description des deux bases de données.</w:t>
      </w:r>
    </w:p>
    <w:p>
      <w:pPr>
        <w:pStyle w:val="SourceCode"/>
      </w:pPr>
      <w:r>
        <w:rPr>
          <w:rStyle w:val="VerbatimChar"/>
        </w:rPr>
        <w:t xml:space="preserve">La base Individus contient 144 variables sur 22092 individus.</w:t>
      </w:r>
      <w:r>
        <w:br/>
      </w:r>
      <w:r>
        <w:rPr>
          <w:rStyle w:val="VerbatimChar"/>
        </w:rPr>
        <w:t xml:space="preserve">Parmi les variables, on trouve : 9 variable(s) du type character, 2 variable(s) du type Date, 60 variable(s) du type haven_labelled, 73 variable(s) du type numeric.</w:t>
      </w:r>
    </w:p>
    <w:p>
      <w:pPr>
        <w:pStyle w:val="SourceCode"/>
      </w:pPr>
      <w:r>
        <w:rPr>
          <w:rStyle w:val="VerbatimChar"/>
        </w:rPr>
        <w:t xml:space="preserve">La base principale contient 1312 variables sur 3058 individus.</w:t>
      </w:r>
      <w:r>
        <w:br/>
      </w:r>
      <w:r>
        <w:rPr>
          <w:rStyle w:val="VerbatimChar"/>
        </w:rPr>
        <w:t xml:space="preserve">Parmi les variables, on trouve : 53 variable(s) du type character, 2 variable(s) du type Date, 362 variable(s) du type haven_labelled, 895 variable(s) du type numeric.</w:t>
      </w:r>
    </w:p>
    <w:bookmarkEnd w:id="32"/>
    <w:bookmarkStart w:id="33" w:name="X630c65aa5272b4fef8c692bf9872b1a99426fb0"/>
    <w:p>
      <w:pPr>
        <w:pStyle w:val="Titre2"/>
      </w:pPr>
      <w:r>
        <w:t xml:space="preserve">Vérification et suppressions des colonnes ou lignes vides</w:t>
      </w:r>
    </w:p>
    <w:p>
      <w:pPr>
        <w:pStyle w:val="FirstParagraph"/>
      </w:pPr>
      <w:r>
        <w:t xml:space="preserve">Pour ce faire nous verifions d’abord le nombre de ligne et de colonne dans les deux bases avant supression afin de pouvoir se faire une idée globale des deux bases.</w:t>
      </w:r>
    </w:p>
    <w:p>
      <w:pPr>
        <w:pStyle w:val="SourceCode"/>
      </w:pPr>
      <w:r>
        <w:rPr>
          <w:rStyle w:val="VerbatimChar"/>
        </w:rPr>
        <w:t xml:space="preserve">[1] 144</w:t>
      </w:r>
    </w:p>
    <w:p>
      <w:pPr>
        <w:pStyle w:val="SourceCode"/>
      </w:pPr>
      <w:r>
        <w:rPr>
          <w:rStyle w:val="VerbatimChar"/>
        </w:rPr>
        <w:t xml:space="preserve">[1] 22092</w:t>
      </w:r>
    </w:p>
    <w:p>
      <w:pPr>
        <w:pStyle w:val="SourceCode"/>
      </w:pPr>
      <w:r>
        <w:rPr>
          <w:rStyle w:val="VerbatimChar"/>
        </w:rPr>
        <w:t xml:space="preserve">[1] 1312</w:t>
      </w:r>
    </w:p>
    <w:p>
      <w:pPr>
        <w:pStyle w:val="SourceCode"/>
      </w:pPr>
      <w:r>
        <w:rPr>
          <w:rStyle w:val="VerbatimChar"/>
        </w:rPr>
        <w:t xml:space="preserve">[1] 3058</w:t>
      </w:r>
    </w:p>
    <w:p>
      <w:pPr>
        <w:pStyle w:val="FirstParagraph"/>
      </w:pPr>
      <w:r>
        <w:t xml:space="preserve">Nous nettoyons maintenant les bases Base_Individus et Base_Principale à l’aide de la fonction remove_empty() du package janitor, afin de supprimer les colonnes entièrement vides puis les lignes entièrement vides. Cela garantit que seules les observations et variables contenant des informations sont conservées pour l’analyse.</w:t>
      </w:r>
    </w:p>
    <w:p>
      <w:pPr>
        <w:pStyle w:val="SourceCode"/>
      </w:pPr>
      <w:r>
        <w:rPr>
          <w:rStyle w:val="VerbatimChar"/>
        </w:rPr>
        <w:t xml:space="preserve">[1] 1312</w:t>
      </w:r>
    </w:p>
    <w:p>
      <w:pPr>
        <w:pStyle w:val="SourceCode"/>
      </w:pPr>
      <w:r>
        <w:rPr>
          <w:rStyle w:val="VerbatimChar"/>
        </w:rPr>
        <w:t xml:space="preserve">[1] 3058</w:t>
      </w:r>
    </w:p>
    <w:p>
      <w:pPr>
        <w:pStyle w:val="FirstParagraph"/>
      </w:pPr>
      <w:r>
        <w:t xml:space="preserve">Les bases</w:t>
      </w:r>
      <w:r>
        <w:t xml:space="preserve"> </w:t>
      </w:r>
      <w:r>
        <w:rPr>
          <w:b/>
          <w:bCs/>
        </w:rPr>
        <w:t xml:space="preserve">Individus et Principale</w:t>
      </w:r>
      <w:r>
        <w:rPr>
          <w:b/>
          <w:bCs/>
        </w:rPr>
        <w:t xml:space="preserve"> </w:t>
      </w:r>
      <w:r>
        <w:t xml:space="preserve"> </w:t>
      </w:r>
      <w:r>
        <w:t xml:space="preserve">contiennent respectivement 0 et 68 colonnes vides et 0 et 0 lignes vides.</w:t>
      </w:r>
    </w:p>
    <w:bookmarkEnd w:id="33"/>
    <w:bookmarkStart w:id="34" w:name="vérifications-des-doublons"/>
    <w:p>
      <w:pPr>
        <w:pStyle w:val="Titre2"/>
      </w:pPr>
      <w:r>
        <w:t xml:space="preserve">Vérifications des doublons</w:t>
      </w:r>
    </w:p>
    <w:p>
      <w:pPr>
        <w:pStyle w:val="FirstParagraph"/>
      </w:pPr>
      <w:r>
        <w:t xml:space="preserve">Dans un souci d’assurer la qualité des données, nous avons procédé à la détection et à la suppression des doublons dans les bases utilisées. La fonction get_dupes() du package janitor a d’abord permis d’identifier les éventuelles lignes dupliquées dans les bases Base_Individus et Base_Principale.</w:t>
      </w:r>
    </w:p>
    <w:p>
      <w:pPr>
        <w:pStyle w:val="SourceCode"/>
      </w:pPr>
      <w:r>
        <w:rPr>
          <w:rStyle w:val="VerbatimChar"/>
        </w:rPr>
        <w:t xml:space="preserve">Le nombre de doublons trouvés dans Base_Individus est : 0 </w:t>
      </w:r>
    </w:p>
    <w:p>
      <w:pPr>
        <w:pStyle w:val="SourceCode"/>
      </w:pPr>
      <w:r>
        <w:rPr>
          <w:rStyle w:val="VerbatimChar"/>
        </w:rPr>
        <w:t xml:space="preserve">Le nombre de doublons trouvés dans Base_Principale est : 0 </w:t>
      </w:r>
    </w:p>
    <w:bookmarkEnd w:id="34"/>
    <w:bookmarkStart w:id="35" w:name="vérifications-des-valeurs-manquantes"/>
    <w:p>
      <w:pPr>
        <w:pStyle w:val="Titre2"/>
      </w:pPr>
      <w:r>
        <w:rPr>
          <w:b/>
          <w:bCs/>
        </w:rPr>
        <w:t xml:space="preserve">Vérifications des valeurs manquantes</w:t>
      </w:r>
    </w:p>
    <w:p>
      <w:pPr>
        <w:pStyle w:val="SourceCode"/>
      </w:pPr>
      <w:r>
        <w:rPr>
          <w:rStyle w:val="VerbatimChar"/>
        </w:rPr>
        <w:t xml:space="preserve">Nombre total de variables avec des valeurs manquantes dans Base_Principale : 1133 </w:t>
      </w:r>
    </w:p>
    <w:p>
      <w:pPr>
        <w:pStyle w:val="SourceCode"/>
      </w:pPr>
      <w:r>
        <w:rPr>
          <w:rStyle w:val="VerbatimChar"/>
        </w:rPr>
        <w:t xml:space="preserve">Nombre total de variables avec des valeurs manquantes dans Base_Individus : 128 </w:t>
      </w:r>
    </w:p>
    <w:p>
      <w:r>
        <w:br w:type="page"/>
      </w:r>
    </w:p>
    <w:bookmarkEnd w:id="35"/>
    <w:bookmarkEnd w:id="36"/>
    <w:bookmarkStart w:id="53" w:name="X7a4777ee9c21c9cb3cc3031c278bb360d3c14f7"/>
    <w:p>
      <w:pPr>
        <w:pStyle w:val="Titre1"/>
      </w:pPr>
      <w:r>
        <w:t xml:space="preserve">Analyse socio-economique des deplaces internes</w:t>
      </w:r>
    </w:p>
    <w:bookmarkStart w:id="40" w:name="pyramide-des-ages-des-individus"/>
    <w:p>
      <w:pPr>
        <w:pStyle w:val="Titre2"/>
      </w:pPr>
      <w:r>
        <w:t xml:space="preserve">Pyramide des ages des individus</w:t>
      </w:r>
    </w:p>
    <w:p>
      <w:pPr>
        <w:pStyle w:val="FirstParagraph"/>
      </w:pPr>
      <w:r>
        <w:t xml:space="preserve">Creons une pyramide des ages des indivius</w:t>
      </w:r>
      <w:r>
        <w:t xml:space="preserve"> </w:t>
      </w:r>
      <w:r>
        <w:drawing>
          <wp:inline>
            <wp:extent cx="4620126" cy="3696101"/>
            <wp:effectExtent b="0" l="0" r="0" t="0"/>
            <wp:docPr descr="" title="" id="38" name="Picture"/>
            <a:graphic>
              <a:graphicData uri="http://schemas.openxmlformats.org/drawingml/2006/picture">
                <pic:pic>
                  <pic:nvPicPr>
                    <pic:cNvPr descr="Script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pyramide révèle une population jeune, typique des contextes de crise humanitaire, avec une base large (forte proportion de 0-20 ans) et un rétrécissement marqué après 50 ans. On note un déséquilibre de genre chez les 25-45 ans, tandis que les seniors montrent une surreprésentation féminine.</w:t>
      </w:r>
    </w:p>
    <w:bookmarkEnd w:id="40"/>
    <w:bookmarkStart w:id="41" w:name="creations-de-tableau"/>
    <w:p>
      <w:pPr>
        <w:pStyle w:val="Titre2"/>
      </w:pPr>
      <w:r>
        <w:t xml:space="preserve">Creations de tableau</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Caracteristique du chef de menage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Host community North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988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Refugees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(17,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 (54.2%)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What is [Your/nam'] present 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monogamous/married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polygamous/married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non-formal union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widow or widower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(Min,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r>
        <w:trPr>
          <w:cantSplit/>
        </w:trPr>
        <w:tc>
          <w:tcPr>
            <w:gridSpan w:val="4"/>
          </w:tcPr>
          <w:p>
            <w:pPr>
              <w:spacing w:before="0" w:after="60"/>
              <w:keepNext/>
            </w:pPr>
            <w:r>
              <w:rPr>
                <w:rFonts w:ascii="Calibri" w:hAnsi="Calibri"/>
                <w:sz w:val="20"/>
              </w:rPr>
              <w:t xml:space="default">Source : Enquête sur les déplacements forcés au Sud-Soudan en 2023</w:t>
            </w:r>
          </w:p>
        </w:tc>
      </w:tr>
    </w:tbl>
    <w:p>
      <w:pPr>
        <w:pStyle w:val="FirstParagraph"/>
      </w:pPr>
      <w:r>
        <w:t xml:space="preserve">Le tableau compare 990 chefs de ménage de la communauté hôte du Nord et 2 068 chefs de ménage réfugiés. L’âge moyen est de 42 ans dans les deux groupes (avec des intervalles de 19-61 ans pour la communauté hôte et 17-61 ans pour les réfugiés), sans différence significative (p &gt; 0.9). Cependant, la distribution des sexes diffère significativement (p &lt; 0.001) : 63% d’hommes et 37% de femmes dans la communauté hôte, contre 54.2% d’hommes et 45.8% de femmes chez les réfugiés. Des différences existent également dans la situation matrimoniale, avec par exemple 72.2% de mariés monogames dans la communauté hôte contre 62.6% chez les réfugiés.</w:t>
      </w:r>
    </w:p>
    <w:bookmarkEnd w:id="41"/>
    <w:bookmarkStart w:id="52" w:name="crowding-index-ou-lindice-daffluence"/>
    <w:p>
      <w:pPr>
        <w:pStyle w:val="Titre2"/>
      </w:pPr>
      <w:r>
        <w:t xml:space="preserve">Crowding Index ou l’indice d’affluence</w:t>
      </w:r>
    </w:p>
    <w:bookmarkStart w:id="42" w:name="X1fb881642ffdba59341c6ce701a7d119d0fe654"/>
    <w:p>
      <w:pPr>
        <w:pStyle w:val="Titre3"/>
      </w:pPr>
      <w:r>
        <w:t xml:space="preserve">a- Calculons le nombre d’individus par menage</w:t>
      </w:r>
    </w:p>
    <w:bookmarkEnd w:id="42"/>
    <w:bookmarkStart w:id="46" w:name="Xf97299c94dcac0fb619dcb708576af35d265b8e"/>
    <w:p>
      <w:pPr>
        <w:pStyle w:val="Titre3"/>
      </w:pPr>
      <w:r>
        <w:t xml:space="preserve">b- statistiques descriptives sur cette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Variable</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body1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Nombre de personnes par ménage</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 (3.1) | Médiane: 7.0 | Min: 1.0 | Max: 17.0</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(SD) | Médiane: Median | Min: Min | Max: Max</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 Calculs de l'auteur basés sur les données de l'enquête.</w:t>
            </w:r>
          </w:p>
        </w:tc>
      </w:tr>
    </w:tbl>
    <w:p>
      <w:pPr>
        <w:pStyle w:val="FirstParagraph"/>
      </w:pPr>
      <w:r>
        <w:t xml:space="preserve">Sur échantillon de 3 058 ménages, la taille moyenne d’un ménage est d’environ 7.1 personnes (écart-type de 3.1). La taille médiane est de 7 personnes. La taille des ménages varie considérablement, allant d’un minimum de 1 personne à un maximum de 17 personnes.</w:t>
      </w:r>
    </w:p>
    <w:p>
      <w:pPr>
        <w:pStyle w:val="BodyText"/>
      </w:pPr>
      <w:r>
        <w:drawing>
          <wp:inline>
            <wp:extent cx="4620126" cy="3696101"/>
            <wp:effectExtent b="0" l="0" r="0" t="0"/>
            <wp:docPr descr="" title="" id="44" name="Picture"/>
            <a:graphic>
              <a:graphicData uri="http://schemas.openxmlformats.org/drawingml/2006/picture">
                <pic:pic>
                  <pic:nvPicPr>
                    <pic:cNvPr descr="Script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L’histogramme donne une idée de la taille typique. Il montre que la majorité des ménages ont entre 4 et 9 individus, avec une concentration autour de 6 ou 7 personnes par ménage.</w:t>
      </w:r>
    </w:p>
    <w:bookmarkEnd w:id="46"/>
    <w:bookmarkStart w:id="50" w:name="X3e598e2d7f0563d90ab34f20d1cfdaa8aa8f7da"/>
    <w:p>
      <w:pPr>
        <w:pStyle w:val="Titre3"/>
      </w:pPr>
      <w:r>
        <w:t xml:space="preserve">C-Statistiques descriptives sur la variable renseigant le nombre de pieces du menage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Variable</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Nombre de pièces (hors cuisine et couloirs)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(1.3) | Médiane: 2.0 | Min: 1.0 | Max: 21.0</w:t>
            </w:r>
          </w:p>
        </w:tc>
      </w:tr>
      <w:tr>
        <w:trPr>
          <w:trHeight w:val="538" w:hRule="auto"/>
        </w:trPr>
        body2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(SD) | Médiane: Median | Min: Min | Max: Max</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p>
      <w:pPr>
        <w:pStyle w:val="FirstParagraph"/>
      </w:pPr>
      <w:r>
        <w:t xml:space="preserve">Sur échantillon de 3 058 ménages, le nombre moyen de pièces habitables (hors cuisine et couloirs) est d’environ 2.4. La moitié des ménages ont 2 pièces ou moins. Le nombre de pièces varie considérablement, allant de 1 à 21, et il y a 6 cas où cette information est manquante.</w:t>
      </w:r>
    </w:p>
    <w:p>
      <w:pPr>
        <w:pStyle w:val="BodyText"/>
      </w:pPr>
      <w:r>
        <w:drawing>
          <wp:inline>
            <wp:extent cx="4620126" cy="3696101"/>
            <wp:effectExtent b="0" l="0" r="0" t="0"/>
            <wp:docPr descr="" title="" id="48" name="Picture"/>
            <a:graphic>
              <a:graphicData uri="http://schemas.openxmlformats.org/drawingml/2006/picture">
                <pic:pic>
                  <pic:nvPicPr>
                    <pic:cNvPr descr="Script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L’histogramme montre que la majorité des ménages ont un nombre de pièces très limité et que les ménages avec un grand nombre de pièces sont rares. Cela correspond à la moyenne de 2.4 pièces du tableau précédent.</w:t>
      </w:r>
    </w:p>
    <w:bookmarkEnd w:id="50"/>
    <w:bookmarkStart w:id="51" w:name="Xeb291121aff59ad3fde6c39a870cccf8ae606a5"/>
    <w:p>
      <w:pPr>
        <w:pStyle w:val="Titre3"/>
      </w:pPr>
      <w:r>
        <w:t xml:space="preserve">d- Calcule de l’indice d’affluence ou crowding index</w:t>
      </w:r>
    </w:p>
    <w:p>
      <w:pPr>
        <w:pStyle w:val="SourceCode"/>
      </w:pPr>
      <w:r>
        <w:rPr>
          <w:rStyle w:val="VerbatimChar"/>
        </w:rPr>
        <w:t xml:space="preserve">   Min. 1st Qu.  Median    Mean 3rd Qu.    Max.    NA's </w:t>
      </w:r>
      <w:r>
        <w:br/>
      </w:r>
      <w:r>
        <w:rPr>
          <w:rStyle w:val="VerbatimChar"/>
        </w:rPr>
        <w:t xml:space="preserve"> 0.1429  2.0000  3.0000  3.5548  4.5000 15.0000       6 </w:t>
      </w:r>
    </w:p>
    <w:p>
      <w:pPr>
        <w:pStyle w:val="FirstParagraph"/>
      </w:pPr>
      <w:r>
        <w:t xml:space="preserve">L’indice d’affluence médian est de 3 personnes par pièce, et la moyenne est légèrement plus élevée (environ 3.55). Un quart des ménages ont une affluence de 2 personnes par pièce ou moins, tandis qu’un quart des ménages ont une affluence de 4.5 personnes par pièce ou plus. L’affluence maximale observée est très élevée, atteignant 15 personnes par pièce dans certains ménages. Il y a également quelques données manquantes pour cette variable.</w:t>
      </w:r>
    </w:p>
    <w:p>
      <w:r>
        <w:br w:type="page"/>
      </w:r>
    </w:p>
    <w:bookmarkEnd w:id="51"/>
    <w:bookmarkEnd w:id="52"/>
    <w:bookmarkEnd w:id="53"/>
    <w:bookmarkStart w:id="83" w:name="Xeba709dc5967b2b37911c789a2e03a383d30bb4"/>
    <w:p>
      <w:pPr>
        <w:pStyle w:val="Titre1"/>
      </w:pPr>
      <w:r>
        <w:t xml:space="preserve">Analyse de la securite alimentaire des deplaces internes</w:t>
      </w:r>
    </w:p>
    <w:bookmarkStart w:id="54" w:name="Xb6625ffbb5fbccabd3becd165689090aaa9139e"/>
    <w:p>
      <w:pPr>
        <w:pStyle w:val="Titre3"/>
      </w:pPr>
      <w:r>
        <w:t xml:space="preserve">a- Faites une analyse descriptive des variables qui composent le SCA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Score de consommation alimentaire (SCA)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14" w:hRule="auto"/>
          <w:tblHeader/>
        </w:trPr>
        header  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Score de consommation alimentaire (SCA)</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Score de consommation alimentaire (SCA)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  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cereals, grains, roots and tubers Rice(Past 7days)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677 (22%)</w:t>
            </w:r>
          </w:p>
        </w:tc>
      </w:tr>
      <w:tr>
        <w:trPr>
          <w:trHeight w:val="574"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450 (15%)</w:t>
            </w:r>
          </w:p>
        </w:tc>
      </w:tr>
      <w:tr>
        <w:trPr>
          <w:trHeight w:val="574" w:hRule="auto"/>
        </w:trPr>
        body  4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253 (8.3%)</w:t>
            </w:r>
          </w:p>
        </w:tc>
      </w:tr>
      <w:tr>
        <w:trPr>
          <w:trHeight w:val="574"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365 (12%)</w:t>
            </w:r>
          </w:p>
        </w:tc>
      </w:tr>
      <w:tr>
        <w:trPr>
          <w:trHeight w:val="574" w:hRule="auto"/>
        </w:trPr>
        body  6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230 (7.5%)</w:t>
            </w:r>
          </w:p>
        </w:tc>
      </w:tr>
      <w:tr>
        <w:trPr>
          <w:trHeight w:val="574"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297 (9.7%)</w:t>
            </w:r>
          </w:p>
        </w:tc>
      </w:tr>
      <w:tr>
        <w:trPr>
          <w:trHeight w:val="574" w:hRule="auto"/>
        </w:trPr>
        body  8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92 (3.0%)</w:t>
            </w:r>
          </w:p>
        </w:tc>
      </w:tr>
      <w:tr>
        <w:trPr>
          <w:trHeight w:val="574" w:hRule="auto"/>
        </w:trPr>
        body  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690 (23%)</w:t>
            </w:r>
          </w:p>
        </w:tc>
      </w:tr>
      <w:tr>
        <w:trPr>
          <w:trHeight w:val="538" w:hRule="auto"/>
        </w:trPr>
        body 10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r>
      <w:tr>
        <w:trPr>
          <w:trHeight w:val="574" w:hRule="auto"/>
        </w:trPr>
        body 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12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397 (17%)</w:t>
            </w:r>
          </w:p>
        </w:tc>
      </w:tr>
      <w:tr>
        <w:trPr>
          <w:trHeight w:val="574" w:hRule="auto"/>
        </w:trPr>
        body 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1,443 (61%)</w:t>
            </w:r>
          </w:p>
        </w:tc>
      </w:tr>
      <w:tr>
        <w:trPr>
          <w:trHeight w:val="574" w:hRule="auto"/>
        </w:trPr>
        body 14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(0.5%)</w:t>
            </w:r>
          </w:p>
        </w:tc>
      </w:tr>
      <w:tr>
        <w:trPr>
          <w:trHeight w:val="574" w:hRule="auto"/>
        </w:trPr>
        body 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435 (18%)</w:t>
            </w:r>
          </w:p>
        </w:tc>
      </w:tr>
      <w:tr>
        <w:trPr>
          <w:trHeight w:val="574" w:hRule="auto"/>
        </w:trPr>
        body 16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(2.9%)</w:t>
            </w:r>
          </w:p>
        </w:tc>
      </w:tr>
      <w:tr>
        <w:trPr>
          <w:trHeight w:val="574" w:hRule="auto"/>
        </w:trPr>
        body 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(0.8%)</w:t>
            </w:r>
          </w:p>
        </w:tc>
      </w:tr>
      <w:tr>
        <w:trPr>
          <w:trHeight w:val="574" w:hRule="auto"/>
        </w:trPr>
        body 18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(&lt;0.1%)</w:t>
            </w:r>
          </w:p>
        </w:tc>
      </w:tr>
      <w:tr>
        <w:trPr>
          <w:trHeight w:val="574" w:hRule="auto"/>
        </w:trPr>
        body 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(&lt;0.1%)</w:t>
            </w:r>
          </w:p>
        </w:tc>
      </w:tr>
      <w:tr>
        <w:trPr>
          <w:trHeight w:val="538" w:hRule="auto"/>
        </w:trPr>
        body 20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680</w:t>
            </w:r>
          </w:p>
        </w:tc>
      </w:tr>
      <w:tr>
        <w:trPr>
          <w:trHeight w:val="574" w:hRule="auto"/>
        </w:trPr>
        body 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486 (20%)</w:t>
            </w:r>
          </w:p>
        </w:tc>
      </w:tr>
      <w:tr>
        <w:trPr>
          <w:trHeight w:val="574" w:hRule="auto"/>
        </w:trPr>
        body 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1,877 (79%)</w:t>
            </w:r>
          </w:p>
        </w:tc>
      </w:tr>
      <w:tr>
        <w:trPr>
          <w:trHeight w:val="574" w:hRule="auto"/>
        </w:trPr>
        body 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(0.5%)</w:t>
            </w:r>
          </w:p>
        </w:tc>
      </w:tr>
      <w:tr>
        <w:trPr>
          <w:trHeight w:val="538" w:hRule="auto"/>
        </w:trPr>
        body 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683</w:t>
            </w:r>
          </w:p>
        </w:tc>
      </w:tr>
      <w:tr>
        <w:trPr>
          <w:trHeight w:val="574" w:hRule="auto"/>
        </w:trPr>
        body 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ulses/ legumes / nuts: beans, cowpeas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1,900 (62%)</w:t>
            </w:r>
          </w:p>
        </w:tc>
      </w:tr>
      <w:tr>
        <w:trPr>
          <w:trHeight w:val="574" w:hRule="auto"/>
        </w:trPr>
        body 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317 (10%)</w:t>
            </w:r>
          </w:p>
        </w:tc>
      </w:tr>
      <w:tr>
        <w:trPr>
          <w:trHeight w:val="574" w:hRule="auto"/>
        </w:trPr>
        body 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276 (9.0%)</w:t>
            </w:r>
          </w:p>
        </w:tc>
      </w:tr>
      <w:tr>
        <w:trPr>
          <w:trHeight w:val="574" w:hRule="auto"/>
        </w:trPr>
        body 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 (7.5%)</w:t>
            </w:r>
          </w:p>
        </w:tc>
      </w:tr>
      <w:tr>
        <w:trPr>
          <w:trHeight w:val="574" w:hRule="auto"/>
        </w:trPr>
        body 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89 (2.9%)</w:t>
            </w:r>
          </w:p>
        </w:tc>
      </w:tr>
      <w:tr>
        <w:trPr>
          <w:trHeight w:val="574" w:hRule="auto"/>
        </w:trPr>
        body 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 (2.8%)</w:t>
            </w:r>
          </w:p>
        </w:tc>
      </w:tr>
      <w:tr>
        <w:trPr>
          <w:trHeight w:val="574" w:hRule="auto"/>
        </w:trPr>
        body 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43 (1.4%)</w:t>
            </w:r>
          </w:p>
        </w:tc>
      </w:tr>
      <w:tr>
        <w:trPr>
          <w:trHeight w:val="574" w:hRule="auto"/>
        </w:trPr>
        body 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(3.7%)</w:t>
            </w:r>
          </w:p>
        </w:tc>
      </w:tr>
      <w:tr>
        <w:trPr>
          <w:trHeight w:val="538" w:hRule="auto"/>
        </w:trPr>
        body 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r>
      <w:tr>
        <w:trPr>
          <w:trHeight w:val="574" w:hRule="auto"/>
        </w:trPr>
        body 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227 (20%)</w:t>
            </w:r>
          </w:p>
        </w:tc>
      </w:tr>
      <w:tr>
        <w:trPr>
          <w:trHeight w:val="574" w:hRule="auto"/>
        </w:trPr>
        body 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692 (60%)</w:t>
            </w:r>
          </w:p>
        </w:tc>
      </w:tr>
      <w:tr>
        <w:trPr>
          <w:trHeight w:val="574" w:hRule="auto"/>
        </w:trPr>
        body 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 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200 (17%)</w:t>
            </w:r>
          </w:p>
        </w:tc>
      </w:tr>
      <w:tr>
        <w:trPr>
          <w:trHeight w:val="574" w:hRule="auto"/>
        </w:trPr>
        body 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(2.3%)</w:t>
            </w:r>
          </w:p>
        </w:tc>
      </w:tr>
      <w:tr>
        <w:trPr>
          <w:trHeight w:val="574" w:hRule="auto"/>
        </w:trPr>
        body 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(0.3%)</w:t>
            </w:r>
          </w:p>
        </w:tc>
      </w:tr>
      <w:tr>
        <w:trPr>
          <w:trHeight w:val="574" w:hRule="auto"/>
        </w:trPr>
        body 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(&lt;0.1%)</w:t>
            </w:r>
          </w:p>
        </w:tc>
      </w:tr>
      <w:tr>
        <w:trPr>
          <w:trHeight w:val="574" w:hRule="auto"/>
        </w:trPr>
        body 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(&lt;0.1%)</w:t>
            </w:r>
          </w:p>
        </w:tc>
      </w:tr>
      <w:tr>
        <w:trPr>
          <w:trHeight w:val="562" w:hRule="auto"/>
        </w:trPr>
        body 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1,904</w:t>
            </w:r>
          </w:p>
        </w:tc>
      </w:tr>
      <w:tr>
        <w:trPr>
          <w:trHeight w:val="574" w:hRule="auto"/>
        </w:trPr>
        body 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317 (27%)</w:t>
            </w:r>
          </w:p>
        </w:tc>
      </w:tr>
      <w:tr>
        <w:trPr>
          <w:trHeight w:val="574" w:hRule="auto"/>
        </w:trPr>
        body 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833 (72%)</w:t>
            </w:r>
          </w:p>
        </w:tc>
      </w:tr>
      <w:tr>
        <w:trPr>
          <w:trHeight w:val="574" w:hRule="auto"/>
        </w:trPr>
        body 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(0.3%)</w:t>
            </w:r>
          </w:p>
        </w:tc>
      </w:tr>
      <w:tr>
        <w:trPr>
          <w:trHeight w:val="562" w:hRule="auto"/>
        </w:trPr>
        body 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1,904</w:t>
            </w:r>
          </w:p>
        </w:tc>
      </w:tr>
      <w:tr>
        <w:trPr>
          <w:trHeight w:val="574" w:hRule="auto"/>
        </w:trPr>
        body 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milk and other dairy products...(Past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2,479 (81%)</w:t>
            </w:r>
          </w:p>
        </w:tc>
      </w:tr>
      <w:tr>
        <w:trPr>
          <w:trHeight w:val="574" w:hRule="auto"/>
        </w:trPr>
        body 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 (7.5%)</w:t>
            </w:r>
          </w:p>
        </w:tc>
      </w:tr>
      <w:tr>
        <w:trPr>
          <w:trHeight w:val="574" w:hRule="auto"/>
        </w:trPr>
        body 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(3.7%)</w:t>
            </w:r>
          </w:p>
        </w:tc>
      </w:tr>
      <w:tr>
        <w:trPr>
          <w:trHeight w:val="574" w:hRule="auto"/>
        </w:trPr>
        body 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79 (2.6%)</w:t>
            </w:r>
          </w:p>
        </w:tc>
      </w:tr>
      <w:tr>
        <w:trPr>
          <w:trHeight w:val="574" w:hRule="auto"/>
        </w:trPr>
        body 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(0.9%)</w:t>
            </w:r>
          </w:p>
        </w:tc>
      </w:tr>
      <w:tr>
        <w:trPr>
          <w:trHeight w:val="574" w:hRule="auto"/>
        </w:trPr>
        body 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(1.2%)</w:t>
            </w:r>
          </w:p>
        </w:tc>
      </w:tr>
      <w:tr>
        <w:trPr>
          <w:trHeight w:val="574" w:hRule="auto"/>
        </w:trPr>
        body 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(0.5%)</w:t>
            </w:r>
          </w:p>
        </w:tc>
      </w:tr>
      <w:tr>
        <w:trPr>
          <w:trHeight w:val="574" w:hRule="auto"/>
        </w:trPr>
        body 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(2.4%)</w:t>
            </w:r>
          </w:p>
        </w:tc>
      </w:tr>
      <w:tr>
        <w:trPr>
          <w:trHeight w:val="538" w:hRule="auto"/>
        </w:trPr>
        body 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r>
      <w:tr>
        <w:trPr>
          <w:trHeight w:val="574" w:hRule="auto"/>
        </w:trPr>
        body 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Food_div3: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155 (27%)</w:t>
            </w:r>
          </w:p>
        </w:tc>
      </w:tr>
      <w:tr>
        <w:trPr>
          <w:trHeight w:val="574" w:hRule="auto"/>
        </w:trPr>
        body 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403 (70%)</w:t>
            </w:r>
          </w:p>
        </w:tc>
      </w:tr>
      <w:tr>
        <w:trPr>
          <w:trHeight w:val="574" w:hRule="auto"/>
        </w:trPr>
        body 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574" w:hRule="auto"/>
        </w:trPr>
        body 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(0.9%)</w:t>
            </w:r>
          </w:p>
        </w:tc>
      </w:tr>
      <w:tr>
        <w:trPr>
          <w:trHeight w:val="574" w:hRule="auto"/>
        </w:trPr>
        body 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4" w:hRule="auto"/>
        </w:trPr>
        body 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 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2,483</w:t>
            </w:r>
          </w:p>
        </w:tc>
      </w:tr>
      <w:tr>
        <w:trPr>
          <w:trHeight w:val="574" w:hRule="auto"/>
        </w:trPr>
        body 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Food_div3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204 (36%)</w:t>
            </w:r>
          </w:p>
        </w:tc>
      </w:tr>
      <w:tr>
        <w:trPr>
          <w:trHeight w:val="574" w:hRule="auto"/>
        </w:trPr>
        body 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369 (64%)</w:t>
            </w:r>
          </w:p>
        </w:tc>
      </w:tr>
      <w:tr>
        <w:trPr>
          <w:trHeight w:val="574" w:hRule="auto"/>
        </w:trPr>
        body 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62" w:hRule="auto"/>
        </w:trPr>
        body 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2,484</w:t>
            </w:r>
          </w:p>
        </w:tc>
      </w:tr>
      <w:tr>
        <w:trPr>
          <w:trHeight w:val="574" w:hRule="auto"/>
        </w:trPr>
        body 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meat, fish and eggs...(Past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2,179 (71%)</w:t>
            </w:r>
          </w:p>
        </w:tc>
      </w:tr>
      <w:tr>
        <w:trPr>
          <w:trHeight w:val="574" w:hRule="auto"/>
        </w:trPr>
        body 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397 (13%)</w:t>
            </w:r>
          </w:p>
        </w:tc>
      </w:tr>
      <w:tr>
        <w:trPr>
          <w:trHeight w:val="574" w:hRule="auto"/>
        </w:trPr>
        body 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231 (7.6%)</w:t>
            </w:r>
          </w:p>
        </w:tc>
      </w:tr>
      <w:tr>
        <w:trPr>
          <w:trHeight w:val="574" w:hRule="auto"/>
        </w:trPr>
        body 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124 (4.1%)</w:t>
            </w:r>
          </w:p>
        </w:tc>
      </w:tr>
      <w:tr>
        <w:trPr>
          <w:trHeight w:val="574" w:hRule="auto"/>
        </w:trPr>
        body 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(1.1%)</w:t>
            </w:r>
          </w:p>
        </w:tc>
      </w:tr>
      <w:tr>
        <w:trPr>
          <w:trHeight w:val="574" w:hRule="auto"/>
        </w:trPr>
        body 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(1.0%)</w:t>
            </w:r>
          </w:p>
        </w:tc>
      </w:tr>
      <w:tr>
        <w:trPr>
          <w:trHeight w:val="574" w:hRule="auto"/>
        </w:trPr>
        body 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(0.4%)</w:t>
            </w:r>
          </w:p>
        </w:tc>
      </w:tr>
      <w:tr>
        <w:trPr>
          <w:trHeight w:val="574" w:hRule="auto"/>
        </w:trPr>
        body 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(1.3%)</w:t>
            </w:r>
          </w:p>
        </w:tc>
      </w:tr>
      <w:tr>
        <w:trPr>
          <w:trHeight w:val="538" w:hRule="auto"/>
        </w:trPr>
        body 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w:t>
            </w:r>
          </w:p>
        </w:tc>
      </w:tr>
      <w:tr>
        <w:trPr>
          <w:trHeight w:val="574" w:hRule="auto"/>
        </w:trPr>
        body 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137 (16%)</w:t>
            </w:r>
          </w:p>
        </w:tc>
      </w:tr>
      <w:tr>
        <w:trPr>
          <w:trHeight w:val="574" w:hRule="auto"/>
        </w:trPr>
        body 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708 (81%)</w:t>
            </w:r>
          </w:p>
        </w:tc>
      </w:tr>
      <w:tr>
        <w:trPr>
          <w:trHeight w:val="574" w:hRule="auto"/>
        </w:trPr>
        body 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 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 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(1.8%)</w:t>
            </w:r>
          </w:p>
        </w:tc>
      </w:tr>
      <w:tr>
        <w:trPr>
          <w:trHeight w:val="574" w:hRule="auto"/>
        </w:trPr>
        body 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(0.6%)</w:t>
            </w:r>
          </w:p>
        </w:tc>
      </w:tr>
      <w:tr>
        <w:trPr>
          <w:trHeight w:val="574" w:hRule="auto"/>
        </w:trPr>
        body 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 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2,186</w:t>
            </w:r>
          </w:p>
        </w:tc>
      </w:tr>
      <w:tr>
        <w:trPr>
          <w:trHeight w:val="574" w:hRule="auto"/>
        </w:trPr>
        body 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235 (27%)</w:t>
            </w:r>
          </w:p>
        </w:tc>
      </w:tr>
      <w:tr>
        <w:trPr>
          <w:trHeight w:val="574" w:hRule="auto"/>
        </w:trPr>
        body 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631 (72%)</w:t>
            </w:r>
          </w:p>
        </w:tc>
      </w:tr>
      <w:tr>
        <w:trPr>
          <w:trHeight w:val="574" w:hRule="auto"/>
        </w:trPr>
        body 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(0.8%)</w:t>
            </w:r>
          </w:p>
        </w:tc>
      </w:tr>
      <w:tr>
        <w:trPr>
          <w:trHeight w:val="562" w:hRule="auto"/>
        </w:trPr>
        body100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2,185</w:t>
            </w:r>
          </w:p>
        </w:tc>
      </w:tr>
      <w:tr>
        <w:trPr>
          <w:trHeight w:val="574" w:hRule="auto"/>
        </w:trPr>
        body101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flesh meat: beef, pork, lamb, goat...(Past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577 (67%)</w:t>
            </w:r>
          </w:p>
        </w:tc>
      </w:tr>
      <w:tr>
        <w:trPr>
          <w:trHeight w:val="574" w:hRule="auto"/>
        </w:trPr>
        body103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148 (17%)</w:t>
            </w:r>
          </w:p>
        </w:tc>
      </w:tr>
      <w:tr>
        <w:trPr>
          <w:trHeight w:val="574" w:hRule="auto"/>
        </w:trPr>
        body104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78 (9.0%)</w:t>
            </w:r>
          </w:p>
        </w:tc>
      </w:tr>
      <w:tr>
        <w:trPr>
          <w:trHeight w:val="574" w:hRule="auto"/>
        </w:trPr>
        body105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(3.8%)</w:t>
            </w:r>
          </w:p>
        </w:tc>
      </w:tr>
      <w:tr>
        <w:trPr>
          <w:trHeight w:val="574" w:hRule="auto"/>
        </w:trPr>
        body106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(2.1%)</w:t>
            </w:r>
          </w:p>
        </w:tc>
      </w:tr>
      <w:tr>
        <w:trPr>
          <w:trHeight w:val="574" w:hRule="auto"/>
        </w:trPr>
        body107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(0.8%)</w:t>
            </w:r>
          </w:p>
        </w:tc>
      </w:tr>
      <w:tr>
        <w:trPr>
          <w:trHeight w:val="574" w:hRule="auto"/>
        </w:trPr>
        body108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body109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body110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2,191</w:t>
            </w:r>
          </w:p>
        </w:tc>
      </w:tr>
      <w:tr>
        <w:trPr>
          <w:trHeight w:val="574" w:hRule="auto"/>
        </w:trPr>
        body111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(12%)</w:t>
            </w:r>
          </w:p>
        </w:tc>
      </w:tr>
      <w:tr>
        <w:trPr>
          <w:trHeight w:val="574" w:hRule="auto"/>
        </w:trPr>
        body113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253 (79%)</w:t>
            </w:r>
          </w:p>
        </w:tc>
      </w:tr>
      <w:tr>
        <w:trPr>
          <w:trHeight w:val="574" w:hRule="auto"/>
        </w:trPr>
        body114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(1.9%)</w:t>
            </w:r>
          </w:p>
        </w:tc>
      </w:tr>
      <w:tr>
        <w:trPr>
          <w:trHeight w:val="574" w:hRule="auto"/>
        </w:trPr>
        body116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(3.1%)</w:t>
            </w:r>
          </w:p>
        </w:tc>
      </w:tr>
      <w:tr>
        <w:trPr>
          <w:trHeight w:val="574" w:hRule="auto"/>
        </w:trPr>
        body117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r>
      <w:tr>
        <w:trPr>
          <w:trHeight w:val="574" w:hRule="auto"/>
        </w:trPr>
        body118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(2.2%)</w:t>
            </w:r>
          </w:p>
        </w:tc>
      </w:tr>
      <w:tr>
        <w:trPr>
          <w:trHeight w:val="574" w:hRule="auto"/>
        </w:trPr>
        body119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562" w:hRule="auto"/>
        </w:trPr>
        body120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2,737</w:t>
            </w:r>
          </w:p>
        </w:tc>
      </w:tr>
      <w:tr>
        <w:trPr>
          <w:trHeight w:val="574" w:hRule="auto"/>
        </w:trPr>
        body121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(28%)</w:t>
            </w:r>
          </w:p>
        </w:tc>
      </w:tr>
      <w:tr>
        <w:trPr>
          <w:trHeight w:val="574" w:hRule="auto"/>
        </w:trPr>
        body123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232 (71%)</w:t>
            </w:r>
          </w:p>
        </w:tc>
      </w:tr>
      <w:tr>
        <w:trPr>
          <w:trHeight w:val="574" w:hRule="auto"/>
        </w:trPr>
        body124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r>
      <w:tr>
        <w:trPr>
          <w:trHeight w:val="562" w:hRule="auto"/>
        </w:trPr>
        body125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2,729</w:t>
            </w:r>
          </w:p>
        </w:tc>
      </w:tr>
      <w:tr>
        <w:trPr>
          <w:trHeight w:val="574" w:hRule="auto"/>
        </w:trPr>
        body126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organ meat: liver, kidney, heart...(Past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805 (93%)</w:t>
            </w:r>
          </w:p>
        </w:tc>
      </w:tr>
      <w:tr>
        <w:trPr>
          <w:trHeight w:val="574" w:hRule="auto"/>
        </w:trPr>
        body128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(3.8%)</w:t>
            </w:r>
          </w:p>
        </w:tc>
      </w:tr>
      <w:tr>
        <w:trPr>
          <w:trHeight w:val="574" w:hRule="auto"/>
        </w:trPr>
        body129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(2.7%)</w:t>
            </w:r>
          </w:p>
        </w:tc>
      </w:tr>
      <w:tr>
        <w:trPr>
          <w:trHeight w:val="574" w:hRule="auto"/>
        </w:trPr>
        body130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body131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body132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2,192</w:t>
            </w:r>
          </w:p>
        </w:tc>
      </w:tr>
      <w:tr>
        <w:trPr>
          <w:trHeight w:val="574" w:hRule="auto"/>
        </w:trPr>
        body133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(6.3%)</w:t>
            </w:r>
          </w:p>
        </w:tc>
      </w:tr>
      <w:tr>
        <w:trPr>
          <w:trHeight w:val="574" w:hRule="auto"/>
        </w:trPr>
        body135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 (74%)</w:t>
            </w:r>
          </w:p>
        </w:tc>
      </w:tr>
      <w:tr>
        <w:trPr>
          <w:trHeight w:val="574" w:hRule="auto"/>
        </w:trPr>
        body136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(1.1%)</w:t>
            </w:r>
          </w:p>
        </w:tc>
      </w:tr>
      <w:tr>
        <w:trPr>
          <w:trHeight w:val="574" w:hRule="auto"/>
        </w:trPr>
        body137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(5.3%)</w:t>
            </w:r>
          </w:p>
        </w:tc>
      </w:tr>
      <w:tr>
        <w:trPr>
          <w:trHeight w:val="574" w:hRule="auto"/>
        </w:trPr>
        body138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r>
      <w:tr>
        <w:trPr>
          <w:trHeight w:val="574" w:hRule="auto"/>
        </w:trPr>
        body139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(5.3%)</w:t>
            </w:r>
          </w:p>
        </w:tc>
      </w:tr>
      <w:tr>
        <w:trPr>
          <w:trHeight w:val="574" w:hRule="auto"/>
        </w:trPr>
        body140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(5.3%)</w:t>
            </w:r>
          </w:p>
        </w:tc>
      </w:tr>
      <w:tr>
        <w:trPr>
          <w:trHeight w:val="574" w:hRule="auto"/>
        </w:trPr>
        body141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(1.1%)</w:t>
            </w:r>
          </w:p>
        </w:tc>
      </w:tr>
      <w:tr>
        <w:trPr>
          <w:trHeight w:val="562" w:hRule="auto"/>
        </w:trPr>
        body142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2,963</w:t>
            </w:r>
          </w:p>
        </w:tc>
      </w:tr>
      <w:tr>
        <w:trPr>
          <w:trHeight w:val="574" w:hRule="auto"/>
        </w:trPr>
        body143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(32%)</w:t>
            </w:r>
          </w:p>
        </w:tc>
      </w:tr>
      <w:tr>
        <w:trPr>
          <w:trHeight w:val="574" w:hRule="auto"/>
        </w:trPr>
        body145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(65%)</w:t>
            </w:r>
          </w:p>
        </w:tc>
      </w:tr>
      <w:tr>
        <w:trPr>
          <w:trHeight w:val="574" w:hRule="auto"/>
        </w:trPr>
        body146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(3.1%)</w:t>
            </w:r>
          </w:p>
        </w:tc>
      </w:tr>
      <w:tr>
        <w:trPr>
          <w:trHeight w:val="562" w:hRule="auto"/>
        </w:trPr>
        body147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2,960</w:t>
            </w:r>
          </w:p>
        </w:tc>
      </w:tr>
      <w:tr>
        <w:trPr>
          <w:trHeight w:val="574" w:hRule="auto"/>
        </w:trPr>
        body148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eggs(Past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731 (84%)</w:t>
            </w:r>
          </w:p>
        </w:tc>
      </w:tr>
      <w:tr>
        <w:trPr>
          <w:trHeight w:val="574" w:hRule="auto"/>
        </w:trPr>
        body150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62 (7.2%)</w:t>
            </w:r>
          </w:p>
        </w:tc>
      </w:tr>
      <w:tr>
        <w:trPr>
          <w:trHeight w:val="574" w:hRule="auto"/>
        </w:trPr>
        body151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(4.7%)</w:t>
            </w:r>
          </w:p>
        </w:tc>
      </w:tr>
      <w:tr>
        <w:trPr>
          <w:trHeight w:val="574" w:hRule="auto"/>
        </w:trPr>
        body152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(1.8%)</w:t>
            </w:r>
          </w:p>
        </w:tc>
      </w:tr>
      <w:tr>
        <w:trPr>
          <w:trHeight w:val="574" w:hRule="auto"/>
        </w:trPr>
        body153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(0.9%)</w:t>
            </w:r>
          </w:p>
        </w:tc>
      </w:tr>
      <w:tr>
        <w:trPr>
          <w:trHeight w:val="574" w:hRule="auto"/>
        </w:trPr>
        body154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(0.6%)</w:t>
            </w:r>
          </w:p>
        </w:tc>
      </w:tr>
      <w:tr>
        <w:trPr>
          <w:trHeight w:val="574" w:hRule="auto"/>
        </w:trPr>
        body155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body156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body157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2,192</w:t>
            </w:r>
          </w:p>
        </w:tc>
      </w:tr>
      <w:tr>
        <w:trPr>
          <w:trHeight w:val="574" w:hRule="auto"/>
        </w:trPr>
        body158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Food_div43: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(17%)</w:t>
            </w:r>
          </w:p>
        </w:tc>
      </w:tr>
      <w:tr>
        <w:trPr>
          <w:trHeight w:val="574" w:hRule="auto"/>
        </w:trPr>
        body160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125 (75%)</w:t>
            </w:r>
          </w:p>
        </w:tc>
      </w:tr>
      <w:tr>
        <w:trPr>
          <w:trHeight w:val="574" w:hRule="auto"/>
        </w:trPr>
        body161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(0.6%)</w:t>
            </w:r>
          </w:p>
        </w:tc>
      </w:tr>
      <w:tr>
        <w:trPr>
          <w:trHeight w:val="574" w:hRule="auto"/>
        </w:trPr>
        body162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(2.4%)</w:t>
            </w:r>
          </w:p>
        </w:tc>
      </w:tr>
      <w:tr>
        <w:trPr>
          <w:trHeight w:val="574" w:hRule="auto"/>
        </w:trPr>
        body163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(1.8%)</w:t>
            </w:r>
          </w:p>
        </w:tc>
      </w:tr>
      <w:tr>
        <w:trPr>
          <w:trHeight w:val="574" w:hRule="auto"/>
        </w:trPr>
        body165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(3.0%)</w:t>
            </w:r>
          </w:p>
        </w:tc>
      </w:tr>
      <w:tr>
        <w:trPr>
          <w:trHeight w:val="574" w:hRule="auto"/>
        </w:trPr>
        body166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(0.6%)</w:t>
            </w:r>
          </w:p>
        </w:tc>
      </w:tr>
      <w:tr>
        <w:trPr>
          <w:trHeight w:val="562" w:hRule="auto"/>
        </w:trPr>
        body167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2,891</w:t>
            </w:r>
          </w:p>
        </w:tc>
      </w:tr>
      <w:tr>
        <w:trPr>
          <w:trHeight w:val="574" w:hRule="auto"/>
        </w:trPr>
        body168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Food_div43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(24%)</w:t>
            </w:r>
          </w:p>
        </w:tc>
      </w:tr>
      <w:tr>
        <w:trPr>
          <w:trHeight w:val="574" w:hRule="auto"/>
        </w:trPr>
        body170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126 (74%)</w:t>
            </w:r>
          </w:p>
        </w:tc>
      </w:tr>
      <w:tr>
        <w:trPr>
          <w:trHeight w:val="574" w:hRule="auto"/>
        </w:trPr>
        body171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r>
      <w:tr>
        <w:trPr>
          <w:trHeight w:val="562" w:hRule="auto"/>
        </w:trPr>
        body172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2,887</w:t>
            </w:r>
          </w:p>
        </w:tc>
      </w:tr>
      <w:tr>
        <w:trPr>
          <w:trHeight w:val="574" w:hRule="auto"/>
        </w:trPr>
        body173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fish/shellfish: fish, incl. canned tuna(Past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741 (85%)</w:t>
            </w:r>
          </w:p>
        </w:tc>
      </w:tr>
      <w:tr>
        <w:trPr>
          <w:trHeight w:val="574" w:hRule="auto"/>
        </w:trPr>
        body175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(4.4%)</w:t>
            </w:r>
          </w:p>
        </w:tc>
      </w:tr>
      <w:tr>
        <w:trPr>
          <w:trHeight w:val="574" w:hRule="auto"/>
        </w:trPr>
        body176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(6.6%)</w:t>
            </w:r>
          </w:p>
        </w:tc>
      </w:tr>
      <w:tr>
        <w:trPr>
          <w:trHeight w:val="574" w:hRule="auto"/>
        </w:trPr>
        body177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(2.8%)</w:t>
            </w:r>
          </w:p>
        </w:tc>
      </w:tr>
      <w:tr>
        <w:trPr>
          <w:trHeight w:val="574" w:hRule="auto"/>
        </w:trPr>
        body178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body179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(0.3%)</w:t>
            </w:r>
          </w:p>
        </w:tc>
      </w:tr>
      <w:tr>
        <w:trPr>
          <w:trHeight w:val="574" w:hRule="auto"/>
        </w:trPr>
        body180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body181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body182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2,191</w:t>
            </w:r>
          </w:p>
        </w:tc>
      </w:tr>
      <w:tr>
        <w:trPr>
          <w:trHeight w:val="574" w:hRule="auto"/>
        </w:trPr>
        body183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Food_div44: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60 (38%)</w:t>
            </w:r>
          </w:p>
        </w:tc>
      </w:tr>
      <w:tr>
        <w:trPr>
          <w:trHeight w:val="574" w:hRule="auto"/>
        </w:trPr>
        body185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(51%)</w:t>
            </w:r>
          </w:p>
        </w:tc>
      </w:tr>
      <w:tr>
        <w:trPr>
          <w:trHeight w:val="574" w:hRule="auto"/>
        </w:trPr>
        body186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r>
      <w:tr>
        <w:trPr>
          <w:trHeight w:val="574" w:hRule="auto"/>
        </w:trPr>
        body188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(1.9%)</w:t>
            </w:r>
          </w:p>
        </w:tc>
      </w:tr>
      <w:tr>
        <w:trPr>
          <w:trHeight w:val="574" w:hRule="auto"/>
        </w:trPr>
        body189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(1.9%)</w:t>
            </w:r>
          </w:p>
        </w:tc>
      </w:tr>
      <w:tr>
        <w:trPr>
          <w:trHeight w:val="574" w:hRule="auto"/>
        </w:trPr>
        body190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(3.2%)</w:t>
            </w:r>
          </w:p>
        </w:tc>
      </w:tr>
      <w:tr>
        <w:trPr>
          <w:trHeight w:val="574" w:hRule="auto"/>
        </w:trPr>
        body191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(0.6%)</w:t>
            </w:r>
          </w:p>
        </w:tc>
      </w:tr>
      <w:tr>
        <w:trPr>
          <w:trHeight w:val="562" w:hRule="auto"/>
        </w:trPr>
        body192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2,900</w:t>
            </w:r>
          </w:p>
        </w:tc>
      </w:tr>
      <w:tr>
        <w:trPr>
          <w:trHeight w:val="574" w:hRule="auto"/>
        </w:trPr>
        body193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Food_div44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(29%)</w:t>
            </w:r>
          </w:p>
        </w:tc>
      </w:tr>
      <w:tr>
        <w:trPr>
          <w:trHeight w:val="574" w:hRule="auto"/>
        </w:trPr>
        body195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(68%)</w:t>
            </w:r>
          </w:p>
        </w:tc>
      </w:tr>
      <w:tr>
        <w:trPr>
          <w:trHeight w:val="574" w:hRule="auto"/>
        </w:trPr>
        body196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r>
      <w:tr>
        <w:trPr>
          <w:trHeight w:val="562" w:hRule="auto"/>
        </w:trPr>
        body197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2,898</w:t>
            </w:r>
          </w:p>
        </w:tc>
      </w:tr>
      <w:tr>
        <w:trPr>
          <w:trHeight w:val="574" w:hRule="auto"/>
        </w:trPr>
        body198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vegetables and leaves: spinach, onion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2,099 (69%)</w:t>
            </w:r>
          </w:p>
        </w:tc>
      </w:tr>
      <w:tr>
        <w:trPr>
          <w:trHeight w:val="574" w:hRule="auto"/>
        </w:trPr>
        body200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244 (8.0%)</w:t>
            </w:r>
          </w:p>
        </w:tc>
      </w:tr>
      <w:tr>
        <w:trPr>
          <w:trHeight w:val="574" w:hRule="auto"/>
        </w:trPr>
        body201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243 (8.0%)</w:t>
            </w:r>
          </w:p>
        </w:tc>
      </w:tr>
      <w:tr>
        <w:trPr>
          <w:trHeight w:val="574" w:hRule="auto"/>
        </w:trPr>
        body202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175 (5.8%)</w:t>
            </w:r>
          </w:p>
        </w:tc>
      </w:tr>
      <w:tr>
        <w:trPr>
          <w:trHeight w:val="574" w:hRule="auto"/>
        </w:trPr>
        body203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(3.0%)</w:t>
            </w:r>
          </w:p>
        </w:tc>
      </w:tr>
      <w:tr>
        <w:trPr>
          <w:trHeight w:val="574" w:hRule="auto"/>
        </w:trPr>
        body204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(2.1%)</w:t>
            </w:r>
          </w:p>
        </w:tc>
      </w:tr>
      <w:tr>
        <w:trPr>
          <w:trHeight w:val="574" w:hRule="auto"/>
        </w:trPr>
        body205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(0.5%)</w:t>
            </w:r>
          </w:p>
        </w:tc>
      </w:tr>
      <w:tr>
        <w:trPr>
          <w:trHeight w:val="574" w:hRule="auto"/>
        </w:trPr>
        body206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(3.7%)</w:t>
            </w:r>
          </w:p>
        </w:tc>
      </w:tr>
      <w:tr>
        <w:trPr>
          <w:trHeight w:val="538" w:hRule="auto"/>
        </w:trPr>
        body207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r>
      <w:tr>
        <w:trPr>
          <w:trHeight w:val="574" w:hRule="auto"/>
        </w:trPr>
        body208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223 (23%)</w:t>
            </w:r>
          </w:p>
        </w:tc>
      </w:tr>
      <w:tr>
        <w:trPr>
          <w:trHeight w:val="574" w:hRule="auto"/>
        </w:trPr>
        body210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667 (70%)</w:t>
            </w:r>
          </w:p>
        </w:tc>
      </w:tr>
      <w:tr>
        <w:trPr>
          <w:trHeight w:val="574" w:hRule="auto"/>
        </w:trPr>
        body211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(0.5%)</w:t>
            </w:r>
          </w:p>
        </w:tc>
      </w:tr>
      <w:tr>
        <w:trPr>
          <w:trHeight w:val="574" w:hRule="auto"/>
        </w:trPr>
        body212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(0.8%)</w:t>
            </w:r>
          </w:p>
        </w:tc>
      </w:tr>
      <w:tr>
        <w:trPr>
          <w:trHeight w:val="574" w:hRule="auto"/>
        </w:trPr>
        body213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(1.1%)</w:t>
            </w:r>
          </w:p>
        </w:tc>
      </w:tr>
      <w:tr>
        <w:trPr>
          <w:trHeight w:val="574" w:hRule="auto"/>
        </w:trPr>
        body214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(3.5%)</w:t>
            </w:r>
          </w:p>
        </w:tc>
      </w:tr>
      <w:tr>
        <w:trPr>
          <w:trHeight w:val="574" w:hRule="auto"/>
        </w:trPr>
        body215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body216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body217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2,109</w:t>
            </w:r>
          </w:p>
        </w:tc>
      </w:tr>
      <w:tr>
        <w:trPr>
          <w:trHeight w:val="574" w:hRule="auto"/>
        </w:trPr>
        body218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262 (28%)</w:t>
            </w:r>
          </w:p>
        </w:tc>
      </w:tr>
      <w:tr>
        <w:trPr>
          <w:trHeight w:val="574" w:hRule="auto"/>
        </w:trPr>
        body220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676 (71%)</w:t>
            </w:r>
          </w:p>
        </w:tc>
      </w:tr>
      <w:tr>
        <w:trPr>
          <w:trHeight w:val="574" w:hRule="auto"/>
        </w:trPr>
        body221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(1.2%)</w:t>
            </w:r>
          </w:p>
        </w:tc>
      </w:tr>
      <w:tr>
        <w:trPr>
          <w:trHeight w:val="562" w:hRule="auto"/>
        </w:trPr>
        body222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2,109</w:t>
            </w:r>
          </w:p>
        </w:tc>
      </w:tr>
      <w:tr>
        <w:trPr>
          <w:trHeight w:val="574" w:hRule="auto"/>
        </w:trPr>
        body223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orange vegetables: carrot, red pepper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719 (76%)</w:t>
            </w:r>
          </w:p>
        </w:tc>
      </w:tr>
      <w:tr>
        <w:trPr>
          <w:trHeight w:val="574" w:hRule="auto"/>
        </w:trPr>
        body225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(5.4%)</w:t>
            </w:r>
          </w:p>
        </w:tc>
      </w:tr>
      <w:tr>
        <w:trPr>
          <w:trHeight w:val="574" w:hRule="auto"/>
        </w:trPr>
        body226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(6.7%)</w:t>
            </w:r>
          </w:p>
        </w:tc>
      </w:tr>
      <w:tr>
        <w:trPr>
          <w:trHeight w:val="574" w:hRule="auto"/>
        </w:trPr>
        body227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(3.3%)</w:t>
            </w:r>
          </w:p>
        </w:tc>
      </w:tr>
      <w:tr>
        <w:trPr>
          <w:trHeight w:val="574" w:hRule="auto"/>
        </w:trPr>
        body228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(3.3%)</w:t>
            </w:r>
          </w:p>
        </w:tc>
      </w:tr>
      <w:tr>
        <w:trPr>
          <w:trHeight w:val="574" w:hRule="auto"/>
        </w:trPr>
        body229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(3.4%)</w:t>
            </w:r>
          </w:p>
        </w:tc>
      </w:tr>
      <w:tr>
        <w:trPr>
          <w:trHeight w:val="574" w:hRule="auto"/>
        </w:trPr>
        body230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(0.4%)</w:t>
            </w:r>
          </w:p>
        </w:tc>
      </w:tr>
      <w:tr>
        <w:trPr>
          <w:trHeight w:val="574" w:hRule="auto"/>
        </w:trPr>
        body231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(1.5%)</w:t>
            </w:r>
          </w:p>
        </w:tc>
      </w:tr>
      <w:tr>
        <w:trPr>
          <w:trHeight w:val="562" w:hRule="auto"/>
        </w:trPr>
        body232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2,113</w:t>
            </w:r>
          </w:p>
        </w:tc>
      </w:tr>
      <w:tr>
        <w:trPr>
          <w:trHeight w:val="574" w:hRule="auto"/>
        </w:trPr>
        body233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 (39%)</w:t>
            </w:r>
          </w:p>
        </w:tc>
      </w:tr>
      <w:tr>
        <w:trPr>
          <w:trHeight w:val="574" w:hRule="auto"/>
        </w:trPr>
        body235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138 (53%)</w:t>
            </w:r>
          </w:p>
        </w:tc>
      </w:tr>
      <w:tr>
        <w:trPr>
          <w:trHeight w:val="574" w:hRule="auto"/>
        </w:trPr>
        body236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74" w:hRule="auto"/>
        </w:trPr>
        body237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r>
      <w:tr>
        <w:trPr>
          <w:trHeight w:val="574" w:hRule="auto"/>
        </w:trPr>
        body238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(1.5%)</w:t>
            </w:r>
          </w:p>
        </w:tc>
      </w:tr>
      <w:tr>
        <w:trPr>
          <w:trHeight w:val="574" w:hRule="auto"/>
        </w:trPr>
        body239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(1.5%)</w:t>
            </w:r>
          </w:p>
        </w:tc>
      </w:tr>
      <w:tr>
        <w:trPr>
          <w:trHeight w:val="574" w:hRule="auto"/>
        </w:trPr>
        body240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r>
      <w:tr>
        <w:trPr>
          <w:trHeight w:val="574" w:hRule="auto"/>
        </w:trPr>
        body241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62" w:hRule="auto"/>
        </w:trPr>
        body242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2,797</w:t>
            </w:r>
          </w:p>
        </w:tc>
      </w:tr>
      <w:tr>
        <w:trPr>
          <w:trHeight w:val="574" w:hRule="auto"/>
        </w:trPr>
        body243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93 (35%)</w:t>
            </w:r>
          </w:p>
        </w:tc>
      </w:tr>
      <w:tr>
        <w:trPr>
          <w:trHeight w:val="574" w:hRule="auto"/>
        </w:trPr>
        body245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164 (62%)</w:t>
            </w:r>
          </w:p>
        </w:tc>
      </w:tr>
      <w:tr>
        <w:trPr>
          <w:trHeight w:val="574" w:hRule="auto"/>
        </w:trPr>
        body246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(2.7%)</w:t>
            </w:r>
          </w:p>
        </w:tc>
      </w:tr>
      <w:tr>
        <w:trPr>
          <w:trHeight w:val="562" w:hRule="auto"/>
        </w:trPr>
        body247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2,794</w:t>
            </w:r>
          </w:p>
        </w:tc>
      </w:tr>
      <w:tr>
        <w:trPr>
          <w:trHeight w:val="574" w:hRule="auto"/>
        </w:trPr>
        body248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green leafy vegetables: spinach,…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406 (43%)</w:t>
            </w:r>
          </w:p>
        </w:tc>
      </w:tr>
      <w:tr>
        <w:trPr>
          <w:trHeight w:val="574" w:hRule="auto"/>
        </w:trPr>
        body250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(4.3%)</w:t>
            </w:r>
          </w:p>
        </w:tc>
      </w:tr>
      <w:tr>
        <w:trPr>
          <w:trHeight w:val="574" w:hRule="auto"/>
        </w:trPr>
        body251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(9.3%)</w:t>
            </w:r>
          </w:p>
        </w:tc>
      </w:tr>
      <w:tr>
        <w:trPr>
          <w:trHeight w:val="574" w:hRule="auto"/>
        </w:trPr>
        body252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121 (13%)</w:t>
            </w:r>
          </w:p>
        </w:tc>
      </w:tr>
      <w:tr>
        <w:trPr>
          <w:trHeight w:val="574" w:hRule="auto"/>
        </w:trPr>
        body253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(10%)</w:t>
            </w:r>
          </w:p>
        </w:tc>
      </w:tr>
      <w:tr>
        <w:trPr>
          <w:trHeight w:val="574" w:hRule="auto"/>
        </w:trPr>
        body254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(10%)</w:t>
            </w:r>
          </w:p>
        </w:tc>
      </w:tr>
      <w:tr>
        <w:trPr>
          <w:trHeight w:val="574" w:hRule="auto"/>
        </w:trPr>
        body255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(3.4%)</w:t>
            </w:r>
          </w:p>
        </w:tc>
      </w:tr>
      <w:tr>
        <w:trPr>
          <w:trHeight w:val="574" w:hRule="auto"/>
        </w:trPr>
        body256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61 (6.5%)</w:t>
            </w:r>
          </w:p>
        </w:tc>
      </w:tr>
      <w:tr>
        <w:trPr>
          <w:trHeight w:val="562" w:hRule="auto"/>
        </w:trPr>
        body257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2,113</w:t>
            </w:r>
          </w:p>
        </w:tc>
      </w:tr>
      <w:tr>
        <w:trPr>
          <w:trHeight w:val="574" w:hRule="auto"/>
        </w:trPr>
        body258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263 (46%)</w:t>
            </w:r>
          </w:p>
        </w:tc>
      </w:tr>
      <w:tr>
        <w:trPr>
          <w:trHeight w:val="574" w:hRule="auto"/>
        </w:trPr>
        body260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257 (45%)</w:t>
            </w:r>
          </w:p>
        </w:tc>
      </w:tr>
      <w:tr>
        <w:trPr>
          <w:trHeight w:val="574" w:hRule="auto"/>
        </w:trPr>
        body261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4" w:hRule="auto"/>
        </w:trPr>
        body262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(0.5%)</w:t>
            </w:r>
          </w:p>
        </w:tc>
      </w:tr>
      <w:tr>
        <w:trPr>
          <w:trHeight w:val="574" w:hRule="auto"/>
        </w:trPr>
        body263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(1.0%)</w:t>
            </w:r>
          </w:p>
        </w:tc>
      </w:tr>
      <w:tr>
        <w:trPr>
          <w:trHeight w:val="574" w:hRule="auto"/>
        </w:trPr>
        body264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(6.3%)</w:t>
            </w:r>
          </w:p>
        </w:tc>
      </w:tr>
      <w:tr>
        <w:trPr>
          <w:trHeight w:val="574" w:hRule="auto"/>
        </w:trPr>
        body265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(1.0%)</w:t>
            </w:r>
          </w:p>
        </w:tc>
      </w:tr>
      <w:tr>
        <w:trPr>
          <w:trHeight w:val="574" w:hRule="auto"/>
        </w:trPr>
        body266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62" w:hRule="auto"/>
        </w:trPr>
        body267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2,485</w:t>
            </w:r>
          </w:p>
        </w:tc>
      </w:tr>
      <w:tr>
        <w:trPr>
          <w:trHeight w:val="574" w:hRule="auto"/>
        </w:trPr>
        body268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235 (41%)</w:t>
            </w:r>
          </w:p>
        </w:tc>
      </w:tr>
      <w:tr>
        <w:trPr>
          <w:trHeight w:val="574" w:hRule="auto"/>
        </w:trPr>
        body270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327 (57%)</w:t>
            </w:r>
          </w:p>
        </w:tc>
      </w:tr>
      <w:tr>
        <w:trPr>
          <w:trHeight w:val="574" w:hRule="auto"/>
        </w:trPr>
        body271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(2.4%)</w:t>
            </w:r>
          </w:p>
        </w:tc>
      </w:tr>
      <w:tr>
        <w:trPr>
          <w:trHeight w:val="562" w:hRule="auto"/>
        </w:trPr>
        body272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2,482</w:t>
            </w:r>
          </w:p>
        </w:tc>
      </w:tr>
      <w:tr>
        <w:trPr>
          <w:trHeight w:val="574" w:hRule="auto"/>
        </w:trPr>
        body273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fruits (Past7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2,775 (91%)</w:t>
            </w:r>
          </w:p>
        </w:tc>
      </w:tr>
      <w:tr>
        <w:trPr>
          <w:trHeight w:val="574" w:hRule="auto"/>
        </w:trPr>
        body275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(1.8%)</w:t>
            </w:r>
          </w:p>
        </w:tc>
      </w:tr>
      <w:tr>
        <w:trPr>
          <w:trHeight w:val="574" w:hRule="auto"/>
        </w:trPr>
        body276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(1.8%)</w:t>
            </w:r>
          </w:p>
        </w:tc>
      </w:tr>
      <w:tr>
        <w:trPr>
          <w:trHeight w:val="574" w:hRule="auto"/>
        </w:trPr>
        body277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(1.5%)</w:t>
            </w:r>
          </w:p>
        </w:tc>
      </w:tr>
      <w:tr>
        <w:trPr>
          <w:trHeight w:val="574" w:hRule="auto"/>
        </w:trPr>
        body278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 (0.8%)</w:t>
            </w:r>
          </w:p>
        </w:tc>
      </w:tr>
      <w:tr>
        <w:trPr>
          <w:trHeight w:val="574" w:hRule="auto"/>
        </w:trPr>
        body279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(1.2%)</w:t>
            </w:r>
          </w:p>
        </w:tc>
      </w:tr>
      <w:tr>
        <w:trPr>
          <w:trHeight w:val="574" w:hRule="auto"/>
        </w:trPr>
        body280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(&lt;0.1%)</w:t>
            </w:r>
          </w:p>
        </w:tc>
      </w:tr>
      <w:tr>
        <w:trPr>
          <w:trHeight w:val="574" w:hRule="auto"/>
        </w:trPr>
        body281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42 (1.4%)</w:t>
            </w:r>
          </w:p>
        </w:tc>
      </w:tr>
      <w:tr>
        <w:trPr>
          <w:trHeight w:val="538" w:hRule="auto"/>
        </w:trPr>
        body282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w:t>
            </w:r>
          </w:p>
        </w:tc>
      </w:tr>
      <w:tr>
        <w:trPr>
          <w:trHeight w:val="574" w:hRule="auto"/>
        </w:trPr>
        body283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(39%)</w:t>
            </w:r>
          </w:p>
        </w:tc>
      </w:tr>
      <w:tr>
        <w:trPr>
          <w:trHeight w:val="574" w:hRule="auto"/>
        </w:trPr>
        body285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(51%)</w:t>
            </w:r>
          </w:p>
        </w:tc>
      </w:tr>
      <w:tr>
        <w:trPr>
          <w:trHeight w:val="574" w:hRule="auto"/>
        </w:trPr>
        body286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74" w:hRule="auto"/>
        </w:trPr>
        body287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(1.5%)</w:t>
            </w:r>
          </w:p>
        </w:tc>
      </w:tr>
      <w:tr>
        <w:trPr>
          <w:trHeight w:val="574" w:hRule="auto"/>
        </w:trPr>
        body288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(6.2%)</w:t>
            </w:r>
          </w:p>
        </w:tc>
      </w:tr>
      <w:tr>
        <w:trPr>
          <w:trHeight w:val="574" w:hRule="auto"/>
        </w:trPr>
        body289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574" w:hRule="auto"/>
        </w:trPr>
        body290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body291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62" w:hRule="auto"/>
        </w:trPr>
        body292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2,784</w:t>
            </w:r>
          </w:p>
        </w:tc>
      </w:tr>
      <w:tr>
        <w:trPr>
          <w:trHeight w:val="574" w:hRule="auto"/>
        </w:trPr>
        body293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(52%)</w:t>
            </w:r>
          </w:p>
        </w:tc>
      </w:tr>
      <w:tr>
        <w:trPr>
          <w:trHeight w:val="574" w:hRule="auto"/>
        </w:trPr>
        body295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132 (48%)</w:t>
            </w:r>
          </w:p>
        </w:tc>
      </w:tr>
      <w:tr>
        <w:trPr>
          <w:trHeight w:val="574" w:hRule="auto"/>
        </w:trPr>
        body296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body297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2,784</w:t>
            </w:r>
          </w:p>
        </w:tc>
      </w:tr>
      <w:tr>
        <w:trPr>
          <w:trHeight w:val="574" w:hRule="auto"/>
        </w:trPr>
        body298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orange fruits: mango, papaya, apricot...(Past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(41%)</w:t>
            </w:r>
          </w:p>
        </w:tc>
      </w:tr>
      <w:tr>
        <w:trPr>
          <w:trHeight w:val="574" w:hRule="auto"/>
        </w:trPr>
        body300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(8.6%)</w:t>
            </w:r>
          </w:p>
        </w:tc>
      </w:tr>
      <w:tr>
        <w:trPr>
          <w:trHeight w:val="574" w:hRule="auto"/>
        </w:trPr>
        body301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(12%)</w:t>
            </w:r>
          </w:p>
        </w:tc>
      </w:tr>
      <w:tr>
        <w:trPr>
          <w:trHeight w:val="574" w:hRule="auto"/>
        </w:trPr>
        body302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(8.9%)</w:t>
            </w:r>
          </w:p>
        </w:tc>
      </w:tr>
      <w:tr>
        <w:trPr>
          <w:trHeight w:val="574" w:hRule="auto"/>
        </w:trPr>
        body303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(5.9%)</w:t>
            </w:r>
          </w:p>
        </w:tc>
      </w:tr>
      <w:tr>
        <w:trPr>
          <w:trHeight w:val="574" w:hRule="auto"/>
        </w:trPr>
        body304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(8.2%)</w:t>
            </w:r>
          </w:p>
        </w:tc>
      </w:tr>
      <w:tr>
        <w:trPr>
          <w:trHeight w:val="574" w:hRule="auto"/>
        </w:trPr>
        body305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574" w:hRule="auto"/>
        </w:trPr>
        body306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 (14%)</w:t>
            </w:r>
          </w:p>
        </w:tc>
      </w:tr>
      <w:tr>
        <w:trPr>
          <w:trHeight w:val="562" w:hRule="auto"/>
        </w:trPr>
        body307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2,789</w:t>
            </w:r>
          </w:p>
        </w:tc>
      </w:tr>
      <w:tr>
        <w:trPr>
          <w:trHeight w:val="574" w:hRule="auto"/>
        </w:trPr>
        body308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(37%)</w:t>
            </w:r>
          </w:p>
        </w:tc>
      </w:tr>
      <w:tr>
        <w:trPr>
          <w:trHeight w:val="574" w:hRule="auto"/>
        </w:trPr>
        body310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(45%)</w:t>
            </w:r>
          </w:p>
        </w:tc>
      </w:tr>
      <w:tr>
        <w:trPr>
          <w:trHeight w:val="574" w:hRule="auto"/>
        </w:trPr>
        body311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(3.1%)</w:t>
            </w:r>
          </w:p>
        </w:tc>
      </w:tr>
      <w:tr>
        <w:trPr>
          <w:trHeight w:val="574" w:hRule="auto"/>
        </w:trPr>
        body313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(5.6%)</w:t>
            </w:r>
          </w:p>
        </w:tc>
      </w:tr>
      <w:tr>
        <w:trPr>
          <w:trHeight w:val="574" w:hRule="auto"/>
        </w:trPr>
        body314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r>
      <w:tr>
        <w:trPr>
          <w:trHeight w:val="574" w:hRule="auto"/>
        </w:trPr>
        body315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(5.6%)</w:t>
            </w:r>
          </w:p>
        </w:tc>
      </w:tr>
      <w:tr>
        <w:trPr>
          <w:trHeight w:val="574" w:hRule="auto"/>
        </w:trPr>
        body316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(1.5%)</w:t>
            </w:r>
          </w:p>
        </w:tc>
      </w:tr>
      <w:tr>
        <w:trPr>
          <w:trHeight w:val="562" w:hRule="auto"/>
        </w:trPr>
        body317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2,862</w:t>
            </w:r>
          </w:p>
        </w:tc>
      </w:tr>
      <w:tr>
        <w:trPr>
          <w:trHeight w:val="574" w:hRule="auto"/>
        </w:trPr>
        body318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89 (45%)</w:t>
            </w:r>
          </w:p>
        </w:tc>
      </w:tr>
      <w:tr>
        <w:trPr>
          <w:trHeight w:val="574" w:hRule="auto"/>
        </w:trPr>
        body320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(50%)</w:t>
            </w:r>
          </w:p>
        </w:tc>
      </w:tr>
      <w:tr>
        <w:trPr>
          <w:trHeight w:val="574" w:hRule="auto"/>
        </w:trPr>
        body321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(5.1%)</w:t>
            </w:r>
          </w:p>
        </w:tc>
      </w:tr>
      <w:tr>
        <w:trPr>
          <w:trHeight w:val="562" w:hRule="auto"/>
        </w:trPr>
        body322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2,861</w:t>
            </w:r>
          </w:p>
        </w:tc>
      </w:tr>
      <w:tr>
        <w:trPr>
          <w:trHeight w:val="574" w:hRule="auto"/>
        </w:trPr>
        body323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oil/fat/butter: vegetable oil, palm oil(Past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2,144 (70%)</w:t>
            </w:r>
          </w:p>
        </w:tc>
      </w:tr>
      <w:tr>
        <w:trPr>
          <w:trHeight w:val="574" w:hRule="auto"/>
        </w:trPr>
        body325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152 (5.0%)</w:t>
            </w:r>
          </w:p>
        </w:tc>
      </w:tr>
      <w:tr>
        <w:trPr>
          <w:trHeight w:val="574" w:hRule="auto"/>
        </w:trPr>
        body326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198 (6.5%)</w:t>
            </w:r>
          </w:p>
        </w:tc>
      </w:tr>
      <w:tr>
        <w:trPr>
          <w:trHeight w:val="574" w:hRule="auto"/>
        </w:trPr>
        body327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199 (6.5%)</w:t>
            </w:r>
          </w:p>
        </w:tc>
      </w:tr>
      <w:tr>
        <w:trPr>
          <w:trHeight w:val="574" w:hRule="auto"/>
        </w:trPr>
        body328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(3.6%)</w:t>
            </w:r>
          </w:p>
        </w:tc>
      </w:tr>
      <w:tr>
        <w:trPr>
          <w:trHeight w:val="574" w:hRule="auto"/>
        </w:trPr>
        body329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 (2.3%)</w:t>
            </w:r>
          </w:p>
        </w:tc>
      </w:tr>
      <w:tr>
        <w:trPr>
          <w:trHeight w:val="574" w:hRule="auto"/>
        </w:trPr>
        body330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(1.3%)</w:t>
            </w:r>
          </w:p>
        </w:tc>
      </w:tr>
      <w:tr>
        <w:trPr>
          <w:trHeight w:val="574" w:hRule="auto"/>
        </w:trPr>
        body331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(4.4%)</w:t>
            </w:r>
          </w:p>
        </w:tc>
      </w:tr>
      <w:tr>
        <w:trPr>
          <w:trHeight w:val="538" w:hRule="auto"/>
        </w:trPr>
        body332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w:t>
            </w:r>
          </w:p>
        </w:tc>
      </w:tr>
      <w:tr>
        <w:trPr>
          <w:trHeight w:val="574" w:hRule="auto"/>
        </w:trPr>
        body333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Food_div7: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(3.4%)</w:t>
            </w:r>
          </w:p>
        </w:tc>
      </w:tr>
      <w:tr>
        <w:trPr>
          <w:trHeight w:val="574" w:hRule="auto"/>
        </w:trPr>
        body335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712 (79%)</w:t>
            </w:r>
          </w:p>
        </w:tc>
      </w:tr>
      <w:tr>
        <w:trPr>
          <w:trHeight w:val="574" w:hRule="auto"/>
        </w:trPr>
        body336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(0.7%)</w:t>
            </w:r>
          </w:p>
        </w:tc>
      </w:tr>
      <w:tr>
        <w:trPr>
          <w:trHeight w:val="574" w:hRule="auto"/>
        </w:trPr>
        body337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(16%)</w:t>
            </w:r>
          </w:p>
        </w:tc>
      </w:tr>
      <w:tr>
        <w:trPr>
          <w:trHeight w:val="574" w:hRule="auto"/>
        </w:trPr>
        body338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(1.4%)</w:t>
            </w:r>
          </w:p>
        </w:tc>
      </w:tr>
      <w:tr>
        <w:trPr>
          <w:trHeight w:val="574" w:hRule="auto"/>
        </w:trPr>
        body339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body340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body342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2,152</w:t>
            </w:r>
          </w:p>
        </w:tc>
      </w:tr>
      <w:tr>
        <w:trPr>
          <w:trHeight w:val="574" w:hRule="auto"/>
        </w:trPr>
        body343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Food_div7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 (22%)</w:t>
            </w:r>
          </w:p>
        </w:tc>
      </w:tr>
      <w:tr>
        <w:trPr>
          <w:trHeight w:val="574" w:hRule="auto"/>
        </w:trPr>
        body345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701 (77%)</w:t>
            </w:r>
          </w:p>
        </w:tc>
      </w:tr>
      <w:tr>
        <w:trPr>
          <w:trHeight w:val="574" w:hRule="auto"/>
        </w:trPr>
        body346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body347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2,153</w:t>
            </w:r>
          </w:p>
        </w:tc>
      </w:tr>
      <w:tr>
        <w:trPr>
          <w:trHeight w:val="575" w:hRule="auto"/>
        </w:trPr>
        body348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sugar or sweet: sugar, honey, jam, cakes(Past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2,280 (75%)</w:t>
            </w:r>
          </w:p>
        </w:tc>
      </w:tr>
      <w:tr>
        <w:trPr>
          <w:trHeight w:val="574" w:hRule="auto"/>
        </w:trPr>
        body350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194 (6.4%)</w:t>
            </w:r>
          </w:p>
        </w:tc>
      </w:tr>
      <w:tr>
        <w:trPr>
          <w:trHeight w:val="574" w:hRule="auto"/>
        </w:trPr>
        body351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161 (5.3%)</w:t>
            </w:r>
          </w:p>
        </w:tc>
      </w:tr>
      <w:tr>
        <w:trPr>
          <w:trHeight w:val="574" w:hRule="auto"/>
        </w:trPr>
        body352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 (4.2%)</w:t>
            </w:r>
          </w:p>
        </w:tc>
      </w:tr>
      <w:tr>
        <w:trPr>
          <w:trHeight w:val="574" w:hRule="auto"/>
        </w:trPr>
        body353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 (2.4%)</w:t>
            </w:r>
          </w:p>
        </w:tc>
      </w:tr>
      <w:tr>
        <w:trPr>
          <w:trHeight w:val="574" w:hRule="auto"/>
        </w:trPr>
        body354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66 (2.2%)</w:t>
            </w:r>
          </w:p>
        </w:tc>
      </w:tr>
      <w:tr>
        <w:trPr>
          <w:trHeight w:val="574" w:hRule="auto"/>
        </w:trPr>
        body355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(1.1%)</w:t>
            </w:r>
          </w:p>
        </w:tc>
      </w:tr>
      <w:tr>
        <w:trPr>
          <w:trHeight w:val="574" w:hRule="auto"/>
        </w:trPr>
        body356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(3.5%)</w:t>
            </w:r>
          </w:p>
        </w:tc>
      </w:tr>
      <w:tr>
        <w:trPr>
          <w:trHeight w:val="538" w:hRule="auto"/>
        </w:trPr>
        body357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w:t>
            </w:r>
          </w:p>
        </w:tc>
      </w:tr>
      <w:tr>
        <w:trPr>
          <w:trHeight w:val="574" w:hRule="auto"/>
        </w:trPr>
        body358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Food_div8: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(2.2%)</w:t>
            </w:r>
          </w:p>
        </w:tc>
      </w:tr>
      <w:tr>
        <w:trPr>
          <w:trHeight w:val="574" w:hRule="auto"/>
        </w:trPr>
        body360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732 (95%)</w:t>
            </w:r>
          </w:p>
        </w:tc>
      </w:tr>
      <w:tr>
        <w:trPr>
          <w:trHeight w:val="574" w:hRule="auto"/>
        </w:trPr>
        body361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(0.4%)</w:t>
            </w:r>
          </w:p>
        </w:tc>
      </w:tr>
      <w:tr>
        <w:trPr>
          <w:trHeight w:val="574" w:hRule="auto"/>
        </w:trPr>
        body362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(0.9%)</w:t>
            </w:r>
          </w:p>
        </w:tc>
      </w:tr>
      <w:tr>
        <w:trPr>
          <w:trHeight w:val="574" w:hRule="auto"/>
        </w:trPr>
        body363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(1.0%)</w:t>
            </w:r>
          </w:p>
        </w:tc>
      </w:tr>
      <w:tr>
        <w:trPr>
          <w:trHeight w:val="574" w:hRule="auto"/>
        </w:trPr>
        body364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body365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body367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2,290</w:t>
            </w:r>
          </w:p>
        </w:tc>
      </w:tr>
      <w:tr>
        <w:trPr>
          <w:trHeight w:val="574" w:hRule="auto"/>
        </w:trPr>
        body368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Food_div8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185 (24%)</w:t>
            </w:r>
          </w:p>
        </w:tc>
      </w:tr>
      <w:tr>
        <w:trPr>
          <w:trHeight w:val="574" w:hRule="auto"/>
        </w:trPr>
        body370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582 (76%)</w:t>
            </w:r>
          </w:p>
        </w:tc>
      </w:tr>
      <w:tr>
        <w:trPr>
          <w:trHeight w:val="574" w:hRule="auto"/>
        </w:trPr>
        body371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body372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2,290</w:t>
            </w:r>
          </w:p>
        </w:tc>
      </w:tr>
      <w:tr>
        <w:trPr>
          <w:trHeight w:val="574" w:hRule="auto"/>
        </w:trPr>
        body373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condiments: tea, coffee/cocoa, salt...(Past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2,242 (74%)</w:t>
            </w:r>
          </w:p>
        </w:tc>
      </w:tr>
      <w:tr>
        <w:trPr>
          <w:trHeight w:val="574" w:hRule="auto"/>
        </w:trPr>
        body375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(4.3%)</w:t>
            </w:r>
          </w:p>
        </w:tc>
      </w:tr>
      <w:tr>
        <w:trPr>
          <w:trHeight w:val="574" w:hRule="auto"/>
        </w:trPr>
        body376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173 (5.7%)</w:t>
            </w:r>
          </w:p>
        </w:tc>
      </w:tr>
      <w:tr>
        <w:trPr>
          <w:trHeight w:val="574" w:hRule="auto"/>
        </w:trPr>
        body377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173 (5.7%)</w:t>
            </w:r>
          </w:p>
        </w:tc>
      </w:tr>
      <w:tr>
        <w:trPr>
          <w:trHeight w:val="574" w:hRule="auto"/>
        </w:trPr>
        body378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 (2.3%)</w:t>
            </w:r>
          </w:p>
        </w:tc>
      </w:tr>
      <w:tr>
        <w:trPr>
          <w:trHeight w:val="574" w:hRule="auto"/>
        </w:trPr>
        body379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(2.7%)</w:t>
            </w:r>
          </w:p>
        </w:tc>
      </w:tr>
      <w:tr>
        <w:trPr>
          <w:trHeight w:val="574" w:hRule="auto"/>
        </w:trPr>
        body380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(1.2%)</w:t>
            </w:r>
          </w:p>
        </w:tc>
      </w:tr>
      <w:tr>
        <w:trPr>
          <w:trHeight w:val="574" w:hRule="auto"/>
        </w:trPr>
        body381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138 (4.5%)</w:t>
            </w:r>
          </w:p>
        </w:tc>
      </w:tr>
      <w:tr>
        <w:trPr>
          <w:trHeight w:val="538" w:hRule="auto"/>
        </w:trPr>
        body382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w:t>
            </w:r>
          </w:p>
        </w:tc>
      </w:tr>
      <w:tr>
        <w:trPr>
          <w:trHeight w:val="574" w:hRule="auto"/>
        </w:trPr>
        body383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Food_div9: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(2.2%)</w:t>
            </w:r>
          </w:p>
        </w:tc>
      </w:tr>
      <w:tr>
        <w:trPr>
          <w:trHeight w:val="574" w:hRule="auto"/>
        </w:trPr>
        body385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770 (95%)</w:t>
            </w:r>
          </w:p>
        </w:tc>
      </w:tr>
      <w:tr>
        <w:trPr>
          <w:trHeight w:val="574" w:hRule="auto"/>
        </w:trPr>
        body386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(0.7%)</w:t>
            </w:r>
          </w:p>
        </w:tc>
      </w:tr>
      <w:tr>
        <w:trPr>
          <w:trHeight w:val="574" w:hRule="auto"/>
        </w:trPr>
        body387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(0.4%)</w:t>
            </w:r>
          </w:p>
        </w:tc>
      </w:tr>
      <w:tr>
        <w:trPr>
          <w:trHeight w:val="574" w:hRule="auto"/>
        </w:trPr>
        body388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(1.1%)</w:t>
            </w:r>
          </w:p>
        </w:tc>
      </w:tr>
      <w:tr>
        <w:trPr>
          <w:trHeight w:val="574" w:hRule="auto"/>
        </w:trPr>
        body389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body391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body392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2,249</w:t>
            </w:r>
          </w:p>
        </w:tc>
      </w:tr>
      <w:tr>
        <w:trPr>
          <w:trHeight w:val="574" w:hRule="auto"/>
        </w:trPr>
        body393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Food_div9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(27%)</w:t>
            </w:r>
          </w:p>
        </w:tc>
      </w:tr>
      <w:tr>
        <w:trPr>
          <w:trHeight w:val="574" w:hRule="auto"/>
        </w:trPr>
        body395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588 (73%)</w:t>
            </w:r>
          </w:p>
        </w:tc>
      </w:tr>
      <w:tr>
        <w:trPr>
          <w:trHeight w:val="574" w:hRule="auto"/>
        </w:trPr>
        body396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body397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2,249</w:t>
            </w:r>
          </w:p>
        </w:tc>
      </w:tr>
      <w:tr>
        <w:trPr>
          <w:trHeight w:val="360" w:hRule="auto"/>
        </w:trPr>
        footer  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 (%)</w:t>
            </w:r>
          </w:p>
        </w:tc>
      </w:tr>
      <w:tr>
        <w:trPr>
          <w:trHeight w:val="360" w:hRule="auto"/>
        </w:trPr>
        footer  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p>
      <w:pPr>
        <w:pStyle w:val="FirstParagraph"/>
      </w:pPr>
      <w:r>
        <w:t xml:space="preserve">L’enquête révèle une grave insécurité alimentaire : 84% des ménages ont manqué de nourriture ou d’argent pour en acheter récemment, et 89% s’en inquiètent. Face à cela, une majorité importante a adopté des stratégies de survie : 83% ont consommé des aliments moins variés ou de moindre qualité, 85% ont réduit leurs portions, et 70% des adultes ont mangé moins pour que les enfants mangent. Le recours à l’aide externe ou à des actions extrêmes (emprunter, vendre, mendier) est fréquent. En conclusion, les données indiquent une crise alimentaire aiguë caractérisée par des privations régulières et des solutions de dernier recours souvent précaires.</w:t>
      </w:r>
    </w:p>
    <w:bookmarkEnd w:id="54"/>
    <w:bookmarkStart w:id="55" w:name="X041eb376a685d421fdf524132e03c0a8b28d400"/>
    <w:p>
      <w:pPr>
        <w:pStyle w:val="Titre3"/>
      </w:pPr>
      <w:r>
        <w:t xml:space="preserve">b- Calculer le score de consommation alimentaire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03"/>
        <w:gridCol w:w="1487"/>
        <w:gridCol w:w="961"/>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Groupe.alimentaire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Poids</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 et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Lait et 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 poisson et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 riches en vitamine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Huiles et graisses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Condiments/épices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Le tableau montre de groupe d’aliments pondérés pour évaluer la diversité de l’alimentation des ménages. Les groupes d’origine animale et les légumineuses ont le plus d’importance dans ce score.</w:t>
      </w:r>
    </w:p>
    <w:bookmarkEnd w:id="55"/>
    <w:bookmarkStart w:id="56" w:name="X656871a54c5e9edea56c3934e07f873c97e7243"/>
    <w:p>
      <w:pPr>
        <w:pStyle w:val="Titre3"/>
      </w:pPr>
      <w:r>
        <w:t xml:space="preserve">c- tableau illustrant le poids attribue a chaque groupe alimentaire pour le calcul du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Poids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Viande/Poisson/Œufs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Tubercules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Matières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Épices/condiments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Le tableau présente les poids utilisés pour calculer un score de diversité alimentaire. Les groupes Viande/Poisson/Œufs et Produits laitiers ont le poids le plus élevé (4.0), suivis des Légumineuses (3.0) et des Céréales (2.0). Les Légumes et les Fruits ont un poids de 1.0. Les Tubercules, le Sucre et les Matières grasses ont un poids de 0.5. Les Épices/condiments ont un poids de 0.0 et ne contribuent pas au score.</w:t>
      </w:r>
    </w:p>
    <w:bookmarkEnd w:id="56"/>
    <w:bookmarkStart w:id="72" w:name="X6a364015f8ddad6cca8e03528131f99f6a7f581"/>
    <w:p>
      <w:pPr>
        <w:pStyle w:val="Titre2"/>
      </w:pPr>
      <w:r>
        <w:t xml:space="preserve">L’indice réduit des stratégies de survie (rCSI)</w:t>
      </w:r>
    </w:p>
    <w:p>
      <w:pPr>
        <w:pStyle w:val="FirstParagraph"/>
      </w:pPr>
      <w:r>
        <w:t xml:space="preserve">L’indice réduit des stratégies de survie (rCSI) est un indicateur qui mesure les comportements d’adaptation que les ménages adoptent lorsqu’ils n’ont pas accès à suffisamment de nourriture. Il est basé sur un ensemble de cinq stratégies de survie communes liées à la consommation alimentaire. Un score plus élevé indique une plus grande insécurité alimentaire.</w:t>
      </w:r>
    </w:p>
    <w:bookmarkStart w:id="60" w:name="X0eb6892237258df10d0563c60b0cd69495b3929"/>
    <w:p>
      <w:pPr>
        <w:pStyle w:val="Titre3"/>
      </w:pPr>
      <w:r>
        <w:t xml:space="preserve">a- Analyse descriptive des variables qui composent le rCSI</w:t>
      </w:r>
    </w:p>
    <w:p>
      <w:pPr>
        <w:pStyle w:val="FirstParagraph"/>
      </w:pPr>
      <w:r>
        <w:t xml:space="preserve">Les cinq stratégies d’adaptation communes utilisées pour calculer le rCSI sont:</w:t>
      </w:r>
    </w:p>
    <w:p>
      <w:pPr>
        <w:pStyle w:val="Compact"/>
        <w:numPr>
          <w:ilvl w:val="0"/>
          <w:numId w:val="1001"/>
        </w:numPr>
      </w:pPr>
      <w:r>
        <w:t xml:space="preserve">Consommer des aliments moins préférés et moins chers (Food02a)</w:t>
      </w:r>
    </w:p>
    <w:p>
      <w:pPr>
        <w:pStyle w:val="Compact"/>
        <w:numPr>
          <w:ilvl w:val="0"/>
          <w:numId w:val="1001"/>
        </w:numPr>
      </w:pPr>
      <w:r>
        <w:t xml:space="preserve">Emprunter de la nourriture ou compter sur l’aide de proches (Food05a)</w:t>
      </w:r>
    </w:p>
    <w:p>
      <w:pPr>
        <w:pStyle w:val="Compact"/>
        <w:numPr>
          <w:ilvl w:val="0"/>
          <w:numId w:val="1001"/>
        </w:numPr>
      </w:pPr>
      <w:r>
        <w:t xml:space="preserve">Limiter la taille des portions au moment des repas (Food06a)</w:t>
      </w:r>
    </w:p>
    <w:p>
      <w:pPr>
        <w:pStyle w:val="Compact"/>
        <w:numPr>
          <w:ilvl w:val="0"/>
          <w:numId w:val="1001"/>
        </w:numPr>
      </w:pPr>
      <w:r>
        <w:t xml:space="preserve">Réduire le nombre de repas par jour (Food08a)</w:t>
      </w:r>
    </w:p>
    <w:p>
      <w:pPr>
        <w:pStyle w:val="Compact"/>
        <w:numPr>
          <w:ilvl w:val="0"/>
          <w:numId w:val="1001"/>
        </w:numPr>
      </w:pPr>
      <w:r>
        <w:t xml:space="preserve">Réduire la consommation des adultes pour nourrir les enfants (Food07a)</w:t>
      </w:r>
    </w:p>
    <w:p>
      <w:pPr>
        <w:pStyle w:val="TableCaption"/>
      </w:pPr>
      <w:r>
        <w:t xml:space="preserve">Statistiques descriptives des variables du rCSI</w:t>
      </w:r>
    </w:p>
    <w:tbl>
      <w:tblPr>
        <w:tblStyle w:val="Table"/>
        <w:tblW w:type="auto" w:w="0"/>
        <w:tblLook w:firstRow="1" w:lastRow="0" w:firstColumn="0" w:lastColumn="0" w:noHBand="0" w:noVBand="0" w:val="0020"/>
        <w:tblCaption w:val="Statistiques descriptives des variables du rCSI"/>
      </w:tblPr>
      <w:tblGrid>
        <w:gridCol w:w="1980"/>
        <w:gridCol w:w="1980"/>
        <w:gridCol w:w="1980"/>
        <w:gridCol w:w="1980"/>
      </w:tblGrid>
      <w:tr>
        <w:trPr>
          <w:tblHeader w:val="on"/>
        </w:trPr>
        <w:tc>
          <w:tcPr/>
          <w:p>
            <w:pPr>
              <w:pStyle w:val="Compact"/>
              <w:jc w:val="left"/>
            </w:pPr>
            <w:r>
              <w:t xml:space="preserve">variable</w:t>
            </w:r>
          </w:p>
        </w:tc>
        <w:tc>
          <w:tcPr/>
          <w:p>
            <w:pPr>
              <w:pStyle w:val="Compact"/>
              <w:jc w:val="right"/>
            </w:pPr>
            <w:r>
              <w:t xml:space="preserve">oui</w:t>
            </w:r>
          </w:p>
        </w:tc>
        <w:tc>
          <w:tcPr/>
          <w:p>
            <w:pPr>
              <w:pStyle w:val="Compact"/>
              <w:jc w:val="right"/>
            </w:pPr>
            <w:r>
              <w:t xml:space="preserve">non</w:t>
            </w:r>
          </w:p>
        </w:tc>
        <w:tc>
          <w:tcPr/>
          <w:p>
            <w:pPr>
              <w:pStyle w:val="Compact"/>
              <w:jc w:val="right"/>
            </w:pPr>
            <w:r>
              <w:t xml:space="preserve">manquants</w:t>
            </w:r>
          </w:p>
        </w:tc>
      </w:tr>
      <w:tr>
        <w:tc>
          <w:tcPr/>
          <w:p>
            <w:pPr>
              <w:pStyle w:val="Compact"/>
              <w:jc w:val="left"/>
            </w:pPr>
            <w:r>
              <w:t xml:space="preserve">food02a_n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left"/>
            </w:pPr>
            <w:r>
              <w:t xml:space="preserve">food02a_pct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food05a_n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food05a_pct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food06a_n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food06a_pct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food08a_n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food08a_pct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food07a_n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r>
      <w:tr>
        <w:tc>
          <w:tcPr/>
          <w:p>
            <w:pPr>
              <w:pStyle w:val="Compact"/>
              <w:jc w:val="left"/>
            </w:pPr>
            <w:r>
              <w:t xml:space="preserve">food07a_pct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bl>
    <w:p>
      <w:pPr>
        <w:pStyle w:val="BodyText"/>
      </w:pPr>
      <w:r>
        <w:t xml:space="preserve">Le tableau montre la prévalence de différentes stratégies de survie liées à l’alimentation au sein de la population étudiée. Les stratégies food06a (85.13%), food08a (83.32%) et food02a (81.58%) sont les plus fréquemment adoptées, tandis que food05a (59.97%) et food07a (70.30%) sont également courantes</w:t>
      </w:r>
    </w:p>
    <w:p>
      <w:pPr>
        <w:pStyle w:val="BodyText"/>
      </w:pPr>
      <w:r>
        <w:drawing>
          <wp:inline>
            <wp:extent cx="4620126" cy="3696101"/>
            <wp:effectExtent b="0" l="0" r="0" t="0"/>
            <wp:docPr descr="" title="" id="58" name="Picture"/>
            <a:graphic>
              <a:graphicData uri="http://schemas.openxmlformats.org/drawingml/2006/picture">
                <pic:pic>
                  <pic:nvPicPr>
                    <pic:cNvPr descr="Script_files/figure-docx/unnamed-chunk-2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 graphique met en évidence que face à l’insécurité alimentaire, la majorité des ménages ont recours à des stratégies de restriction de la consommation (limiter les portions, réduire les repas) et à la consommation d’aliments de moindre qualité. L’entraide par l’emprunt de nourriture est moins fréquente, mais reste une stratégie importante pour une part non négligeable des ménages.</w:t>
      </w:r>
    </w:p>
    <w:bookmarkEnd w:id="60"/>
    <w:bookmarkStart w:id="64" w:name="Xe73e8da45befbafcffa341f23c027e93f6d1115"/>
    <w:p>
      <w:pPr>
        <w:pStyle w:val="Titre3"/>
      </w:pPr>
      <w:r>
        <w:t xml:space="preserve">b- Statistiques et analyse de nouvelles variables numériques pour le rCSI</w:t>
      </w:r>
    </w:p>
    <w:p>
      <w:pPr>
        <w:pStyle w:val="TableCaption"/>
      </w:pPr>
      <w:r>
        <w:t xml:space="preserve">Statistiques descriptives des nouvelles variables numériques du rCSI</w:t>
      </w:r>
    </w:p>
    <w:tbl>
      <w:tblPr>
        <w:tblStyle w:val="Table"/>
        <w:tblW w:type="auto" w:w="0"/>
        <w:tblLook w:firstRow="1" w:lastRow="0" w:firstColumn="0" w:lastColumn="0" w:noHBand="0" w:noVBand="0" w:val="0020"/>
        <w:tblCaption w:val="Statistiques descriptives des nouvelles variables numériques du rCSI"/>
      </w:tblPr>
      <w:tblGrid>
        <w:gridCol w:w="1320"/>
        <w:gridCol w:w="1320"/>
        <w:gridCol w:w="1320"/>
        <w:gridCol w:w="1320"/>
        <w:gridCol w:w="1320"/>
        <w:gridCol w:w="1320"/>
      </w:tblGrid>
      <w:tr>
        <w:trPr>
          <w:tblHeader w:val="on"/>
        </w:trPr>
        <w:tc>
          <w:tcPr/>
          <w:p>
            <w:pPr>
              <w:pStyle w:val="Compact"/>
              <w:jc w:val="left"/>
            </w:pPr>
            <w:r>
              <w:t xml:space="preserve">variable</w:t>
            </w:r>
          </w:p>
        </w:tc>
        <w:tc>
          <w:tcPr/>
          <w:p>
            <w:pPr>
              <w:pStyle w:val="Compact"/>
              <w:jc w:val="right"/>
            </w:pPr>
            <w:r>
              <w:t xml:space="preserve">moyenne</w:t>
            </w:r>
          </w:p>
        </w:tc>
        <w:tc>
          <w:tcPr/>
          <w:p>
            <w:pPr>
              <w:pStyle w:val="Compact"/>
              <w:jc w:val="right"/>
            </w:pPr>
            <w:r>
              <w:t xml:space="preserve">mediane</w:t>
            </w:r>
          </w:p>
        </w:tc>
        <w:tc>
          <w:tcPr/>
          <w:p>
            <w:pPr>
              <w:pStyle w:val="Compact"/>
              <w:jc w:val="right"/>
            </w:pPr>
            <w:r>
              <w:t xml:space="preserve">type</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food02a_num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food02a_num_ecart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food05a_num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food05a_num_ecart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food06a_num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food06a_num_ecart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food08a_num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food08a_num_ecart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food07a_num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food07a_num_ecart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bl>
    <w:p>
      <w:pPr>
        <w:pStyle w:val="BodyText"/>
      </w:pPr>
      <w:r>
        <w:t xml:space="preserve">Le tableau fournit des statistiques de base sur les valeurs numériques que vous avez aléatoirement attribuées aux stratégies de survie. Les moyennes et les médianes donnent une idée de la</w:t>
      </w:r>
      <w:r>
        <w:t xml:space="preserve"> </w:t>
      </w:r>
      <w:r>
        <w:t xml:space="preserve">“force”</w:t>
      </w:r>
      <w:r>
        <w:t xml:space="preserve"> </w:t>
      </w:r>
      <w:r>
        <w:t xml:space="preserve">typique de chaque stratégie lorsqu’elle est adoptée (sur une échelle de 1 à 7), tandis que le minimum est toujours 0 (non adoption) et le maximum est toujours 7</w:t>
      </w:r>
    </w:p>
    <w:p>
      <w:pPr>
        <w:pStyle w:val="BodyText"/>
      </w:pPr>
      <w:r>
        <w:drawing>
          <wp:inline>
            <wp:extent cx="4620126" cy="3696101"/>
            <wp:effectExtent b="0" l="0" r="0" t="0"/>
            <wp:docPr descr="" title="" id="62" name="Picture"/>
            <a:graphic>
              <a:graphicData uri="http://schemas.openxmlformats.org/drawingml/2006/picture">
                <pic:pic>
                  <pic:nvPicPr>
                    <pic:cNvPr descr="Script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Pour les stratégies</w:t>
      </w:r>
      <w:r>
        <w:t xml:space="preserve"> </w:t>
      </w:r>
      <w:r>
        <w:t xml:space="preserve">“Emprunter nourriture”</w:t>
      </w:r>
      <w:r>
        <w:t xml:space="preserve">, la majorité des ménages ne l’ont pas utilisée du tout, mais ceux qui l’ont fait l’ont souvent fait pendant une courte période (1 jour).</w:t>
      </w:r>
      <w:r>
        <w:t xml:space="preserve"> </w:t>
      </w:r>
      <w:r>
        <w:t xml:space="preserve">Pour les stratégies</w:t>
      </w:r>
      <w:r>
        <w:t xml:space="preserve"> </w:t>
      </w:r>
      <w:r>
        <w:t xml:space="preserve">“Adultes mangent moins”</w:t>
      </w:r>
      <w:r>
        <w:t xml:space="preserve">,</w:t>
      </w:r>
      <w:r>
        <w:t xml:space="preserve"> </w:t>
      </w:r>
      <w:r>
        <w:t xml:space="preserve">“Aliments moins préférés”</w:t>
      </w:r>
      <w:r>
        <w:t xml:space="preserve">,</w:t>
      </w:r>
      <w:r>
        <w:t xml:space="preserve"> </w:t>
      </w:r>
      <w:r>
        <w:t xml:space="preserve">“Limiter portions”</w:t>
      </w:r>
      <w:r>
        <w:t xml:space="preserve"> </w:t>
      </w:r>
      <w:r>
        <w:t xml:space="preserve">et</w:t>
      </w:r>
      <w:r>
        <w:t xml:space="preserve"> </w:t>
      </w:r>
      <w:r>
        <w:t xml:space="preserve">“Réduire repas”</w:t>
      </w:r>
      <w:r>
        <w:t xml:space="preserve">, une proportion importante de ménages ne les a pas utilisées (fréquence à 0 jour), mais parmi ceux qui les ont utilisées, l’adoption semble s’étaler sur un nombre de jours plus variable, souvent sur plusieurs jours de la semaine.</w:t>
      </w:r>
      <w:r>
        <w:t xml:space="preserve"> </w:t>
      </w:r>
      <w:r>
        <w:t xml:space="preserve">“Limiter portions”</w:t>
      </w:r>
      <w:r>
        <w:t xml:space="preserve"> </w:t>
      </w:r>
      <w:r>
        <w:t xml:space="preserve">semble être une stratégie plus</w:t>
      </w:r>
      <w:r>
        <w:t xml:space="preserve"> </w:t>
      </w:r>
      <w:r>
        <w:t xml:space="preserve">“habituelle”</w:t>
      </w:r>
      <w:r>
        <w:t xml:space="preserve"> </w:t>
      </w:r>
      <w:r>
        <w:t xml:space="preserve">pour ceux qui l’utilisent, avec une distribution plus homogène des fréquences.</w:t>
      </w:r>
    </w:p>
    <w:bookmarkEnd w:id="64"/>
    <w:bookmarkStart w:id="71" w:name="Xefdc0b972cfc2de0d2aed6d3f95a8ad656110b8"/>
    <w:p>
      <w:pPr>
        <w:pStyle w:val="Titre3"/>
      </w:pPr>
      <w:r>
        <w:t xml:space="preserve">c- Calcul de l’indice réduit des stratégies de survie (rCSI)</w:t>
      </w:r>
    </w:p>
    <w:p>
      <w:pPr>
        <w:pStyle w:val="SourceCode"/>
      </w:pPr>
      <w:r>
        <w:rPr>
          <w:rStyle w:val="VerbatimChar"/>
        </w:rPr>
        <w:t xml:space="preserve">[1] 21</w:t>
      </w:r>
    </w:p>
    <w:p>
      <w:pPr>
        <w:pStyle w:val="TableCaption"/>
      </w:pPr>
      <w:r>
        <w:t xml:space="preserve">Poids attribués aux stratégies pour le calcul du rCSI</w:t>
      </w:r>
    </w:p>
    <w:tbl>
      <w:tblPr>
        <w:tblStyle w:val="Table"/>
        <w:tblW w:type="auto" w:w="0"/>
        <w:tblLook w:firstRow="1" w:lastRow="0" w:firstColumn="0" w:lastColumn="0" w:noHBand="0" w:noVBand="0" w:val="0020"/>
        <w:tblCaption w:val="Poids attribués aux stratégies pour le calcul du rCSI"/>
      </w:tblPr>
      <w:tblGrid>
        <w:gridCol w:w="2640"/>
        <w:gridCol w:w="2640"/>
        <w:gridCol w:w="2640"/>
      </w:tblGrid>
      <w:tr>
        <w:trPr>
          <w:tblHeader w:val="on"/>
        </w:trPr>
        <w:tc>
          <w:tcPr/>
          <w:p>
            <w:pPr>
              <w:pStyle w:val="Compact"/>
              <w:jc w:val="left"/>
            </w:pPr>
            <w:r>
              <w:t xml:space="preserve">strategie</w:t>
            </w:r>
          </w:p>
        </w:tc>
        <w:tc>
          <w:tcPr/>
          <w:p>
            <w:pPr>
              <w:pStyle w:val="Compact"/>
              <w:jc w:val="left"/>
            </w:pPr>
            <w:r>
              <w:t xml:space="preserve">variable</w:t>
            </w:r>
          </w:p>
        </w:tc>
        <w:tc>
          <w:tcPr/>
          <w:p>
            <w:pPr>
              <w:pStyle w:val="Compact"/>
              <w:jc w:val="right"/>
            </w:pPr>
            <w:r>
              <w:t xml:space="preserve">poids</w:t>
            </w:r>
          </w:p>
        </w:tc>
      </w:tr>
      <w:tr>
        <w:tc>
          <w:tcPr/>
          <w:p>
            <w:pPr>
              <w:pStyle w:val="Compact"/>
              <w:jc w:val="left"/>
            </w:pPr>
            <w:r>
              <w:t xml:space="preserve">Aliments moins préférés</w:t>
            </w:r>
          </w:p>
        </w:tc>
        <w:tc>
          <w:tcPr/>
          <w:p>
            <w:pPr>
              <w:pStyle w:val="Compact"/>
              <w:jc w:val="left"/>
            </w:pPr>
            <w:r>
              <w:t xml:space="preserve">Food02a_num</w:t>
            </w:r>
          </w:p>
        </w:tc>
        <w:tc>
          <w:tcPr/>
          <w:p>
            <w:pPr>
              <w:pStyle w:val="Compact"/>
              <w:jc w:val="right"/>
            </w:pPr>
            <w:r>
              <w:t xml:space="preserve">2</w:t>
            </w:r>
          </w:p>
        </w:tc>
      </w:tr>
      <w:tr>
        <w:tc>
          <w:tcPr/>
          <w:p>
            <w:pPr>
              <w:pStyle w:val="Compact"/>
              <w:jc w:val="left"/>
            </w:pPr>
            <w:r>
              <w:t xml:space="preserve">Emprunter nourriture</w:t>
            </w:r>
          </w:p>
        </w:tc>
        <w:tc>
          <w:tcPr/>
          <w:p>
            <w:pPr>
              <w:pStyle w:val="Compact"/>
              <w:jc w:val="left"/>
            </w:pPr>
            <w:r>
              <w:t xml:space="preserve">Food05a_num</w:t>
            </w:r>
          </w:p>
        </w:tc>
        <w:tc>
          <w:tcPr/>
          <w:p>
            <w:pPr>
              <w:pStyle w:val="Compact"/>
              <w:jc w:val="right"/>
            </w:pPr>
            <w:r>
              <w:t xml:space="preserve">2</w:t>
            </w:r>
          </w:p>
        </w:tc>
      </w:tr>
      <w:tr>
        <w:tc>
          <w:tcPr/>
          <w:p>
            <w:pPr>
              <w:pStyle w:val="Compact"/>
              <w:jc w:val="left"/>
            </w:pPr>
            <w:r>
              <w:t xml:space="preserve">Limiter portions</w:t>
            </w:r>
          </w:p>
        </w:tc>
        <w:tc>
          <w:tcPr/>
          <w:p>
            <w:pPr>
              <w:pStyle w:val="Compact"/>
              <w:jc w:val="left"/>
            </w:pPr>
            <w:r>
              <w:t xml:space="preserve">Food06a_num</w:t>
            </w:r>
          </w:p>
        </w:tc>
        <w:tc>
          <w:tcPr/>
          <w:p>
            <w:pPr>
              <w:pStyle w:val="Compact"/>
              <w:jc w:val="right"/>
            </w:pPr>
            <w:r>
              <w:t xml:space="preserve">3</w:t>
            </w:r>
          </w:p>
        </w:tc>
      </w:tr>
      <w:tr>
        <w:tc>
          <w:tcPr/>
          <w:p>
            <w:pPr>
              <w:pStyle w:val="Compact"/>
              <w:jc w:val="left"/>
            </w:pPr>
            <w:r>
              <w:t xml:space="preserve">Réduire repas</w:t>
            </w:r>
          </w:p>
        </w:tc>
        <w:tc>
          <w:tcPr/>
          <w:p>
            <w:pPr>
              <w:pStyle w:val="Compact"/>
              <w:jc w:val="left"/>
            </w:pPr>
            <w:r>
              <w:t xml:space="preserve">Food08a_num</w:t>
            </w:r>
          </w:p>
        </w:tc>
        <w:tc>
          <w:tcPr/>
          <w:p>
            <w:pPr>
              <w:pStyle w:val="Compact"/>
              <w:jc w:val="right"/>
            </w:pPr>
            <w:r>
              <w:t xml:space="preserve">7</w:t>
            </w:r>
          </w:p>
        </w:tc>
      </w:tr>
      <w:tr>
        <w:tc>
          <w:tcPr/>
          <w:p>
            <w:pPr>
              <w:pStyle w:val="Compact"/>
              <w:jc w:val="left"/>
            </w:pPr>
            <w:r>
              <w:t xml:space="preserve">Adultes mangent moins</w:t>
            </w:r>
          </w:p>
        </w:tc>
        <w:tc>
          <w:tcPr/>
          <w:p>
            <w:pPr>
              <w:pStyle w:val="Compact"/>
              <w:jc w:val="left"/>
            </w:pPr>
            <w:r>
              <w:t xml:space="preserve">Food07a_num</w:t>
            </w:r>
          </w:p>
        </w:tc>
        <w:tc>
          <w:tcPr/>
          <w:p>
            <w:pPr>
              <w:pStyle w:val="Compact"/>
              <w:jc w:val="right"/>
            </w:pPr>
            <w:r>
              <w:t xml:space="preserve">7</w:t>
            </w:r>
          </w:p>
        </w:tc>
      </w:tr>
    </w:tbl>
    <w:p>
      <w:pPr>
        <w:pStyle w:val="SourceCode"/>
      </w:pPr>
      <w:r>
        <w:rPr>
          <w:rStyle w:val="VerbatimChar"/>
        </w:rPr>
        <w:t xml:space="preserve">   Min. 1st Qu.  Median    Mean 3rd Qu.    Max.    NA's </w:t>
      </w:r>
      <w:r>
        <w:br/>
      </w:r>
      <w:r>
        <w:rPr>
          <w:rStyle w:val="VerbatimChar"/>
        </w:rPr>
        <w:t xml:space="preserve">      0       0       0       0       0       0      15 </w:t>
      </w:r>
    </w:p>
    <w:p>
      <w:pPr>
        <w:pStyle w:val="FirstParagraph"/>
      </w:pPr>
      <w:r>
        <w:t xml:space="preserve">Le tableau montre comment les différentes stratégies de survie sont pondérées pour calculer le rCSI. Les stratégies impliquant une réduction de la quantité de nourriture consommée (réduire les repas, limiter les portions, adultes mangent moins) ont des poids plus élevés, indiquant qu’elles contribuent davantage à un score rCSI élevé, synonyme d’insécurité alimentaire plus importante.</w:t>
      </w:r>
    </w:p>
    <w:p>
      <w:pPr>
        <w:pStyle w:val="BodyText"/>
      </w:pPr>
      <w:r>
        <w:drawing>
          <wp:inline>
            <wp:extent cx="4620126" cy="3696101"/>
            <wp:effectExtent b="0" l="0" r="0" t="0"/>
            <wp:docPr descr="" title="" id="66" name="Picture"/>
            <a:graphic>
              <a:graphicData uri="http://schemas.openxmlformats.org/drawingml/2006/picture">
                <pic:pic>
                  <pic:nvPicPr>
                    <pic:cNvPr descr="Script_files/figure-docx/unnamed-chunk-2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Répartition des ménages par niveau de stress alimentaire</w:t>
      </w:r>
    </w:p>
    <w:tbl>
      <w:tblPr>
        <w:tblStyle w:val="Table"/>
        <w:tblW w:type="auto" w:w="0"/>
        <w:tblLook w:firstRow="1" w:lastRow="0" w:firstColumn="0" w:lastColumn="0" w:noHBand="0" w:noVBand="0" w:val="0020"/>
        <w:tblCaption w:val="Répartition des ménages par niveau de stress alimentaire"/>
      </w:tblPr>
      <w:tblGrid>
        <w:gridCol w:w="2640"/>
        <w:gridCol w:w="2640"/>
        <w:gridCol w:w="2640"/>
      </w:tblGrid>
      <w:tr>
        <w:trPr>
          <w:tblHeader w:val="on"/>
        </w:trPr>
        <w:tc>
          <w:tcPr/>
          <w:p>
            <w:pPr>
              <w:pStyle w:val="Compact"/>
              <w:jc w:val="left"/>
            </w:pPr>
            <w:r>
              <w:t xml:space="preserve">categorie_rcsi</w:t>
            </w:r>
          </w:p>
        </w:tc>
        <w:tc>
          <w:tcPr/>
          <w:p>
            <w:pPr>
              <w:pStyle w:val="Compact"/>
              <w:jc w:val="right"/>
            </w:pPr>
            <w:r>
              <w:t xml:space="preserve">n</w:t>
            </w:r>
          </w:p>
        </w:tc>
        <w:tc>
          <w:tcPr/>
          <w:p>
            <w:pPr>
              <w:pStyle w:val="Compact"/>
              <w:jc w:val="right"/>
            </w:pPr>
            <w:r>
              <w:t xml:space="preserve">proportion</w:t>
            </w:r>
          </w:p>
        </w:tc>
      </w:tr>
      <w:tr>
        <w:tc>
          <w:tcPr/>
          <w:p>
            <w:pPr>
              <w:pStyle w:val="Compact"/>
              <w:jc w:val="left"/>
            </w:pPr>
            <w:r>
              <w:t xml:space="preserve">Faible</w:t>
            </w:r>
          </w:p>
        </w:tc>
        <w:tc>
          <w:tcPr/>
          <w:p>
            <w:pPr>
              <w:pStyle w:val="Compact"/>
              <w:jc w:val="right"/>
            </w:pPr>
            <w:r>
              <w:t xml:space="preserve">3043</w:t>
            </w:r>
          </w:p>
        </w:tc>
        <w:tc>
          <w:tcPr/>
          <w:p>
            <w:pPr>
              <w:pStyle w:val="Compact"/>
              <w:jc w:val="right"/>
            </w:pPr>
            <w:r>
              <w:t xml:space="preserve">99.5094833</w:t>
            </w:r>
          </w:p>
        </w:tc>
      </w:tr>
      <w:tr>
        <w:tc>
          <w:tcPr/>
          <w:p>
            <w:pPr>
              <w:pStyle w:val="Compact"/>
              <w:jc w:val="left"/>
            </w:pPr>
            <w:r>
              <w:t xml:space="preserve">NA</w:t>
            </w:r>
          </w:p>
        </w:tc>
        <w:tc>
          <w:tcPr/>
          <w:p>
            <w:pPr>
              <w:pStyle w:val="Compact"/>
              <w:jc w:val="right"/>
            </w:pPr>
            <w:r>
              <w:t xml:space="preserve">15</w:t>
            </w:r>
          </w:p>
        </w:tc>
        <w:tc>
          <w:tcPr/>
          <w:p>
            <w:pPr>
              <w:pStyle w:val="Compact"/>
              <w:jc w:val="right"/>
            </w:pPr>
            <w:r>
              <w:t xml:space="preserve">0.4905167</w:t>
            </w:r>
          </w:p>
        </w:tc>
      </w:tr>
    </w:tbl>
    <w:p>
      <w:pPr>
        <w:pStyle w:val="BodyText"/>
      </w:pPr>
      <w:r>
        <w:drawing>
          <wp:inline>
            <wp:extent cx="4620126" cy="3696101"/>
            <wp:effectExtent b="0" l="0" r="0" t="0"/>
            <wp:docPr descr="" title="" id="69" name="Picture"/>
            <a:graphic>
              <a:graphicData uri="http://schemas.openxmlformats.org/drawingml/2006/picture">
                <pic:pic>
                  <pic:nvPicPr>
                    <pic:cNvPr descr="Script_files/figure-docx/unnamed-chunk-25-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L’histogramme montre la répartition des niveaux de stress alimentaire au sein de la population, tel que mesuré par le rCSI. La majorité des ménages présentent un niveau de stress alimentaire modéré à élevé (autour de 80-90), mais il existe également des ménages avec des niveaux très bas (y compris ceux n’ayant pas utilisé de stratégies) et des niveaux très élevés, indiquant une hétérogénéité de la sécurité alimentaire au sein de la population étudiée.</w:t>
      </w:r>
    </w:p>
    <w:p>
      <w:pPr>
        <w:pStyle w:val="BodyText"/>
      </w:pPr>
      <w:r>
        <w:t xml:space="preserve">Selon le tableau une part importante des ménages enquêtés présente un niveau de stress alimentaire moyen à élevé, avec une proportion plus faible mais non négligeable dans la catégorie moyen-faible, et une petite minorité avec un stress faible.</w:t>
      </w:r>
    </w:p>
    <w:bookmarkEnd w:id="71"/>
    <w:bookmarkEnd w:id="72"/>
    <w:bookmarkStart w:id="82" w:name="Xa8e301e01b6b152b3a35dd3db22a10f49e5715d"/>
    <w:p>
      <w:pPr>
        <w:pStyle w:val="Titre2"/>
      </w:pPr>
      <w:r>
        <w:t xml:space="preserve">Représentation spatiale du rCSI selon le milieu de résidence</w:t>
      </w:r>
    </w:p>
    <w:p>
      <w:pPr>
        <w:pStyle w:val="TableCaption"/>
      </w:pPr>
      <w:r>
        <w:t xml:space="preserve">rCSI moyen par milieu de résidence</w:t>
      </w:r>
    </w:p>
    <w:tbl>
      <w:tblPr>
        <w:tblStyle w:val="Table"/>
        <w:tblW w:type="auto" w:w="0"/>
        <w:tblLook w:firstRow="1" w:lastRow="0" w:firstColumn="0" w:lastColumn="0" w:noHBand="0" w:noVBand="0" w:val="0020"/>
        <w:tblCaption w:val="rCSI moyen par milieu de résidence"/>
      </w:tblPr>
      <w:tblGrid>
        <w:gridCol w:w="1584"/>
        <w:gridCol w:w="1584"/>
        <w:gridCol w:w="1584"/>
        <w:gridCol w:w="1584"/>
        <w:gridCol w:w="1584"/>
      </w:tblGrid>
      <w:tr>
        <w:trPr>
          <w:tblHeader w:val="on"/>
        </w:trPr>
        <w:tc>
          <w:tcPr/>
          <w:p>
            <w:pPr>
              <w:pStyle w:val="Compact"/>
              <w:jc w:val="left"/>
            </w:pPr>
            <w:r>
              <w:t xml:space="preserve">intro_09</w:t>
            </w:r>
          </w:p>
        </w:tc>
        <w:tc>
          <w:tcPr/>
          <w:p>
            <w:pPr>
              <w:pStyle w:val="Compact"/>
              <w:jc w:val="right"/>
            </w:pPr>
            <w:r>
              <w:t xml:space="preserve">rcsi_moyen</w:t>
            </w:r>
          </w:p>
        </w:tc>
        <w:tc>
          <w:tcPr/>
          <w:p>
            <w:pPr>
              <w:pStyle w:val="Compact"/>
              <w:jc w:val="right"/>
            </w:pPr>
            <w:r>
              <w:t xml:space="preserve">rcsi_median</w:t>
            </w:r>
          </w:p>
        </w:tc>
        <w:tc>
          <w:tcPr/>
          <w:p>
            <w:pPr>
              <w:pStyle w:val="Compact"/>
              <w:jc w:val="right"/>
            </w:pPr>
            <w:r>
              <w:t xml:space="preserve">rcsi_ecart_type</w:t>
            </w:r>
          </w:p>
        </w:tc>
        <w:tc>
          <w:tcPr/>
          <w:p>
            <w:pPr>
              <w:pStyle w:val="Compact"/>
              <w:jc w:val="right"/>
            </w:pPr>
            <w:r>
              <w:t xml:space="preserve">n</w:t>
            </w:r>
          </w:p>
        </w:tc>
      </w:tr>
      <w:tr>
        <w:tc>
          <w:tcPr/>
          <w:p>
            <w:pPr>
              <w:pStyle w:val="Compact"/>
              <w:jc w:val="left"/>
            </w:pPr>
            <w:r>
              <w:t xml:space="preserve">rural</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2058</w:t>
            </w:r>
          </w:p>
        </w:tc>
      </w:tr>
      <w:tr>
        <w:tc>
          <w:tcPr/>
          <w:p>
            <w:pPr>
              <w:pStyle w:val="Compact"/>
              <w:jc w:val="left"/>
            </w:pPr>
            <w:r>
              <w:t xml:space="preserve">peri-urban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740</w:t>
            </w:r>
          </w:p>
        </w:tc>
      </w:tr>
      <w:tr>
        <w:tc>
          <w:tcPr/>
          <w:p>
            <w:pPr>
              <w:pStyle w:val="Compact"/>
              <w:jc w:val="left"/>
            </w:pPr>
            <w:r>
              <w:t xml:space="preserve">urban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258</w:t>
            </w:r>
          </w:p>
        </w:tc>
      </w:tr>
      <w:tr>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Pr>
        <w:pStyle w:val="BodyText"/>
      </w:pPr>
      <w:r>
        <w:drawing>
          <wp:inline>
            <wp:extent cx="4620126" cy="3696101"/>
            <wp:effectExtent b="0" l="0" r="0" t="0"/>
            <wp:docPr descr="" title="" id="74" name="Picture"/>
            <a:graphic>
              <a:graphicData uri="http://schemas.openxmlformats.org/drawingml/2006/picture">
                <pic:pic>
                  <pic:nvPicPr>
                    <pic:cNvPr descr="Script_files/figure-docx/unnamed-chunk-2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Script_files/figure-docx/unnamed-chunk-26-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0" name="Picture"/>
            <a:graphic>
              <a:graphicData uri="http://schemas.openxmlformats.org/drawingml/2006/picture">
                <pic:pic>
                  <pic:nvPicPr>
                    <pic:cNvPr descr="Script_files/figure-docx/unnamed-chunk-26-3.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Les graphiques mettent en évidence des différences dans le niveau de stress alimentaire moyen entre les différents milieux de résidence.</w:t>
      </w:r>
      <w:r>
        <w:t xml:space="preserve"> </w:t>
      </w:r>
      <w:r>
        <w:t xml:space="preserve">Le diagramme en boîte permet de comparer la distribution du stress alimentaire (rCSI) entre les différents milieux de résidence. Le milieu 3 semble avoir les niveaux de rCSI les plus élevés en général, tandis que les ménages avec un milieu de résidence non renseigné (</w:t>
      </w:r>
      <w:r>
        <w:t xml:space="preserve">‘NA’</w:t>
      </w:r>
      <w:r>
        <w:t xml:space="preserve">) ont tendance à avoir les niveaux les plus bas. Les milieux 1 et 2 présentent des distributions similaires avec des niveaux intermédiaires.</w:t>
      </w:r>
    </w:p>
    <w:bookmarkEnd w:id="82"/>
    <w:bookmarkEnd w:id="83"/>
    <w:sectPr w:rsidR="00FC527C" w:rsidSect="00D329DE">
      <w:headerReference r:id="rId9" w:type="default"/>
      <w:footerReference r:id="rId11" w:type="default"/>
      <w:footerReference r:id="rId10" w:type="first"/>
      <w:pgSz w:h="16838" w:w="11906"/>
      <w:pgMar w:bottom="1440" w:footer="708" w:gutter="0" w:header="708" w:left="1440" w:right="1440" w:top="1440"/>
      <w:pgBorders w:display="firstPage" w:offsetFrom="page">
        <w:top w:color="auto" w:space="24" w:sz="12" w:val="diamondsGray"/>
        <w:left w:color="auto" w:space="24" w:sz="12" w:val="diamondsGray"/>
        <w:bottom w:color="auto" w:space="24" w:sz="12" w:val="diamondsGray"/>
        <w:right w:color="auto" w:space="24" w:sz="12" w:val="diamondsGray"/>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134D" w14:textId="45BB81E9"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1A712E80" wp14:editId="15CB9057">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EndPr/>
      <w:sdtContent>
        <w:r w:rsidR="00042686">
          <w:rPr>
            <w:noProof/>
          </w:rPr>
          <mc:AlternateContent>
            <mc:Choice Requires="wps">
              <w:drawing>
                <wp:anchor distT="0" distB="0" distL="114300" distR="114300" simplePos="0" relativeHeight="251668480" behindDoc="0" locked="0" layoutInCell="1" allowOverlap="1" wp14:anchorId="1AEE33C1" wp14:editId="7C7A24D8">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9CEA4B7" wp14:editId="32971BD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2C947CEF" wp14:editId="2CEBCBA7">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7AB1C2CC" w14:textId="77777777"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98136"/>
      <w:docPartObj>
        <w:docPartGallery w:val="Page Numbers (Bottom of Page)"/>
        <w:docPartUnique/>
      </w:docPartObj>
    </w:sdtPr>
    <w:sdtEndPr/>
    <w:sdtContent>
      <w:p w14:paraId="39479C03" w14:textId="227C221A" w:rsidR="00FC527C" w:rsidRDefault="00FC527C">
        <w:pPr>
          <w:pStyle w:val="Pieddepage"/>
          <w:jc w:val="center"/>
        </w:pPr>
        <w:r>
          <w:fldChar w:fldCharType="begin"/>
        </w:r>
        <w:r>
          <w:instrText>PAGE   \* MERGEFORMAT</w:instrText>
        </w:r>
        <w:r>
          <w:fldChar w:fldCharType="separate"/>
        </w:r>
        <w:r>
          <w:t>2</w:t>
        </w:r>
        <w:r>
          <w:fldChar w:fldCharType="end"/>
        </w:r>
      </w:p>
    </w:sdtContent>
  </w:sdt>
  <w:p w14:paraId="77E9FCC7" w14:textId="7683E5E1" w:rsidR="003E2B22" w:rsidRDefault="003E2B2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B670" w14:textId="78FE897C" w:rsidR="00FC527C" w:rsidRDefault="00857A64">
    <w:pPr>
      <w:pStyle w:val="En-tte"/>
    </w:pPr>
    <w:r>
      <w:rPr>
        <w:noProof/>
      </w:rPr>
      <mc:AlternateContent>
        <mc:Choice Requires="wps">
          <w:drawing>
            <wp:anchor distT="0" distB="0" distL="114300" distR="114300" simplePos="0" relativeHeight="251670528" behindDoc="0" locked="0" layoutInCell="1" allowOverlap="1" wp14:anchorId="039F96D1" wp14:editId="6202F8B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6EF45E82" wp14:editId="4D3D9178">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4">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5">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7">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8">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9">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2">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4">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CAF742A"/>
    <w:multiLevelType w:val="hybridMultilevel"/>
    <w:tmpl w:val="F3A80A5E"/>
    <w:lvl w:ilvl="0" w:tplc="5FB062B4">
      <w:start w:val="1"/>
      <w:numFmt w:val="lowerLetter"/>
      <w:pStyle w:val="Titre3"/>
      <w:lvlText w:val="%1."/>
      <w:lvlJc w:val="left"/>
      <w:pPr>
        <w:ind w:hanging="360" w:left="1429"/>
      </w:pPr>
      <w:rPr>
        <w:rFonts w:hint="default"/>
        <w:b/>
        <w:i w:val="0"/>
        <w:sz w:val="28"/>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16">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8">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0">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3">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8">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29">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0">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3764A16"/>
    <w:multiLevelType w:val="hybridMultilevel"/>
    <w:tmpl w:val="CB422B24"/>
    <w:lvl w:ilvl="0" w:tplc="7F3A53A2">
      <w:start w:val="1"/>
      <w:numFmt w:val="decimal"/>
      <w:pStyle w:val="Titre2"/>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993C86"/>
    <w:multiLevelType w:val="hybridMultilevel"/>
    <w:tmpl w:val="4E9C4350"/>
    <w:lvl w:ilvl="0" w:tplc="4E0EFB94">
      <w:start w:val="1"/>
      <w:numFmt w:val="upperRoman"/>
      <w:pStyle w:val="Titre1"/>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4"/>
  </w:num>
  <w:num w:numId="2">
    <w:abstractNumId w:val="7"/>
  </w:num>
  <w:num w:numId="3">
    <w:abstractNumId w:val="0"/>
  </w:num>
  <w:num w:numId="4">
    <w:abstractNumId w:val="1"/>
  </w:num>
  <w:num w:numId="5">
    <w:abstractNumId w:val="37"/>
  </w:num>
  <w:num w:numId="6">
    <w:abstractNumId w:val="19"/>
  </w:num>
  <w:num w:numId="7">
    <w:abstractNumId w:val="36"/>
  </w:num>
  <w:num w:numId="8">
    <w:abstractNumId w:val="23"/>
  </w:num>
  <w:num w:numId="9">
    <w:abstractNumId w:val="19"/>
    <w:lvlOverride w:ilvl="0">
      <w:startOverride w:val="1"/>
    </w:lvlOverride>
  </w:num>
  <w:num w:numId="10">
    <w:abstractNumId w:val="2"/>
  </w:num>
  <w:num w:numId="11">
    <w:abstractNumId w:val="13"/>
  </w:num>
  <w:num w:numId="12">
    <w:abstractNumId w:val="9"/>
  </w:num>
  <w:num w:numId="13">
    <w:abstractNumId w:val="6"/>
  </w:num>
  <w:num w:numId="14">
    <w:abstractNumId w:val="33"/>
  </w:num>
  <w:num w:numId="15">
    <w:abstractNumId w:val="21"/>
  </w:num>
  <w:num w:numId="16">
    <w:abstractNumId w:val="14"/>
  </w:num>
  <w:num w:numId="17">
    <w:abstractNumId w:val="34"/>
  </w:num>
  <w:num w:numId="18">
    <w:abstractNumId w:val="16"/>
  </w:num>
  <w:num w:numId="19">
    <w:abstractNumId w:val="22"/>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4"/>
  </w:num>
  <w:num w:numId="24">
    <w:abstractNumId w:val="25"/>
  </w:num>
  <w:num w:numId="25">
    <w:abstractNumId w:val="12"/>
  </w:num>
  <w:num w:numId="26">
    <w:abstractNumId w:val="30"/>
  </w:num>
  <w:num w:numId="27">
    <w:abstractNumId w:val="5"/>
  </w:num>
  <w:num w:numId="28">
    <w:abstractNumId w:val="28"/>
  </w:num>
  <w:num w:numId="29">
    <w:abstractNumId w:val="10"/>
  </w:num>
  <w:num w:numId="30">
    <w:abstractNumId w:val="26"/>
  </w:num>
  <w:num w:numId="31">
    <w:abstractNumId w:val="32"/>
  </w:num>
  <w:num w:numId="32">
    <w:abstractNumId w:val="27"/>
  </w:num>
  <w:num w:numId="33">
    <w:abstractNumId w:val="3"/>
  </w:num>
  <w:num w:numId="34">
    <w:abstractNumId w:val="29"/>
  </w:num>
  <w:num w:numId="35">
    <w:abstractNumId w:val="20"/>
  </w:num>
  <w:num w:numId="36">
    <w:abstractNumId w:val="8"/>
  </w:num>
  <w:num w:numId="37">
    <w:abstractNumId w:val="11"/>
  </w:num>
  <w:num w:numId="38">
    <w:abstractNumId w:val="35"/>
  </w:num>
  <w:num w:numId="39">
    <w:abstractNumId w:val="31"/>
  </w:num>
  <w:num w:numId="40">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0" w:dllVersion="6" w:lang="fr-FR" w:nlCheck="1" w:vendorID="64"/>
  <w:proofState w:grammar="clean" w:spelling="clean"/>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1F95"/>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33FB"/>
    <w:rsid w:val="00E47ADE"/>
    <w:rsid w:val="00E53986"/>
    <w:rsid w:val="00E63249"/>
    <w:rsid w:val="00E6580C"/>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3B3F"/>
    <w:rsid w:val="00FE03A6"/>
    <w:rsid w:val="00FE4E53"/>
    <w:rsid w:val="00FF3AF3"/>
    <w:rsid w:val="00FF6710"/>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F4A3D"/>
    <w:rPr>
      <w:rFonts w:ascii="Times New Roman" w:hAnsi="Times New Roman"/>
      <w:sz w:val="24"/>
    </w:rPr>
  </w:style>
  <w:style w:styleId="Titre1" w:type="paragraph">
    <w:name w:val="heading 1"/>
    <w:basedOn w:val="Sansinterligne"/>
    <w:link w:val="Titre1Car"/>
    <w:uiPriority w:val="9"/>
    <w:qFormat/>
    <w:rsid w:val="00BA4AD2"/>
    <w:pPr>
      <w:numPr>
        <w:numId w:val="38"/>
      </w:numPr>
      <w:pBdr>
        <w:top w:color="auto" w:space="1" w:sz="8" w:val="single"/>
        <w:bottom w:color="auto" w:space="1" w:sz="24" w:val="thinThickSmallGap"/>
      </w:pBdr>
      <w:shd w:color="auto" w:fill="DEEAF6" w:themeFill="accent5" w:themeFillTint="33" w:val="clear"/>
      <w:spacing w:after="40" w:before="30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styleId="Titre2" w:type="paragraph">
    <w:name w:val="heading 2"/>
    <w:basedOn w:val="Titre3"/>
    <w:link w:val="Titre2Car"/>
    <w:uiPriority w:val="9"/>
    <w:unhideWhenUsed/>
    <w:qFormat/>
    <w:rsid w:val="00E120C6"/>
    <w:pPr>
      <w:numPr>
        <w:numId w:val="39"/>
      </w:numPr>
      <w:pBdr>
        <w:bottom w:color="00B0F0" w:space="1" w:sz="8" w:val="single"/>
      </w:pBdr>
      <w:outlineLvl w:val="1"/>
    </w:pPr>
    <w:rPr>
      <w:i w:val="0"/>
      <w:smallCaps w:val="0"/>
      <w:sz w:val="32"/>
      <w:szCs w:val="28"/>
    </w:rPr>
  </w:style>
  <w:style w:styleId="Titre3" w:type="paragraph">
    <w:name w:val="heading 3"/>
    <w:basedOn w:val="Titre4"/>
    <w:link w:val="Titre3Car"/>
    <w:uiPriority w:val="9"/>
    <w:unhideWhenUsed/>
    <w:qFormat/>
    <w:rsid w:val="00A214C2"/>
    <w:pPr>
      <w:numPr>
        <w:numId w:val="40"/>
      </w:numPr>
      <w:outlineLvl w:val="2"/>
    </w:pPr>
    <w:rPr>
      <w:smallCaps/>
      <w:spacing w:val="5"/>
      <w:sz w:val="28"/>
      <w:szCs w:val="24"/>
    </w:rPr>
  </w:style>
  <w:style w:styleId="Titre4" w:type="paragraph">
    <w:name w:val="heading 4"/>
    <w:basedOn w:val="Titre5"/>
    <w:link w:val="Titre4Car"/>
    <w:uiPriority w:val="9"/>
    <w:unhideWhenUsed/>
    <w:qFormat/>
    <w:rsid w:val="002B1011"/>
    <w:pPr>
      <w:pBdr>
        <w:top w:color="auto" w:space="0" w:sz="0" w:val="none"/>
        <w:left w:color="auto" w:space="0" w:sz="0" w:val="none"/>
        <w:bottom w:color="auto" w:space="0" w:sz="0" w:val="none"/>
        <w:right w:color="auto" w:space="0" w:sz="0" w:val="none"/>
      </w:pBdr>
      <w:spacing w:after="120" w:before="120"/>
      <w:ind w:left="1418"/>
      <w:jc w:val="left"/>
      <w:outlineLvl w:val="3"/>
    </w:pPr>
    <w:rPr>
      <w:i/>
      <w:iCs/>
      <w:smallCaps w:val="0"/>
      <w:color w:val="00B0F0"/>
      <w:sz w:val="24"/>
    </w:rPr>
  </w:style>
  <w:style w:styleId="Titre5" w:type="paragraph">
    <w:name w:val="heading 5"/>
    <w:basedOn w:val="Normal"/>
    <w:next w:val="Normal"/>
    <w:link w:val="Titre5Car"/>
    <w:autoRedefine/>
    <w:uiPriority w:val="9"/>
    <w:unhideWhenUsed/>
    <w:qFormat/>
    <w:rsid w:val="00C94AE7"/>
    <w:pPr>
      <w:pBdr>
        <w:top w:color="auto" w:space="1" w:sz="4" w:val="single"/>
        <w:left w:color="auto" w:space="4" w:sz="4" w:val="single"/>
        <w:bottom w:color="auto" w:space="1" w:sz="8" w:val="single"/>
        <w:right w:color="auto" w:space="4" w:sz="4" w:val="single"/>
      </w:pBdr>
      <w:spacing w:after="0" w:line="240" w:lineRule="auto"/>
      <w:jc w:val="center"/>
      <w:outlineLvl w:val="4"/>
    </w:pPr>
    <w:rPr>
      <w:b/>
      <w:smallCaps/>
      <w:color w:themeColor="accent5" w:themeShade="BF" w:val="2E74B5"/>
      <w:spacing w:val="10"/>
      <w:sz w:val="44"/>
      <w:szCs w:val="22"/>
    </w:rPr>
  </w:style>
  <w:style w:styleId="Titre6" w:type="paragraph">
    <w:name w:val="heading 6"/>
    <w:basedOn w:val="Titre4"/>
    <w:next w:val="Titre7"/>
    <w:link w:val="Titre6Car"/>
    <w:uiPriority w:val="9"/>
    <w:semiHidden/>
    <w:unhideWhenUsed/>
    <w:qFormat/>
    <w:rsid w:val="00997367"/>
    <w:pPr>
      <w:spacing w:line="360" w:lineRule="auto"/>
      <w:ind w:left="0"/>
      <w:jc w:val="center"/>
      <w:outlineLvl w:val="5"/>
    </w:pPr>
    <w:rPr>
      <w:i w:val="0"/>
      <w:smallCaps/>
      <w:color w:themeColor="accent5" w:themeShade="BF" w:val="2E74B5"/>
      <w:spacing w:val="5"/>
      <w:sz w:val="28"/>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A25A77"/>
    <w:rPr>
      <w:rFonts w:ascii="Times New Roman" w:hAnsi="Times New Roman"/>
      <w:b/>
      <w:smallCaps/>
      <w:color w:val="0070C0"/>
      <w:sz w:val="36"/>
      <w:szCs w:val="32"/>
      <w:shd w:color="auto" w:fill="DEEAF6" w:themeFill="accent5" w:themeFillTint="33" w:val="clear"/>
      <w14:textFill>
        <w14:solidFill>
          <w14:srgbClr w14:val="0070C0">
            <w14:lumMod w14:val="60000"/>
            <w14:lumOff w14:val="40000"/>
          </w14:srgbClr>
        </w14:solidFill>
      </w14:textFill>
    </w:rPr>
  </w:style>
  <w:style w:customStyle="1" w:styleId="Titre2Car" w:type="character">
    <w:name w:val="Titre 2 Car"/>
    <w:basedOn w:val="Policepardfaut"/>
    <w:link w:val="Titre2"/>
    <w:uiPriority w:val="9"/>
    <w:rsid w:val="00AB3280"/>
    <w:rPr>
      <w:rFonts w:ascii="Palatino Linotype" w:hAnsi="Palatino Linotype"/>
      <w:b/>
      <w:iCs/>
      <w:color w:val="00B0F0"/>
      <w:spacing w:val="5"/>
      <w:sz w:val="32"/>
      <w:szCs w:val="28"/>
    </w:rPr>
  </w:style>
  <w:style w:customStyle="1" w:styleId="Titre3Car" w:type="character">
    <w:name w:val="Titre 3 Car"/>
    <w:basedOn w:val="Policepardfaut"/>
    <w:link w:val="Titre3"/>
    <w:uiPriority w:val="9"/>
    <w:rsid w:val="002B1011"/>
    <w:rPr>
      <w:rFonts w:ascii="Times New Roman" w:hAnsi="Times New Roman"/>
      <w:b/>
      <w:i/>
      <w:iCs/>
      <w:smallCaps/>
      <w:color w:val="00B0F0"/>
      <w:spacing w:val="5"/>
      <w:sz w:val="28"/>
      <w:szCs w:val="24"/>
    </w:rPr>
  </w:style>
  <w:style w:customStyle="1" w:styleId="Titre4Car" w:type="character">
    <w:name w:val="Titre 4 Car"/>
    <w:basedOn w:val="Policepardfaut"/>
    <w:link w:val="Titre4"/>
    <w:uiPriority w:val="9"/>
    <w:rsid w:val="002B1011"/>
    <w:rPr>
      <w:rFonts w:ascii="Times New Roman" w:hAnsi="Times New Roman"/>
      <w:b/>
      <w:i/>
      <w:iCs/>
      <w:color w:val="00B0F0"/>
      <w:spacing w:val="10"/>
      <w:sz w:val="24"/>
      <w:szCs w:val="22"/>
    </w:rPr>
  </w:style>
  <w:style w:customStyle="1" w:styleId="Titre5Car" w:type="character">
    <w:name w:val="Titre 5 Car"/>
    <w:basedOn w:val="Policepardfaut"/>
    <w:link w:val="Titre5"/>
    <w:uiPriority w:val="9"/>
    <w:rsid w:val="00C94AE7"/>
    <w:rPr>
      <w:rFonts w:ascii="Times New Roman" w:hAnsi="Times New Roman"/>
      <w:b/>
      <w:smallCaps/>
      <w:color w:themeColor="accent5" w:themeShade="BF" w:val="2E74B5"/>
      <w:spacing w:val="10"/>
      <w:sz w:val="44"/>
      <w:szCs w:val="22"/>
    </w:rPr>
  </w:style>
  <w:style w:customStyle="1" w:styleId="Titre6Car" w:type="character">
    <w:name w:val="Titre 6 Car"/>
    <w:basedOn w:val="Policepardfaut"/>
    <w:link w:val="Titre6"/>
    <w:uiPriority w:val="9"/>
    <w:semiHidden/>
    <w:rsid w:val="00997367"/>
    <w:rPr>
      <w:rFonts w:ascii="Times New Roman" w:hAnsi="Times New Roman"/>
      <w:b/>
      <w:iCs/>
      <w:smallCaps/>
      <w:color w:themeColor="accent5" w:themeShade="BF" w:val="2E74B5"/>
      <w:spacing w:val="5"/>
      <w:sz w:val="28"/>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37" Target="media/rId37.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9</Words>
  <Characters>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2025-05-13T11:43:20Z</dcterms:created>
  <dcterms:modified xsi:type="dcterms:W3CDTF">2025-05-13T11:43:20Z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