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image1.jpeg" ContentType="image/jpeg"/>
  <Override PartName="/word/media/image2.png" ContentType="image/png"/>
  <Override PartName="/word/media/image3.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1" name="Picture"/>
                  <a:graphic>
                    <a:graphicData uri="http://schemas.openxmlformats.org/drawingml/2006/picture">
                      <pic:pic>
                        <pic:nvPicPr>
                          <pic:cNvPr descr="Figures/LOGO1.png" id="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1137203"/>
                  <wp:effectExtent b="0" l="0" r="0" t="0"/>
                  <wp:docPr descr="" title="" id="3" name="Picture"/>
                  <a:graphic>
                    <a:graphicData uri="http://schemas.openxmlformats.org/drawingml/2006/picture">
                      <pic:pic>
                        <pic:nvPicPr>
                          <pic:cNvPr descr="Figures/LOGO2.png" id="4" name="Picture"/>
                          <pic:cNvPicPr>
                            <a:picLocks noChangeArrowheads="1" noChangeAspect="1"/>
                          </pic:cNvPicPr>
                        </pic:nvPicPr>
                        <pic:blipFill>
                          <a:blip r:embed="rId23"/>
                          <a:stretch>
                            <a:fillRect/>
                          </a:stretch>
                        </pic:blipFill>
                        <pic:spPr bwMode="auto">
                          <a:xfrm>
                            <a:off x="0" y="0"/>
                            <a:ext cx="1259999" cy="1137203"/>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5" name="Picture"/>
                  <a:graphic>
                    <a:graphicData uri="http://schemas.openxmlformats.org/drawingml/2006/picture">
                      <pic:pic>
                        <pic:nvPicPr>
                          <pic:cNvPr descr="Figures/LOGO3.png" id="6"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172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true"/>
                <w:u w:val="none"/>
                <w:sz w:val="44"/>
                <w:szCs w:val="44"/>
                <w:color w:val="000000"/>
              </w:rPr>
            </w:pPr>
            <w:r>
              <w:rPr>
                <w:rFonts w:ascii="Times New Roman" w:hAnsi="Times New Roman" w:eastAsia="Times New Roman" w:cs="Times New Roman"/>
                <w:i w:val="false"/>
                <w:b w:val="true"/>
                <w:u w:val="none"/>
                <w:sz w:val="44"/>
                <w:szCs w:val="44"/>
                <w:color w:val="000000"/>
              </w:rPr>
              <w:t xml:space="preserve">ÉVALUATION</w:t>
            </w:r>
            <w:r>
              <w:rPr>
                <w:rFonts w:ascii="Times New Roman" w:hAnsi="Times New Roman" w:eastAsia="Times New Roman" w:cs="Times New Roman"/>
                <w:i w:val="false"/>
                <w:b w:val="true"/>
                <w:u w:val="none"/>
                <w:sz w:val="44"/>
                <w:szCs w:val="44"/>
                <w:color w:val="000000"/>
              </w:rPr>
              <w:br/>
            </w:r>
            <w:r>
              <w:rPr>
                <w:rFonts w:ascii="Times New Roman" w:hAnsi="Times New Roman" w:eastAsia="Times New Roman" w:cs="Times New Roman"/>
                <w:i w:val="false"/>
                <w:b w:val="true"/>
                <w:u w:val="none"/>
                <w:sz w:val="44"/>
                <w:szCs w:val="44"/>
                <w:color w:val="000000"/>
              </w:rPr>
              <w:t xml:space="preserve">Projet statistique avec R</w:t>
            </w:r>
          </w:p>
        </w:tc>
      </w:tr>
    </w:tbl>
    <w:p>
      <w:pPr>
        <w:pStyle w:val="Corpsdetexte"/>
      </w:pPr>
      <m:oMathPara>
        <m:oMathParaPr>
          <m:jc m:val="center"/>
        </m:oMathParaPr>
        <m:oMath/>
      </m:oMathPara>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Malick SENE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Élève Ingénieure Statisticienne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Data scientist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Start w:id="29" w:name="table-des-matières"/>
    <w:p>
      <w:pPr>
        <w:pStyle w:val="Titre1"/>
      </w:pPr>
      <w:r>
        <w:t xml:space="preserve">Table des matières</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9"/>
    <w:bookmarkStart w:id="30" w:name="liste-des-figures"/>
    <w:p>
      <w:pPr>
        <w:pStyle w:val="Titre1"/>
      </w:pPr>
      <w:r>
        <w:t xml:space="preserve">Liste des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p>
      <w:r>
        <w:br w:type="page"/>
      </w:r>
    </w:p>
    <w:bookmarkEnd w:id="30"/>
    <w:bookmarkStart w:id="31" w:name="liste-des-tables"/>
    <w:p>
      <w:pPr>
        <w:pStyle w:val="Titre1"/>
      </w:pPr>
      <w:r>
        <w:t xml:space="preserve">Liste des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31"/>
    <w:bookmarkStart w:id="34" w:name="X7e8b79f54cecca4bf4f625ea3748cb5c1162e0e"/>
    <w:p>
      <w:pPr>
        <w:pStyle w:val="Titre1"/>
      </w:pPr>
      <w:r>
        <w:t xml:space="preserve">Analyse de consistence des bases de données</w:t>
      </w:r>
    </w:p>
    <w:p>
      <w:pPr>
        <w:pStyle w:val="FirstParagraph"/>
      </w:pPr>
      <w:r>
        <w:t xml:space="preserve">L’analyse de consistance vise à s’assurer que les jeux de données sont structurellement corrects, internement cohérents, et prêts à être exploités pour les analyses statistiques.</w:t>
      </w:r>
      <w:r>
        <w:t xml:space="preserve"> </w:t>
      </w:r>
      <w:r>
        <w:t xml:space="preserve">Nous allons successivement :</w:t>
      </w:r>
    </w:p>
    <w:p>
      <w:pPr>
        <w:pStyle w:val="Corpsdetexte"/>
      </w:pPr>
      <w:r>
        <w:t xml:space="preserve">-Inspecter les structures des jeux base_mad et base_principale</w:t>
      </w:r>
    </w:p>
    <w:p>
      <w:pPr>
        <w:pStyle w:val="Corpsdetexte"/>
      </w:pPr>
      <w:r>
        <w:t xml:space="preserve">-Vérifier les valeurs manquantes et valeurs aberrantes</w:t>
      </w:r>
    </w:p>
    <w:p>
      <w:pPr>
        <w:pStyle w:val="Corpsdetexte"/>
      </w:pPr>
      <w:r>
        <w:t xml:space="preserve">-Contrôler la cohérence croisée (ex : présence des identifiants communs)</w:t>
      </w:r>
    </w:p>
    <w:p>
      <w:pPr>
        <w:pStyle w:val="Corpsdetexte"/>
      </w:pPr>
      <w:r>
        <w:t xml:space="preserve">-Identifier et documenter les corrections nécessaires</w:t>
      </w:r>
    </w:p>
    <w:bookmarkStart w:id="32" w:name="exploration-structurelle-des-bases"/>
    <w:p>
      <w:pPr>
        <w:pStyle w:val="Titre2"/>
      </w:pPr>
      <w:r>
        <w:t xml:space="preserve">Exploration structurelle des bases</w:t>
      </w:r>
    </w:p>
    <w:p>
      <w:pPr>
        <w:pStyle w:val="FirstParagraph"/>
      </w:pPr>
      <w:r>
        <w:t xml:space="preserve">L’objectif ici est de comprendre la structure et le contenu descriptif des bases base_mad et base_principale, à travers les étiquettes de variables fournies dans les fichiers.</w:t>
      </w:r>
      <w:r>
        <w:t xml:space="preserve"> </w:t>
      </w:r>
      <w:r>
        <w:t xml:space="preserve">Les étiquettes (label) permettent de savoir ce que mesure chaque variable, ce qui est fondamental pour interpréter les données de manière correcte et éviter les erreurs lors de l’analyse.</w:t>
      </w:r>
    </w:p>
    <w:p>
      <w:pPr>
        <w:pStyle w:val="SourceCode"/>
      </w:pPr>
      <w:r>
        <w:rPr>
          <w:rStyle w:val="VerbatimChar"/>
        </w:rPr>
        <w:t xml:space="preserve">## $MAD_sex</w:t>
      </w:r>
      <w:r>
        <w:br/>
      </w:r>
      <w:r>
        <w:rPr>
          <w:rStyle w:val="VerbatimChar"/>
        </w:rPr>
        <w:t xml:space="preserve">## Femme Homme </w:t>
      </w:r>
      <w:r>
        <w:br/>
      </w:r>
      <w:r>
        <w:rPr>
          <w:rStyle w:val="VerbatimChar"/>
        </w:rPr>
        <w:t xml:space="preserve">##     0     1 </w:t>
      </w:r>
      <w:r>
        <w:br/>
      </w:r>
      <w:r>
        <w:rPr>
          <w:rStyle w:val="VerbatimChar"/>
        </w:rPr>
        <w:t xml:space="preserve">## </w:t>
      </w:r>
      <w:r>
        <w:br/>
      </w:r>
      <w:r>
        <w:rPr>
          <w:rStyle w:val="VerbatimChar"/>
        </w:rPr>
        <w:t xml:space="preserve">## $MAD_resp_age</w:t>
      </w:r>
      <w:r>
        <w:br/>
      </w:r>
      <w:r>
        <w:rPr>
          <w:rStyle w:val="VerbatimChar"/>
        </w:rPr>
        <w:t xml:space="preserve">## [1] "Age en mois de ${MAD_name}"</w:t>
      </w:r>
      <w:r>
        <w:br/>
      </w:r>
      <w:r>
        <w:rPr>
          <w:rStyle w:val="VerbatimChar"/>
        </w:rPr>
        <w:t xml:space="preserve">## </w:t>
      </w:r>
      <w:r>
        <w:br/>
      </w:r>
      <w:r>
        <w:rPr>
          <w:rStyle w:val="VerbatimChar"/>
        </w:rPr>
        <w:t xml:space="preserve">## $EverBreastF</w:t>
      </w:r>
      <w:r>
        <w:br/>
      </w:r>
      <w:r>
        <w:rPr>
          <w:rStyle w:val="VerbatimChar"/>
        </w:rPr>
        <w:t xml:space="preserve">##         Non         Oui Ne sait pas </w:t>
      </w:r>
      <w:r>
        <w:br/>
      </w:r>
      <w:r>
        <w:rPr>
          <w:rStyle w:val="VerbatimChar"/>
        </w:rPr>
        <w:t xml:space="preserve">##           0           1         888 </w:t>
      </w:r>
      <w:r>
        <w:br/>
      </w:r>
      <w:r>
        <w:rPr>
          <w:rStyle w:val="VerbatimChar"/>
        </w:rPr>
        <w:t xml:space="preserve">## </w:t>
      </w:r>
      <w:r>
        <w:br/>
      </w:r>
      <w:r>
        <w:rPr>
          <w:rStyle w:val="VerbatimChar"/>
        </w:rPr>
        <w:t xml:space="preserve">## $PCIYCBreastF</w:t>
      </w:r>
      <w:r>
        <w:br/>
      </w:r>
      <w:r>
        <w:rPr>
          <w:rStyle w:val="VerbatimChar"/>
        </w:rPr>
        <w:t xml:space="preserve">##         Non         Oui Ne sait pas </w:t>
      </w:r>
      <w:r>
        <w:br/>
      </w:r>
      <w:r>
        <w:rPr>
          <w:rStyle w:val="VerbatimChar"/>
        </w:rPr>
        <w:t xml:space="preserve">##           0           1         888 </w:t>
      </w:r>
      <w:r>
        <w:br/>
      </w:r>
      <w:r>
        <w:rPr>
          <w:rStyle w:val="VerbatimChar"/>
        </w:rPr>
        <w:t xml:space="preserve">## </w:t>
      </w:r>
      <w:r>
        <w:br/>
      </w:r>
      <w:r>
        <w:rPr>
          <w:rStyle w:val="VerbatimChar"/>
        </w:rPr>
        <w:t xml:space="preserve">## $PCIYCInfFormNb</w:t>
      </w:r>
      <w:r>
        <w:br/>
      </w:r>
      <w:r>
        <w:rPr>
          <w:rStyle w:val="VerbatimChar"/>
        </w:rPr>
        <w:t xml:space="preserve">## [1] "Formule infantile"</w:t>
      </w:r>
      <w:r>
        <w:br/>
      </w:r>
      <w:r>
        <w:rPr>
          <w:rStyle w:val="VerbatimChar"/>
        </w:rPr>
        <w:t xml:space="preserve">## </w:t>
      </w:r>
      <w:r>
        <w:br/>
      </w:r>
      <w:r>
        <w:rPr>
          <w:rStyle w:val="VerbatimChar"/>
        </w:rPr>
        <w:t xml:space="preserve">## $PCIYCDairyMiNb</w:t>
      </w:r>
      <w:r>
        <w:br/>
      </w:r>
      <w:r>
        <w:rPr>
          <w:rStyle w:val="VerbatimChar"/>
        </w:rPr>
        <w:t xml:space="preserve">## [1] "Lait (en poudre, lait frais d'animaux, autre)"</w:t>
      </w:r>
    </w:p>
    <w:p>
      <w:pPr>
        <w:pStyle w:val="SourceCode"/>
      </w:pPr>
      <w:r>
        <w:rPr>
          <w:rStyle w:val="VerbatimChar"/>
        </w:rPr>
        <w:t xml:space="preserve">##                                           ID </w:t>
      </w:r>
      <w:r>
        <w:br/>
      </w:r>
      <w:r>
        <w:rPr>
          <w:rStyle w:val="VerbatimChar"/>
        </w:rPr>
        <w:t xml:space="preserve">##                                        "_id" </w:t>
      </w:r>
      <w:r>
        <w:br/>
      </w:r>
      <w:r>
        <w:rPr>
          <w:rStyle w:val="VerbatimChar"/>
        </w:rPr>
        <w:t xml:space="preserve">##                                      SvyDate </w:t>
      </w:r>
      <w:r>
        <w:br/>
      </w:r>
      <w:r>
        <w:rPr>
          <w:rStyle w:val="VerbatimChar"/>
        </w:rPr>
        <w:t xml:space="preserve">##                             "Interview Date" </w:t>
      </w:r>
      <w:r>
        <w:br/>
      </w:r>
      <w:r>
        <w:rPr>
          <w:rStyle w:val="VerbatimChar"/>
        </w:rPr>
        <w:t xml:space="preserve">##                                         YEAR </w:t>
      </w:r>
      <w:r>
        <w:br/>
      </w:r>
      <w:r>
        <w:rPr>
          <w:rStyle w:val="VerbatimChar"/>
        </w:rPr>
        <w:t xml:space="preserve">##                                      "Annee" </w:t>
      </w:r>
      <w:r>
        <w:br/>
      </w:r>
      <w:r>
        <w:rPr>
          <w:rStyle w:val="VerbatimChar"/>
        </w:rPr>
        <w:t xml:space="preserve">##                                     SvyMonth </w:t>
      </w:r>
      <w:r>
        <w:br/>
      </w:r>
      <w:r>
        <w:rPr>
          <w:rStyle w:val="VerbatimChar"/>
        </w:rPr>
        <w:t xml:space="preserve">## "Interview Month (imputed to link with IPC)" </w:t>
      </w:r>
      <w:r>
        <w:br/>
      </w:r>
      <w:r>
        <w:rPr>
          <w:rStyle w:val="VerbatimChar"/>
        </w:rPr>
        <w:t xml:space="preserve">##                                       SURVEY </w:t>
      </w:r>
      <w:r>
        <w:br/>
      </w:r>
      <w:r>
        <w:rPr>
          <w:rStyle w:val="VerbatimChar"/>
        </w:rPr>
        <w:t xml:space="preserve">##                             "Type d'enquête" </w:t>
      </w:r>
      <w:r>
        <w:br/>
      </w:r>
      <w:r>
        <w:rPr>
          <w:rStyle w:val="VerbatimChar"/>
        </w:rPr>
        <w:t xml:space="preserve">##                                   ADMIN0Name </w:t>
      </w:r>
      <w:r>
        <w:br/>
      </w:r>
      <w:r>
        <w:rPr>
          <w:rStyle w:val="VerbatimChar"/>
        </w:rPr>
        <w:t xml:space="preserve">##                                "Nom du pays"</w:t>
      </w:r>
    </w:p>
    <w:p>
      <w:pPr>
        <w:pStyle w:val="FirstParagraph"/>
      </w:pPr>
      <w:r>
        <w:rPr>
          <w:b/>
          <w:bCs/>
        </w:rPr>
        <w:t xml:space="preserve">Contenu de</w:t>
      </w:r>
      <w:r>
        <w:rPr>
          <w:b/>
          <w:bCs/>
        </w:rPr>
        <w:t xml:space="preserve"> </w:t>
      </w:r>
      <w:r>
        <w:rPr>
          <w:rStyle w:val="VerbatimChar"/>
          <w:b/>
          <w:bCs/>
        </w:rPr>
        <w:t xml:space="preserve">base_mad</w:t>
      </w:r>
    </w:p>
    <w:p>
      <w:pPr>
        <w:pStyle w:val="Corpsdetexte"/>
      </w:pPr>
      <w:r>
        <w:t xml:space="preserve">Cette base regroupe des informations sur les enfants de moins de 2 ans, en particulier :</w:t>
      </w:r>
    </w:p>
    <w:p>
      <w:pPr>
        <w:pStyle w:val="Compact"/>
        <w:numPr>
          <w:ilvl w:val="0"/>
          <w:numId w:val="1001"/>
        </w:numPr>
      </w:pPr>
      <w:r>
        <w:rPr>
          <w:b/>
          <w:bCs/>
        </w:rPr>
        <w:t xml:space="preserve">Données de base de l’enfant</w:t>
      </w:r>
      <w:r>
        <w:t xml:space="preserve"> </w:t>
      </w:r>
      <w:r>
        <w:t xml:space="preserve">:</w:t>
      </w:r>
    </w:p>
    <w:p>
      <w:pPr>
        <w:pStyle w:val="Compact"/>
        <w:numPr>
          <w:ilvl w:val="1"/>
          <w:numId w:val="1002"/>
        </w:numPr>
      </w:pPr>
      <w:r>
        <w:rPr>
          <w:rStyle w:val="VerbatimChar"/>
        </w:rPr>
        <w:t xml:space="preserve">MAD_sex</w:t>
      </w:r>
      <w:r>
        <w:t xml:space="preserve"> </w:t>
      </w:r>
      <w:r>
        <w:t xml:space="preserve">: sexe de l’enfant (0 = Femme, 1 = Homme)</w:t>
      </w:r>
    </w:p>
    <w:p>
      <w:pPr>
        <w:pStyle w:val="Compact"/>
        <w:numPr>
          <w:ilvl w:val="1"/>
          <w:numId w:val="1002"/>
        </w:numPr>
      </w:pPr>
      <w:r>
        <w:rPr>
          <w:rStyle w:val="VerbatimChar"/>
        </w:rPr>
        <w:t xml:space="preserve">MAD_resp_age</w:t>
      </w:r>
      <w:r>
        <w:t xml:space="preserve"> </w:t>
      </w:r>
      <w:r>
        <w:t xml:space="preserve">: âge en mois de l’enfant</w:t>
      </w:r>
    </w:p>
    <w:p>
      <w:pPr>
        <w:pStyle w:val="Compact"/>
        <w:numPr>
          <w:ilvl w:val="0"/>
          <w:numId w:val="1001"/>
        </w:numPr>
      </w:pPr>
      <w:r>
        <w:rPr>
          <w:b/>
          <w:bCs/>
        </w:rPr>
        <w:t xml:space="preserve">Habitudes alimentaires spécifiques</w:t>
      </w:r>
      <w:r>
        <w:t xml:space="preserve"> </w:t>
      </w:r>
      <w:r>
        <w:t xml:space="preserve">:</w:t>
      </w:r>
    </w:p>
    <w:p>
      <w:pPr>
        <w:pStyle w:val="Compact"/>
        <w:numPr>
          <w:ilvl w:val="1"/>
          <w:numId w:val="1003"/>
        </w:numPr>
      </w:pPr>
      <w:r>
        <w:rPr>
          <w:rStyle w:val="VerbatimChar"/>
        </w:rPr>
        <w:t xml:space="preserve">EverBreastF</w:t>
      </w:r>
      <w:r>
        <w:t xml:space="preserve">,</w:t>
      </w:r>
      <w:r>
        <w:t xml:space="preserve"> </w:t>
      </w:r>
      <w:r>
        <w:rPr>
          <w:rStyle w:val="VerbatimChar"/>
        </w:rPr>
        <w:t xml:space="preserve">PCIYCBreastF</w:t>
      </w:r>
      <w:r>
        <w:t xml:space="preserve"> </w:t>
      </w:r>
      <w:r>
        <w:t xml:space="preserve">: allaitement</w:t>
      </w:r>
    </w:p>
    <w:p>
      <w:pPr>
        <w:pStyle w:val="Compact"/>
        <w:numPr>
          <w:ilvl w:val="1"/>
          <w:numId w:val="1003"/>
        </w:numPr>
      </w:pPr>
      <w:r>
        <w:rPr>
          <w:rStyle w:val="VerbatimChar"/>
        </w:rPr>
        <w:t xml:space="preserve">PCIYCInfFormNb</w:t>
      </w:r>
      <w:r>
        <w:t xml:space="preserve">,</w:t>
      </w:r>
      <w:r>
        <w:t xml:space="preserve"> </w:t>
      </w:r>
      <w:r>
        <w:rPr>
          <w:rStyle w:val="VerbatimChar"/>
        </w:rPr>
        <w:t xml:space="preserve">PCIYCDairyMiNb</w:t>
      </w:r>
      <w:r>
        <w:t xml:space="preserve">,</w:t>
      </w:r>
      <w:r>
        <w:t xml:space="preserve"> </w:t>
      </w:r>
      <w:r>
        <w:rPr>
          <w:rStyle w:val="VerbatimChar"/>
        </w:rPr>
        <w:t xml:space="preserve">PCIYCStapPoNb</w:t>
      </w:r>
      <w:r>
        <w:t xml:space="preserve"> </w:t>
      </w:r>
      <w:r>
        <w:t xml:space="preserve">: consommation d’aliments spécifiques comme lait en poudre, yaourt, bouillie</w:t>
      </w:r>
    </w:p>
    <w:p>
      <w:pPr>
        <w:pStyle w:val="Compact"/>
        <w:numPr>
          <w:ilvl w:val="0"/>
          <w:numId w:val="1001"/>
        </w:numPr>
      </w:pPr>
      <w:r>
        <w:rPr>
          <w:b/>
          <w:bCs/>
        </w:rPr>
        <w:t xml:space="preserve">Divers groupes d’aliments</w:t>
      </w:r>
      <w:r>
        <w:t xml:space="preserve"> </w:t>
      </w:r>
      <w:r>
        <w:t xml:space="preserve">(préparés, végétaux, fruits, viandes, poissons, œufs, légumineuses, produits laitiers, huiles, sucreries, etc.) :</w:t>
      </w:r>
    </w:p>
    <w:p>
      <w:pPr>
        <w:pStyle w:val="Compact"/>
        <w:numPr>
          <w:ilvl w:val="1"/>
          <w:numId w:val="1004"/>
        </w:numPr>
      </w:pPr>
      <w:r>
        <w:t xml:space="preserve">Variables comme</w:t>
      </w:r>
      <w:r>
        <w:t xml:space="preserve"> </w:t>
      </w:r>
      <w:r>
        <w:rPr>
          <w:rStyle w:val="VerbatimChar"/>
        </w:rPr>
        <w:t xml:space="preserve">PCMADStapCer</w:t>
      </w:r>
      <w:r>
        <w:t xml:space="preserve">,</w:t>
      </w:r>
      <w:r>
        <w:t xml:space="preserve"> </w:t>
      </w:r>
      <w:r>
        <w:rPr>
          <w:rStyle w:val="VerbatimChar"/>
        </w:rPr>
        <w:t xml:space="preserve">PCMADVegOrg</w:t>
      </w:r>
      <w:r>
        <w:t xml:space="preserve">,</w:t>
      </w:r>
      <w:r>
        <w:t xml:space="preserve"> </w:t>
      </w:r>
      <w:r>
        <w:rPr>
          <w:rStyle w:val="VerbatimChar"/>
        </w:rPr>
        <w:t xml:space="preserve">PCMADPrMeatF</w:t>
      </w:r>
      <w:r>
        <w:t xml:space="preserve">,</w:t>
      </w:r>
      <w:r>
        <w:t xml:space="preserve"> </w:t>
      </w:r>
      <w:r>
        <w:rPr>
          <w:rStyle w:val="VerbatimChar"/>
        </w:rPr>
        <w:t xml:space="preserve">PCMADDairy</w:t>
      </w:r>
      <w:r>
        <w:t xml:space="preserve">, etc.</w:t>
      </w:r>
    </w:p>
    <w:p>
      <w:pPr>
        <w:pStyle w:val="Compact"/>
        <w:numPr>
          <w:ilvl w:val="1"/>
          <w:numId w:val="1004"/>
        </w:numPr>
      </w:pPr>
      <w:r>
        <w:t xml:space="preserve">Codage en : 0 (Non), 1 (Oui), 888 (Ne sait pas). Ces valeurs</w:t>
      </w:r>
      <w:r>
        <w:t xml:space="preserve"> </w:t>
      </w:r>
      <w:r>
        <w:rPr>
          <w:b/>
          <w:bCs/>
        </w:rPr>
        <w:t xml:space="preserve">888 devront être recodées</w:t>
      </w:r>
      <w:r>
        <w:t xml:space="preserve"> </w:t>
      </w:r>
      <w:r>
        <w:t xml:space="preserve">en</w:t>
      </w:r>
      <w:r>
        <w:t xml:space="preserve"> </w:t>
      </w:r>
      <w:r>
        <w:rPr>
          <w:rStyle w:val="VerbatimChar"/>
        </w:rPr>
        <w:t xml:space="preserve">NA</w:t>
      </w:r>
      <w:r>
        <w:t xml:space="preserve"> </w:t>
      </w:r>
      <w:r>
        <w:t xml:space="preserve">dans les étapes suivantes.</w:t>
      </w:r>
    </w:p>
    <w:p>
      <w:pPr>
        <w:pStyle w:val="Compact"/>
        <w:numPr>
          <w:ilvl w:val="0"/>
          <w:numId w:val="1001"/>
        </w:numPr>
      </w:pPr>
      <w:r>
        <w:rPr>
          <w:b/>
          <w:bCs/>
        </w:rPr>
        <w:t xml:space="preserve">Nombre de repas</w:t>
      </w:r>
      <w:r>
        <w:t xml:space="preserve"> </w:t>
      </w:r>
      <w:r>
        <w:t xml:space="preserve">:</w:t>
      </w:r>
    </w:p>
    <w:p>
      <w:pPr>
        <w:pStyle w:val="Compact"/>
        <w:numPr>
          <w:ilvl w:val="1"/>
          <w:numId w:val="1005"/>
        </w:numPr>
      </w:pPr>
      <w:r>
        <w:rPr>
          <w:rStyle w:val="VerbatimChar"/>
        </w:rPr>
        <w:t xml:space="preserve">PCIYCMeals</w:t>
      </w:r>
      <w:r>
        <w:t xml:space="preserve"> </w:t>
      </w:r>
      <w:r>
        <w:t xml:space="preserve">: nombre de fois que l’enfant a consommé des aliments solides ou semi-solides</w:t>
      </w:r>
    </w:p>
    <w:p>
      <w:pPr>
        <w:pStyle w:val="Compact"/>
        <w:numPr>
          <w:ilvl w:val="0"/>
          <w:numId w:val="1001"/>
        </w:numPr>
      </w:pPr>
      <w:r>
        <w:rPr>
          <w:b/>
          <w:bCs/>
        </w:rPr>
        <w:t xml:space="preserve">Identifiant</w:t>
      </w:r>
      <w:r>
        <w:t xml:space="preserve"> </w:t>
      </w:r>
      <w:r>
        <w:t xml:space="preserve">:</w:t>
      </w:r>
    </w:p>
    <w:p>
      <w:pPr>
        <w:pStyle w:val="Compact"/>
        <w:numPr>
          <w:ilvl w:val="1"/>
          <w:numId w:val="1006"/>
        </w:numPr>
      </w:pPr>
      <w:r>
        <w:rPr>
          <w:rStyle w:val="VerbatimChar"/>
        </w:rPr>
        <w:t xml:space="preserve">ID</w:t>
      </w:r>
      <w:r>
        <w:t xml:space="preserve"> </w:t>
      </w:r>
      <w:r>
        <w:t xml:space="preserve">: non labellisé, mais crucial pour le rattachement au ménage</w:t>
      </w:r>
    </w:p>
    <w:p>
      <w:pPr>
        <w:pStyle w:val="FirstParagraph"/>
      </w:pPr>
      <w:r>
        <w:t xml:space="preserve">Ainsi</w:t>
      </w:r>
      <w:r>
        <w:rPr>
          <w:rStyle w:val="VerbatimChar"/>
        </w:rPr>
        <w:t xml:space="preserve">base_mad</w:t>
      </w:r>
      <w:r>
        <w:t xml:space="preserve"> </w:t>
      </w:r>
      <w:r>
        <w:t xml:space="preserve">permet de reconstituer la diversité alimentaire infantile.</w:t>
      </w:r>
    </w:p>
    <w:p>
      <w:pPr>
        <w:pStyle w:val="Corpsdetexte"/>
      </w:pPr>
      <w:r>
        <w:rPr>
          <w:b/>
          <w:bCs/>
        </w:rPr>
        <w:t xml:space="preserve">Contenu de</w:t>
      </w:r>
      <w:r>
        <w:rPr>
          <w:b/>
          <w:bCs/>
        </w:rPr>
        <w:t xml:space="preserve"> </w:t>
      </w:r>
      <w:r>
        <w:rPr>
          <w:rStyle w:val="VerbatimChar"/>
          <w:b/>
          <w:bCs/>
        </w:rPr>
        <w:t xml:space="preserve">base_principale</w:t>
      </w:r>
    </w:p>
    <w:p>
      <w:pPr>
        <w:pStyle w:val="Corpsdetexte"/>
      </w:pPr>
      <w:r>
        <w:t xml:space="preserve">Cette base rassemble les informations du ménage dans lequel vit l’enfant :</w:t>
      </w:r>
    </w:p>
    <w:p>
      <w:pPr>
        <w:pStyle w:val="Compact"/>
        <w:numPr>
          <w:ilvl w:val="0"/>
          <w:numId w:val="1007"/>
        </w:numPr>
      </w:pPr>
      <w:r>
        <w:rPr>
          <w:b/>
          <w:bCs/>
        </w:rPr>
        <w:t xml:space="preserve">Identification géographique</w:t>
      </w:r>
      <w:r>
        <w:t xml:space="preserve"> </w:t>
      </w:r>
      <w:r>
        <w:t xml:space="preserve">:</w:t>
      </w:r>
    </w:p>
    <w:p>
      <w:pPr>
        <w:pStyle w:val="Compact"/>
        <w:numPr>
          <w:ilvl w:val="1"/>
          <w:numId w:val="1008"/>
        </w:numPr>
      </w:pPr>
      <w:r>
        <w:rPr>
          <w:rStyle w:val="VerbatimChar"/>
        </w:rPr>
        <w:t xml:space="preserve">ADMIN0Name</w:t>
      </w:r>
      <w:r>
        <w:t xml:space="preserve">,</w:t>
      </w:r>
      <w:r>
        <w:t xml:space="preserve"> </w:t>
      </w:r>
      <w:r>
        <w:rPr>
          <w:rStyle w:val="VerbatimChar"/>
        </w:rPr>
        <w:t xml:space="preserve">ADMIN1Name</w:t>
      </w:r>
      <w:r>
        <w:t xml:space="preserve">,</w:t>
      </w:r>
      <w:r>
        <w:t xml:space="preserve"> </w:t>
      </w:r>
      <w:r>
        <w:rPr>
          <w:rStyle w:val="VerbatimChar"/>
        </w:rPr>
        <w:t xml:space="preserve">ADMIN2Name</w:t>
      </w:r>
      <w:r>
        <w:t xml:space="preserve"> </w:t>
      </w:r>
      <w:r>
        <w:t xml:space="preserve">: pays, région, district</w:t>
      </w:r>
    </w:p>
    <w:p>
      <w:pPr>
        <w:pStyle w:val="Compact"/>
        <w:numPr>
          <w:ilvl w:val="1"/>
          <w:numId w:val="1008"/>
        </w:numPr>
      </w:pPr>
      <w:r>
        <w:rPr>
          <w:rStyle w:val="VerbatimChar"/>
        </w:rPr>
        <w:t xml:space="preserve">SvyDate</w:t>
      </w:r>
      <w:r>
        <w:t xml:space="preserve">,</w:t>
      </w:r>
      <w:r>
        <w:t xml:space="preserve"> </w:t>
      </w:r>
      <w:r>
        <w:rPr>
          <w:rStyle w:val="VerbatimChar"/>
        </w:rPr>
        <w:t xml:space="preserve">SvyMonth</w:t>
      </w:r>
      <w:r>
        <w:t xml:space="preserve">,</w:t>
      </w:r>
      <w:r>
        <w:t xml:space="preserve"> </w:t>
      </w:r>
      <w:r>
        <w:rPr>
          <w:rStyle w:val="VerbatimChar"/>
        </w:rPr>
        <w:t xml:space="preserve">SURVEY</w:t>
      </w:r>
      <w:r>
        <w:t xml:space="preserve">, etc. : métadonnées de collecte</w:t>
      </w:r>
    </w:p>
    <w:p>
      <w:pPr>
        <w:pStyle w:val="Compact"/>
        <w:numPr>
          <w:ilvl w:val="0"/>
          <w:numId w:val="1007"/>
        </w:numPr>
      </w:pPr>
      <w:r>
        <w:rPr>
          <w:b/>
          <w:bCs/>
        </w:rPr>
        <w:t xml:space="preserve">Caractéristiques démographiques du ménage</w:t>
      </w:r>
      <w:r>
        <w:t xml:space="preserve"> </w:t>
      </w:r>
      <w:r>
        <w:t xml:space="preserve">:</w:t>
      </w:r>
    </w:p>
    <w:p>
      <w:pPr>
        <w:pStyle w:val="Compact"/>
        <w:numPr>
          <w:ilvl w:val="1"/>
          <w:numId w:val="1009"/>
        </w:numPr>
      </w:pPr>
      <w:r>
        <w:rPr>
          <w:rStyle w:val="VerbatimChar"/>
        </w:rPr>
        <w:t xml:space="preserve">HHSize</w:t>
      </w:r>
      <w:r>
        <w:t xml:space="preserve">,</w:t>
      </w:r>
      <w:r>
        <w:t xml:space="preserve"> </w:t>
      </w:r>
      <w:r>
        <w:rPr>
          <w:rStyle w:val="VerbatimChar"/>
        </w:rPr>
        <w:t xml:space="preserve">HHSize05M</w:t>
      </w:r>
      <w:r>
        <w:t xml:space="preserve">,</w:t>
      </w:r>
      <w:r>
        <w:t xml:space="preserve"> </w:t>
      </w:r>
      <w:r>
        <w:rPr>
          <w:rStyle w:val="VerbatimChar"/>
        </w:rPr>
        <w:t xml:space="preserve">HHSize59F</w:t>
      </w:r>
      <w:r>
        <w:t xml:space="preserve">,</w:t>
      </w:r>
      <w:r>
        <w:t xml:space="preserve"> </w:t>
      </w:r>
      <w:r>
        <w:rPr>
          <w:rStyle w:val="VerbatimChar"/>
        </w:rPr>
        <w:t xml:space="preserve">HHSize1549M</w:t>
      </w:r>
      <w:r>
        <w:t xml:space="preserve">, etc. : tailles des sous-populations du ménage selon sexe et âge</w:t>
      </w:r>
    </w:p>
    <w:p>
      <w:pPr>
        <w:pStyle w:val="Compact"/>
        <w:numPr>
          <w:ilvl w:val="1"/>
          <w:numId w:val="1009"/>
        </w:numPr>
      </w:pPr>
      <w:r>
        <w:rPr>
          <w:rStyle w:val="VerbatimChar"/>
        </w:rPr>
        <w:t xml:space="preserve">HHHSex</w:t>
      </w:r>
      <w:r>
        <w:t xml:space="preserve">,</w:t>
      </w:r>
      <w:r>
        <w:t xml:space="preserve"> </w:t>
      </w:r>
      <w:r>
        <w:rPr>
          <w:rStyle w:val="VerbatimChar"/>
        </w:rPr>
        <w:t xml:space="preserve">HHHAge</w:t>
      </w:r>
      <w:r>
        <w:t xml:space="preserve">,</w:t>
      </w:r>
      <w:r>
        <w:t xml:space="preserve"> </w:t>
      </w:r>
      <w:r>
        <w:rPr>
          <w:rStyle w:val="VerbatimChar"/>
        </w:rPr>
        <w:t xml:space="preserve">HHHEdu</w:t>
      </w:r>
      <w:r>
        <w:t xml:space="preserve">,</w:t>
      </w:r>
      <w:r>
        <w:t xml:space="preserve"> </w:t>
      </w:r>
      <w:r>
        <w:rPr>
          <w:rStyle w:val="VerbatimChar"/>
        </w:rPr>
        <w:t xml:space="preserve">HHHMainActivity</w:t>
      </w:r>
      <w:r>
        <w:t xml:space="preserve">, etc. : caractéristiques du chef de ménage</w:t>
      </w:r>
    </w:p>
    <w:p>
      <w:pPr>
        <w:pStyle w:val="Compact"/>
        <w:numPr>
          <w:ilvl w:val="0"/>
          <w:numId w:val="1007"/>
        </w:numPr>
      </w:pPr>
      <w:r>
        <w:rPr>
          <w:b/>
          <w:bCs/>
        </w:rPr>
        <w:t xml:space="preserve">Scores alimentaires et indicateurs de sécurité alimentaire</w:t>
      </w:r>
      <w:r>
        <w:t xml:space="preserve"> </w:t>
      </w:r>
      <w:r>
        <w:t xml:space="preserve">:</w:t>
      </w:r>
    </w:p>
    <w:p>
      <w:pPr>
        <w:pStyle w:val="Compact"/>
        <w:numPr>
          <w:ilvl w:val="1"/>
          <w:numId w:val="1010"/>
        </w:numPr>
      </w:pPr>
      <w:r>
        <w:rPr>
          <w:rStyle w:val="VerbatimChar"/>
        </w:rPr>
        <w:t xml:space="preserve">HDDS_*</w:t>
      </w:r>
      <w:r>
        <w:t xml:space="preserve">,</w:t>
      </w:r>
      <w:r>
        <w:t xml:space="preserve"> </w:t>
      </w:r>
      <w:r>
        <w:rPr>
          <w:rStyle w:val="VerbatimChar"/>
        </w:rPr>
        <w:t xml:space="preserve">FCS*</w:t>
      </w:r>
      <w:r>
        <w:t xml:space="preserve">,</w:t>
      </w:r>
      <w:r>
        <w:t xml:space="preserve"> </w:t>
      </w:r>
      <w:r>
        <w:rPr>
          <w:rStyle w:val="VerbatimChar"/>
        </w:rPr>
        <w:t xml:space="preserve">rCSI*</w:t>
      </w:r>
      <w:r>
        <w:t xml:space="preserve">,</w:t>
      </w:r>
      <w:r>
        <w:t xml:space="preserve"> </w:t>
      </w:r>
      <w:r>
        <w:rPr>
          <w:rStyle w:val="VerbatimChar"/>
        </w:rPr>
        <w:t xml:space="preserve">LhCSI*</w:t>
      </w:r>
      <w:r>
        <w:t xml:space="preserve">, etc.</w:t>
      </w:r>
    </w:p>
    <w:p>
      <w:pPr>
        <w:pStyle w:val="Compact"/>
        <w:numPr>
          <w:ilvl w:val="1"/>
          <w:numId w:val="1010"/>
        </w:numPr>
      </w:pPr>
      <w:r>
        <w:t xml:space="preserve">Ils mesurent la diversité, la fréquence de consommation, ou encore les mécanismes d’adaptation aux chocs alimentaires</w:t>
      </w:r>
    </w:p>
    <w:p>
      <w:pPr>
        <w:pStyle w:val="FirstParagraph"/>
      </w:pPr>
      <w:r>
        <w:t xml:space="preserve">La</w:t>
      </w:r>
      <w:r>
        <w:t xml:space="preserve"> </w:t>
      </w:r>
      <w:r>
        <w:rPr>
          <w:rStyle w:val="VerbatimChar"/>
        </w:rPr>
        <w:t xml:space="preserve">base_principale</w:t>
      </w:r>
      <w:r>
        <w:t xml:space="preserve"> </w:t>
      </w:r>
      <w:r>
        <w:t xml:space="preserve">est la base socle pour les analyses de sécurité alimentaire à l’échelle du ménage.</w:t>
      </w:r>
    </w:p>
    <w:bookmarkEnd w:id="32"/>
    <w:bookmarkStart w:id="33" w:name="X633821b16abc63ff3ca3fd582ef1edd63a622e8"/>
    <w:p>
      <w:pPr>
        <w:pStyle w:val="Titre2"/>
      </w:pPr>
      <w:r>
        <w:t xml:space="preserve">Recodage des valeurs 888 (Ne sait pas) en NA</w:t>
      </w:r>
    </w:p>
    <w:p>
      <w:pPr>
        <w:pStyle w:val="FirstParagraph"/>
      </w:pPr>
      <w:r>
        <w:t xml:space="preserve">Dans la base base_mad, plusieurs variables utilisent le code 888 pour signifier que la réponse est</w:t>
      </w:r>
      <w:r>
        <w:t xml:space="preserve"> </w:t>
      </w:r>
      <w:r>
        <w:t xml:space="preserve">“</w:t>
      </w:r>
      <w:r>
        <w:t xml:space="preserve">ne sait pas</w:t>
      </w:r>
      <w:r>
        <w:t xml:space="preserve">”</w:t>
      </w:r>
      <w:r>
        <w:t xml:space="preserve">.</w:t>
      </w:r>
      <w:r>
        <w:t xml:space="preserve"> </w:t>
      </w:r>
      <w:r>
        <w:t xml:space="preserve">Ce code doit être converti en NA (valeur manquante standard en R) pour que les fonctions statistiques et graphiques n’interprètent pas 888 comme une valeur réelle.</w:t>
      </w:r>
    </w:p>
    <w:p>
      <w:pPr>
        <w:pStyle w:val="TableCaption"/>
      </w:pPr>
      <w:r>
        <w:t xml:space="preserve">Extrait du nombre de NA après recodage (valeurs 888)</w:t>
      </w:r>
    </w:p>
    <w:tbl>
      <w:tblPr>
        <w:tblStyle w:val="Table"/>
        <w:tblW w:type="auto" w:w="0"/>
        <w:tblLook w:firstRow="1" w:lastRow="0" w:firstColumn="0" w:lastColumn="0" w:noHBand="0" w:noVBand="0" w:val="0020"/>
        <w:tblCaption w:val="Extrait du nombre de NA après recodage (valeurs 888)"/>
      </w:tblPr>
      <w:tblGrid>
        <w:gridCol w:w="3960"/>
        <w:gridCol w:w="3960"/>
      </w:tblGrid>
      <w:tr>
        <w:trPr>
          <w:tblHeader w:val="on"/>
        </w:trPr>
        <w:tc>
          <w:tcPr/>
          <w:p>
            <w:pPr>
              <w:pStyle w:val="Compact"/>
              <w:jc w:val="left"/>
            </w:pPr>
            <w:r>
              <w:t xml:space="preserve">Variable</w:t>
            </w:r>
          </w:p>
        </w:tc>
        <w:tc>
          <w:tcPr/>
          <w:p>
            <w:pPr>
              <w:pStyle w:val="Compact"/>
              <w:jc w:val="right"/>
            </w:pPr>
            <w:r>
              <w:t xml:space="preserve">NA_apres_recodage</w:t>
            </w:r>
          </w:p>
        </w:tc>
      </w:tr>
      <w:tr>
        <w:tc>
          <w:tcPr/>
          <w:p>
            <w:pPr>
              <w:pStyle w:val="Compact"/>
              <w:jc w:val="left"/>
            </w:pPr>
            <w:r>
              <w:t xml:space="preserve">MAD_sex</w:t>
            </w:r>
          </w:p>
        </w:tc>
        <w:tc>
          <w:tcPr/>
          <w:p>
            <w:pPr>
              <w:pStyle w:val="Compact"/>
              <w:jc w:val="right"/>
            </w:pPr>
            <w:r>
              <w:t xml:space="preserve">0</w:t>
            </w:r>
          </w:p>
        </w:tc>
      </w:tr>
      <w:tr>
        <w:tc>
          <w:tcPr/>
          <w:p>
            <w:pPr>
              <w:pStyle w:val="Compact"/>
              <w:jc w:val="left"/>
            </w:pPr>
            <w:r>
              <w:t xml:space="preserve">MAD_resp_age</w:t>
            </w:r>
          </w:p>
        </w:tc>
        <w:tc>
          <w:tcPr/>
          <w:p>
            <w:pPr>
              <w:pStyle w:val="Compact"/>
              <w:jc w:val="right"/>
            </w:pPr>
            <w:r>
              <w:t xml:space="preserve">0</w:t>
            </w:r>
          </w:p>
        </w:tc>
      </w:tr>
      <w:tr>
        <w:tc>
          <w:tcPr/>
          <w:p>
            <w:pPr>
              <w:pStyle w:val="Compact"/>
              <w:jc w:val="left"/>
            </w:pPr>
            <w:r>
              <w:t xml:space="preserve">EverBreastF</w:t>
            </w:r>
          </w:p>
        </w:tc>
        <w:tc>
          <w:tcPr/>
          <w:p>
            <w:pPr>
              <w:pStyle w:val="Compact"/>
              <w:jc w:val="right"/>
            </w:pPr>
            <w:r>
              <w:t xml:space="preserve">13</w:t>
            </w:r>
          </w:p>
        </w:tc>
      </w:tr>
      <w:tr>
        <w:tc>
          <w:tcPr/>
          <w:p>
            <w:pPr>
              <w:pStyle w:val="Compact"/>
              <w:jc w:val="left"/>
            </w:pPr>
            <w:r>
              <w:t xml:space="preserve">PCIYCBreastF</w:t>
            </w:r>
          </w:p>
        </w:tc>
        <w:tc>
          <w:tcPr/>
          <w:p>
            <w:pPr>
              <w:pStyle w:val="Compact"/>
              <w:jc w:val="right"/>
            </w:pPr>
            <w:r>
              <w:t xml:space="preserve">7</w:t>
            </w:r>
          </w:p>
        </w:tc>
      </w:tr>
      <w:tr>
        <w:tc>
          <w:tcPr/>
          <w:p>
            <w:pPr>
              <w:pStyle w:val="Compact"/>
              <w:jc w:val="left"/>
            </w:pPr>
            <w:r>
              <w:t xml:space="preserve">PCIYCInfFormNb</w:t>
            </w:r>
          </w:p>
        </w:tc>
        <w:tc>
          <w:tcPr/>
          <w:p>
            <w:pPr>
              <w:pStyle w:val="Compact"/>
              <w:jc w:val="right"/>
            </w:pPr>
            <w:r>
              <w:t xml:space="preserve">0</w:t>
            </w:r>
          </w:p>
        </w:tc>
      </w:tr>
      <w:tr>
        <w:tc>
          <w:tcPr/>
          <w:p>
            <w:pPr>
              <w:pStyle w:val="Compact"/>
              <w:jc w:val="left"/>
            </w:pPr>
            <w:r>
              <w:t xml:space="preserve">PCIYCDairyMiNb</w:t>
            </w:r>
          </w:p>
        </w:tc>
        <w:tc>
          <w:tcPr/>
          <w:p>
            <w:pPr>
              <w:pStyle w:val="Compact"/>
              <w:jc w:val="right"/>
            </w:pPr>
            <w:r>
              <w:t xml:space="preserve">0</w:t>
            </w:r>
          </w:p>
        </w:tc>
      </w:tr>
      <w:tr>
        <w:tc>
          <w:tcPr/>
          <w:p>
            <w:pPr>
              <w:pStyle w:val="Compact"/>
              <w:jc w:val="left"/>
            </w:pPr>
            <w:r>
              <w:t xml:space="preserve">PCIYCDairyYoNb</w:t>
            </w:r>
          </w:p>
        </w:tc>
        <w:tc>
          <w:tcPr/>
          <w:p>
            <w:pPr>
              <w:pStyle w:val="Compact"/>
              <w:jc w:val="right"/>
            </w:pPr>
            <w:r>
              <w:t xml:space="preserve">0</w:t>
            </w:r>
          </w:p>
        </w:tc>
      </w:tr>
      <w:tr>
        <w:tc>
          <w:tcPr/>
          <w:p>
            <w:pPr>
              <w:pStyle w:val="Compact"/>
              <w:jc w:val="left"/>
            </w:pPr>
            <w:r>
              <w:t xml:space="preserve">PCIYCStapPoNb</w:t>
            </w:r>
          </w:p>
        </w:tc>
        <w:tc>
          <w:tcPr/>
          <w:p>
            <w:pPr>
              <w:pStyle w:val="Compact"/>
              <w:jc w:val="right"/>
            </w:pPr>
            <w:r>
              <w:t xml:space="preserve">0</w:t>
            </w:r>
          </w:p>
        </w:tc>
      </w:tr>
      <w:tr>
        <w:tc>
          <w:tcPr/>
          <w:p>
            <w:pPr>
              <w:pStyle w:val="Compact"/>
              <w:jc w:val="left"/>
            </w:pPr>
            <w:r>
              <w:t xml:space="preserve">PCMADStapCer</w:t>
            </w:r>
          </w:p>
        </w:tc>
        <w:tc>
          <w:tcPr/>
          <w:p>
            <w:pPr>
              <w:pStyle w:val="Compact"/>
              <w:jc w:val="right"/>
            </w:pPr>
            <w:r>
              <w:t xml:space="preserve">11</w:t>
            </w:r>
          </w:p>
        </w:tc>
      </w:tr>
      <w:tr>
        <w:tc>
          <w:tcPr/>
          <w:p>
            <w:pPr>
              <w:pStyle w:val="Compact"/>
              <w:jc w:val="left"/>
            </w:pPr>
            <w:r>
              <w:t xml:space="preserve">PCMADVegOrg</w:t>
            </w:r>
          </w:p>
        </w:tc>
        <w:tc>
          <w:tcPr/>
          <w:p>
            <w:pPr>
              <w:pStyle w:val="Compact"/>
              <w:jc w:val="right"/>
            </w:pPr>
            <w:r>
              <w:t xml:space="preserve">21</w:t>
            </w:r>
          </w:p>
        </w:tc>
      </w:tr>
      <w:tr>
        <w:tc>
          <w:tcPr/>
          <w:p>
            <w:pPr>
              <w:pStyle w:val="Compact"/>
              <w:jc w:val="left"/>
            </w:pPr>
            <w:r>
              <w:t xml:space="preserve">PCMADStapRoo</w:t>
            </w:r>
          </w:p>
        </w:tc>
        <w:tc>
          <w:tcPr/>
          <w:p>
            <w:pPr>
              <w:pStyle w:val="Compact"/>
              <w:jc w:val="right"/>
            </w:pPr>
            <w:r>
              <w:t xml:space="preserve">14</w:t>
            </w:r>
          </w:p>
        </w:tc>
      </w:tr>
      <w:tr>
        <w:tc>
          <w:tcPr/>
          <w:p>
            <w:pPr>
              <w:pStyle w:val="Compact"/>
              <w:jc w:val="left"/>
            </w:pPr>
            <w:r>
              <w:t xml:space="preserve">PCMADVegGre</w:t>
            </w:r>
          </w:p>
        </w:tc>
        <w:tc>
          <w:tcPr/>
          <w:p>
            <w:pPr>
              <w:pStyle w:val="Compact"/>
              <w:jc w:val="right"/>
            </w:pPr>
            <w:r>
              <w:t xml:space="preserve">23</w:t>
            </w:r>
          </w:p>
        </w:tc>
      </w:tr>
      <w:tr>
        <w:tc>
          <w:tcPr/>
          <w:p>
            <w:pPr>
              <w:pStyle w:val="Compact"/>
              <w:jc w:val="left"/>
            </w:pPr>
            <w:r>
              <w:t xml:space="preserve">PCMADFruitOrg</w:t>
            </w:r>
          </w:p>
        </w:tc>
        <w:tc>
          <w:tcPr/>
          <w:p>
            <w:pPr>
              <w:pStyle w:val="Compact"/>
              <w:jc w:val="right"/>
            </w:pPr>
            <w:r>
              <w:t xml:space="preserve">19</w:t>
            </w:r>
          </w:p>
        </w:tc>
      </w:tr>
      <w:tr>
        <w:tc>
          <w:tcPr/>
          <w:p>
            <w:pPr>
              <w:pStyle w:val="Compact"/>
              <w:jc w:val="left"/>
            </w:pPr>
            <w:r>
              <w:t xml:space="preserve">PCMADVegFruitOth</w:t>
            </w:r>
          </w:p>
        </w:tc>
        <w:tc>
          <w:tcPr/>
          <w:p>
            <w:pPr>
              <w:pStyle w:val="Compact"/>
              <w:jc w:val="right"/>
            </w:pPr>
            <w:r>
              <w:t xml:space="preserve">13</w:t>
            </w:r>
          </w:p>
        </w:tc>
      </w:tr>
      <w:tr>
        <w:tc>
          <w:tcPr/>
          <w:p>
            <w:pPr>
              <w:pStyle w:val="Compact"/>
              <w:jc w:val="left"/>
            </w:pPr>
            <w:r>
              <w:t xml:space="preserve">PCMADPrMeatO</w:t>
            </w:r>
          </w:p>
        </w:tc>
        <w:tc>
          <w:tcPr/>
          <w:p>
            <w:pPr>
              <w:pStyle w:val="Compact"/>
              <w:jc w:val="right"/>
            </w:pPr>
            <w:r>
              <w:t xml:space="preserve">17</w:t>
            </w:r>
          </w:p>
        </w:tc>
      </w:tr>
    </w:tbl>
    <w:p>
      <w:pPr>
        <w:pStyle w:val="Compact"/>
        <w:numPr>
          <w:ilvl w:val="0"/>
          <w:numId w:val="1011"/>
        </w:numPr>
      </w:pPr>
      <w:r>
        <w:t xml:space="preserve">Le recodage a été appliqué</w:t>
      </w:r>
      <w:r>
        <w:t xml:space="preserve"> </w:t>
      </w:r>
      <w:r>
        <w:rPr>
          <w:b/>
          <w:bCs/>
        </w:rPr>
        <w:t xml:space="preserve">uniquement aux variables numériques</w:t>
      </w:r>
      <w:r>
        <w:t xml:space="preserve">, car le code 888 est un entier, et on évite ainsi de modifier des colonnes textuelles par erreur.</w:t>
      </w:r>
    </w:p>
    <w:p>
      <w:pPr>
        <w:pStyle w:val="Compact"/>
        <w:numPr>
          <w:ilvl w:val="0"/>
          <w:numId w:val="1011"/>
        </w:numPr>
      </w:pPr>
      <w:r>
        <w:t xml:space="preserve">La fonction</w:t>
      </w:r>
      <w:r>
        <w:t xml:space="preserve"> </w:t>
      </w:r>
      <w:r>
        <w:rPr>
          <w:rStyle w:val="VerbatimChar"/>
        </w:rPr>
        <w:t xml:space="preserve">na_if(., 888)</w:t>
      </w:r>
      <w:r>
        <w:t xml:space="preserve"> </w:t>
      </w:r>
      <w:r>
        <w:t xml:space="preserve">remplace chaque 888 par</w:t>
      </w:r>
      <w:r>
        <w:t xml:space="preserve"> </w:t>
      </w:r>
      <w:r>
        <w:rPr>
          <w:rStyle w:val="VerbatimChar"/>
        </w:rPr>
        <w:t xml:space="preserve">NA</w:t>
      </w:r>
      <w:r>
        <w:t xml:space="preserve">, ce qui permet aux fonctions statistiques (</w:t>
      </w:r>
      <w:r>
        <w:rPr>
          <w:rStyle w:val="VerbatimChar"/>
        </w:rPr>
        <w:t xml:space="preserve">mean()</w:t>
      </w:r>
      <w:r>
        <w:t xml:space="preserve">,</w:t>
      </w:r>
      <w:r>
        <w:t xml:space="preserve"> </w:t>
      </w:r>
      <w:r>
        <w:rPr>
          <w:rStyle w:val="VerbatimChar"/>
        </w:rPr>
        <w:t xml:space="preserve">lm()</w:t>
      </w:r>
      <w:r>
        <w:t xml:space="preserve">,</w:t>
      </w:r>
      <w:r>
        <w:t xml:space="preserve"> </w:t>
      </w:r>
      <w:r>
        <w:rPr>
          <w:rStyle w:val="VerbatimChar"/>
        </w:rPr>
        <w:t xml:space="preserve">summary()</w:t>
      </w:r>
      <w:r>
        <w:t xml:space="preserve">, etc.) d’ignorer ces cas comme des valeurs manquantes normales.</w:t>
      </w:r>
    </w:p>
    <w:p>
      <w:pPr>
        <w:pStyle w:val="Compact"/>
        <w:numPr>
          <w:ilvl w:val="0"/>
          <w:numId w:val="1011"/>
        </w:numPr>
      </w:pPr>
      <w:r>
        <w:t xml:space="preserve">Un tableau récapitulatif (</w:t>
      </w:r>
      <w:r>
        <w:rPr>
          <w:rStyle w:val="VerbatimChar"/>
        </w:rPr>
        <w:t xml:space="preserve">na_counts</w:t>
      </w:r>
      <w:r>
        <w:t xml:space="preserve">) a été généré pour vérifier le bon déroulement du recodage.</w:t>
      </w:r>
    </w:p>
    <w:p>
      <w:pPr>
        <w:pStyle w:val="Compact"/>
        <w:numPr>
          <w:ilvl w:val="0"/>
          <w:numId w:val="1011"/>
        </w:numPr>
      </w:pPr>
      <w:r>
        <w:t xml:space="preserve">Ce traitement est essentiel pour garantir la</w:t>
      </w:r>
      <w:r>
        <w:t xml:space="preserve"> </w:t>
      </w:r>
      <w:r>
        <w:rPr>
          <w:b/>
          <w:bCs/>
        </w:rPr>
        <w:t xml:space="preserve">qualité statistique</w:t>
      </w:r>
      <w:r>
        <w:t xml:space="preserve"> </w:t>
      </w:r>
      <w:r>
        <w:t xml:space="preserve">de l’analyse à venir.</w:t>
      </w:r>
    </w:p>
    <w:p>
      <w:r>
        <w:br w:type="page"/>
      </w:r>
    </w:p>
    <w:bookmarkEnd w:id="33"/>
    <w:bookmarkEnd w:id="34"/>
    <w:bookmarkStart w:id="40" w:name="analyse-socio-demographique-des-ménages"/>
    <w:p>
      <w:pPr>
        <w:pStyle w:val="Titre1"/>
      </w:pPr>
      <w:r>
        <w:t xml:space="preserve">Analyse socio-demographique des ménages</w:t>
      </w:r>
    </w:p>
    <w:p>
      <w:pPr>
        <w:pStyle w:val="FirstParagraph"/>
      </w:pPr>
      <w:r>
        <w:t xml:space="preserve">Cette partie a pour but de produire un tableau descriptif des principales caractéristiques</w:t>
      </w:r>
      <w:r>
        <w:t xml:space="preserve"> </w:t>
      </w:r>
      <w:r>
        <w:t xml:space="preserve">socio-démographiques des ménages. Les variables choisies permettent de comprendre :</w:t>
      </w:r>
      <w:r>
        <w:t xml:space="preserve"> </w:t>
      </w:r>
      <w:r>
        <w:t xml:space="preserve">la structure du ménage (taille), le profil du chef de ménage (sexe, âge, éducation, statut matrimonial), et la localisation géographique (région administrative).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Caractéristiques socio-démographiques des ménages</w:t>
      </w:r>
    </w:p>
    <w:tbl xmlns:w14="http://schemas.microsoft.com/office/word/2010/wordml">
      <w:tblPr>
        <w:tblLayout w:type="autofit"/>
        <w:jc w:val="center"/>
        <w:tblW w:type="pct" w:w="0"/>
        <w:tblLook w:firstRow="1" w:lastRow="0" w:firstColumn="0" w:lastColumn="0" w:noHBand="0" w:noVBand="1"/>
      </w:tblPr>
      <w:tr>
        <w:trPr>
          <w:trHeight w:val="28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N = 8,950</w:t>
            </w:r>
            <w:r>
              <w:rPr>
                <w:rFonts w:ascii="Arial" w:hAnsi="Arial" w:eastAsia="Arial" w:cs="Arial"/>
                <w:i w:val="false"/>
                <w:b w:val="false"/>
                <w:u w:val="none"/>
                <w:vertAlign w:val="superscript"/>
                <w:sz w:val="16"/>
                <w:szCs w:val="16"/>
                <w:color w:val="000000"/>
              </w:rPr>
              <w:t xml:space="preserve">1</w:t>
            </w:r>
          </w:p>
        </w:tc>
      </w:tr>
      <w:tr>
        <w:trPr>
          <w:trHeight w:val="29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Taille du ménage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7.55 ± 12.90</w:t>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Sexe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3,938 (44%)</w:t>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5,012 (56%)</w:t>
            </w:r>
          </w:p>
        </w:tc>
      </w:tr>
      <w:tr>
        <w:trPr>
          <w:trHeight w:val="3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Âge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43 ± 13</w:t>
            </w:r>
          </w:p>
        </w:tc>
      </w:tr>
      <w:tr>
        <w:trPr>
          <w:trHeight w:val="2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Niveau d'éducation du chef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1,827 (31%)</w:t>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3,684 (62%)</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265 (4.5%)</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126 (2.1%)</w:t>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24 (0.4%)</w:t>
            </w:r>
          </w:p>
        </w:tc>
      </w:tr>
      <w:tr>
        <w:trPr>
          <w:trHeight w:val="26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Statut matrimonial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NA ± NA</w:t>
            </w:r>
          </w:p>
        </w:tc>
      </w:tr>
      <w:tr>
        <w:trPr>
          <w:trHeight w:val="29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Région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Barh-El-Gazel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1,200 (13%)</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Batha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1,605 (18%)</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Ennedi 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229 (2.6%)</w:t>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Guera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1,399 (16%)</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Kanem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1,234 (14%)</w:t>
            </w:r>
          </w:p>
        </w:tc>
      </w:tr>
      <w:tr>
        <w:trPr>
          <w:trHeight w:val="29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Lac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1,418 (16%)</w:t>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Ouaddai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928 (10%)</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Salamat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480 (5.4%)</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Sila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446 (5.0%)</w:t>
            </w:r>
          </w:p>
        </w:tc>
      </w:tr>
      <w:tr>
        <w:trPr>
          <w:trHeight w:val="294"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Wadi Fira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11 (0.1%)</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Mean ± SD; n (%)</w:t>
            </w:r>
          </w:p>
        </w:tc>
      </w:tr>
    </w:tbl>
    <w:p>
      <w:pPr>
        <w:pStyle w:val="Corpsdetexte"/>
      </w:pPr>
      <w:r>
        <w:rPr>
          <w:b/>
          <w:bCs/>
        </w:rPr>
        <w:t xml:space="preserve">Analyse des caractéristiques socio-démographiques des ménages</w:t>
      </w:r>
    </w:p>
    <w:p>
      <w:pPr>
        <w:pStyle w:val="Corpsdetexte"/>
      </w:pPr>
      <w:r>
        <w:t xml:space="preserve">Le tableau ci-dessus décrit les principales caractéristiques des ménages enquêtés (N = 8 950) :</w:t>
      </w:r>
    </w:p>
    <w:p>
      <w:pPr>
        <w:numPr>
          <w:ilvl w:val="0"/>
          <w:numId w:val="1012"/>
        </w:numPr>
      </w:pPr>
      <w:r>
        <w:rPr>
          <w:b/>
          <w:bCs/>
        </w:rPr>
        <w:t xml:space="preserve">Taille du ménage</w:t>
      </w:r>
      <w:r>
        <w:t xml:space="preserve"> </w:t>
      </w:r>
      <w:r>
        <w:t xml:space="preserve">: La taille moyenne est de</w:t>
      </w:r>
      <w:r>
        <w:t xml:space="preserve"> </w:t>
      </w:r>
      <w:r>
        <w:rPr>
          <w:b/>
          <w:bCs/>
        </w:rPr>
        <w:t xml:space="preserve">7,55 personnes</w:t>
      </w:r>
      <w:r>
        <w:t xml:space="preserve"> </w:t>
      </w:r>
      <w:r>
        <w:t xml:space="preserve">avec un écart-type de 12,90, ce qui suggère une forte variabilité entre les ménages. Cette moyenne relativement élevée est cohérente avec des structures familiales élargies souvent observées dans certains contextes sahéliens.</w:t>
      </w:r>
    </w:p>
    <w:p>
      <w:pPr>
        <w:numPr>
          <w:ilvl w:val="0"/>
          <w:numId w:val="1012"/>
        </w:numPr>
      </w:pPr>
      <w:r>
        <w:rPr>
          <w:b/>
          <w:bCs/>
        </w:rPr>
        <w:t xml:space="preserve">Sexe du chef de ménage</w:t>
      </w:r>
      <w:r>
        <w:t xml:space="preserve"> </w:t>
      </w:r>
      <w:r>
        <w:t xml:space="preserve">:</w:t>
      </w:r>
      <w:r>
        <w:t xml:space="preserve"> </w:t>
      </w:r>
      <w:r>
        <w:rPr>
          <w:b/>
          <w:bCs/>
        </w:rPr>
        <w:t xml:space="preserve">56 %</w:t>
      </w:r>
      <w:r>
        <w:t xml:space="preserve"> </w:t>
      </w:r>
      <w:r>
        <w:t xml:space="preserve">des chefs de ménage sont de sexe</w:t>
      </w:r>
      <w:r>
        <w:t xml:space="preserve"> </w:t>
      </w:r>
      <w:r>
        <w:rPr>
          <w:b/>
          <w:bCs/>
        </w:rPr>
        <w:t xml:space="preserve">masculin</w:t>
      </w:r>
      <w:r>
        <w:t xml:space="preserve"> </w:t>
      </w:r>
      <w:r>
        <w:t xml:space="preserve">contre</w:t>
      </w:r>
      <w:r>
        <w:t xml:space="preserve"> </w:t>
      </w:r>
      <w:r>
        <w:rPr>
          <w:b/>
          <w:bCs/>
        </w:rPr>
        <w:t xml:space="preserve">44 %</w:t>
      </w:r>
      <w:r>
        <w:t xml:space="preserve"> </w:t>
      </w:r>
      <w:r>
        <w:t xml:space="preserve">de sexe féminin. Cela traduit une répartition encore majoritairement masculine, bien que la proportion de femmes à la tête des ménages soit non négligeable.</w:t>
      </w:r>
    </w:p>
    <w:p>
      <w:pPr>
        <w:numPr>
          <w:ilvl w:val="0"/>
          <w:numId w:val="1012"/>
        </w:numPr>
      </w:pPr>
      <w:r>
        <w:rPr>
          <w:b/>
          <w:bCs/>
        </w:rPr>
        <w:t xml:space="preserve">Âge du chef de ménage</w:t>
      </w:r>
      <w:r>
        <w:t xml:space="preserve"> </w:t>
      </w:r>
      <w:r>
        <w:t xml:space="preserve">: L’âge moyen des chefs de ménage est de</w:t>
      </w:r>
      <w:r>
        <w:t xml:space="preserve"> </w:t>
      </w:r>
      <w:r>
        <w:rPr>
          <w:b/>
          <w:bCs/>
        </w:rPr>
        <w:t xml:space="preserve">43 ans</w:t>
      </w:r>
      <w:r>
        <w:t xml:space="preserve">, avec une dispersion (écart-type) de 13 ans. Cela montre une population adulte, potentiellement en âge actif et décisionnel au sein du ménage.</w:t>
      </w:r>
    </w:p>
    <w:p>
      <w:pPr>
        <w:numPr>
          <w:ilvl w:val="0"/>
          <w:numId w:val="1012"/>
        </w:numPr>
      </w:pPr>
      <w:r>
        <w:rPr>
          <w:b/>
          <w:bCs/>
        </w:rPr>
        <w:t xml:space="preserve">Niveau d’éducation du chef</w:t>
      </w:r>
      <w:r>
        <w:t xml:space="preserve"> </w:t>
      </w:r>
      <w:r>
        <w:t xml:space="preserve">: La variable présente une répartition marquée :</w:t>
      </w:r>
      <w:r>
        <w:t xml:space="preserve"> </w:t>
      </w:r>
      <w:r>
        <w:rPr>
          <w:b/>
          <w:bCs/>
        </w:rPr>
        <w:t xml:space="preserve">62 %</w:t>
      </w:r>
      <w:r>
        <w:t xml:space="preserve"> </w:t>
      </w:r>
      <w:r>
        <w:t xml:space="preserve">des chefs ont atteint le niveau</w:t>
      </w:r>
      <w:r>
        <w:t xml:space="preserve"> </w:t>
      </w:r>
      <w:r>
        <w:rPr>
          <w:b/>
          <w:bCs/>
        </w:rPr>
        <w:t xml:space="preserve">2</w:t>
      </w:r>
      <w:r>
        <w:t xml:space="preserve">, tandis que</w:t>
      </w:r>
      <w:r>
        <w:t xml:space="preserve"> </w:t>
      </w:r>
      <w:r>
        <w:rPr>
          <w:b/>
          <w:bCs/>
        </w:rPr>
        <w:t xml:space="preserve">31 %</w:t>
      </w:r>
      <w:r>
        <w:t xml:space="preserve"> </w:t>
      </w:r>
      <w:r>
        <w:t xml:space="preserve">se situent au niveau</w:t>
      </w:r>
      <w:r>
        <w:t xml:space="preserve"> </w:t>
      </w:r>
      <w:r>
        <w:rPr>
          <w:b/>
          <w:bCs/>
        </w:rPr>
        <w:t xml:space="preserve">1</w:t>
      </w:r>
      <w:r>
        <w:t xml:space="preserve">, indiquant un niveau globalement faible ou modéré d’instruction dans la population étudiée.</w:t>
      </w:r>
    </w:p>
    <w:p>
      <w:pPr>
        <w:numPr>
          <w:ilvl w:val="0"/>
          <w:numId w:val="1012"/>
        </w:numPr>
      </w:pPr>
      <w:r>
        <w:rPr>
          <w:b/>
          <w:bCs/>
        </w:rPr>
        <w:t xml:space="preserve">Statut matrimonial</w:t>
      </w:r>
      <w:r>
        <w:t xml:space="preserve"> </w:t>
      </w:r>
      <w:r>
        <w:t xml:space="preserve">: Les données sur cette variable sont manquantes (</w:t>
      </w:r>
      <w:r>
        <w:rPr>
          <w:rStyle w:val="VerbatimChar"/>
        </w:rPr>
        <w:t xml:space="preserve">NA</w:t>
      </w:r>
      <w:r>
        <w:t xml:space="preserve">), ce qui empêche une interprétation fiable à ce stade. Une vérification ou un recodage pourrait être envisagé.</w:t>
      </w:r>
    </w:p>
    <w:p>
      <w:pPr>
        <w:numPr>
          <w:ilvl w:val="0"/>
          <w:numId w:val="1012"/>
        </w:numPr>
      </w:pPr>
      <w:r>
        <w:rPr>
          <w:b/>
          <w:bCs/>
        </w:rPr>
        <w:t xml:space="preserve">Région</w:t>
      </w:r>
      <w:r>
        <w:t xml:space="preserve"> </w:t>
      </w:r>
      <w:r>
        <w:t xml:space="preserve">: Les ménages sont répartis sur plusieurs régions administratives, avec des proportions relativement équilibrées dans les zones comme</w:t>
      </w:r>
      <w:r>
        <w:t xml:space="preserve"> </w:t>
      </w:r>
      <w:r>
        <w:rPr>
          <w:b/>
          <w:bCs/>
        </w:rPr>
        <w:t xml:space="preserve">Batha (18 %)</w:t>
      </w:r>
      <w:r>
        <w:t xml:space="preserve">,</w:t>
      </w:r>
      <w:r>
        <w:t xml:space="preserve"> </w:t>
      </w:r>
      <w:r>
        <w:rPr>
          <w:b/>
          <w:bCs/>
        </w:rPr>
        <w:t xml:space="preserve">Lac (16 %)</w:t>
      </w:r>
      <w:r>
        <w:t xml:space="preserve">,</w:t>
      </w:r>
      <w:r>
        <w:t xml:space="preserve"> </w:t>
      </w:r>
      <w:r>
        <w:rPr>
          <w:b/>
          <w:bCs/>
        </w:rPr>
        <w:t xml:space="preserve">Guera (16 %)</w:t>
      </w:r>
      <w:r>
        <w:t xml:space="preserve">, et</w:t>
      </w:r>
      <w:r>
        <w:t xml:space="preserve"> </w:t>
      </w:r>
      <w:r>
        <w:rPr>
          <w:b/>
          <w:bCs/>
        </w:rPr>
        <w:t xml:space="preserve">Barh-El-Gazel (13 %)</w:t>
      </w:r>
      <w:r>
        <w:t xml:space="preserve">. Certaines régions comme</w:t>
      </w:r>
      <w:r>
        <w:t xml:space="preserve"> </w:t>
      </w:r>
      <w:r>
        <w:rPr>
          <w:b/>
          <w:bCs/>
        </w:rPr>
        <w:t xml:space="preserve">Wadi Fira (0,1 %)</w:t>
      </w:r>
      <w:r>
        <w:t xml:space="preserve"> </w:t>
      </w:r>
      <w:r>
        <w:t xml:space="preserve">ou</w:t>
      </w:r>
      <w:r>
        <w:t xml:space="preserve"> </w:t>
      </w:r>
      <w:r>
        <w:rPr>
          <w:b/>
          <w:bCs/>
        </w:rPr>
        <w:t xml:space="preserve">Salamat (5,4 %)</w:t>
      </w:r>
      <w:r>
        <w:t xml:space="preserve"> </w:t>
      </w:r>
      <w:r>
        <w:t xml:space="preserve">sont sous-représentées, ce qui peut traduire soit une faible densité de population, soit un échantillonnage limité dans ces zones.</w:t>
      </w:r>
    </w:p>
    <w:p>
      <w:r>
        <w:br w:type="page"/>
      </w:r>
    </w:p>
    <w:p>
      <w:pPr>
        <w:pStyle w:val="FirstParagraph"/>
      </w:pPr>
      <w:r>
        <w:t xml:space="preserve">#Score de consommation alimentaire</w:t>
      </w:r>
    </w:p>
    <w:bookmarkStart w:id="35" w:name="X3a5478faa3f16ed5fb9d767ffca067b1004b99b"/>
    <w:p>
      <w:pPr>
        <w:pStyle w:val="Titre2"/>
      </w:pPr>
      <w:r>
        <w:t xml:space="preserve">Analyse descriptive des composantes du SCA</w:t>
      </w:r>
    </w:p>
    <w:p>
      <w:pPr>
        <w:pStyle w:val="FirstParagraph"/>
      </w:pPr>
      <w:r>
        <w:t xml:space="preserve">Ici, nous réalisons une analyse descriptive des composantes du Score de Consommation Alimentaire (SCA).</w:t>
      </w:r>
      <w:r>
        <w:t xml:space="preserve"> </w:t>
      </w:r>
      <w:r>
        <w:t xml:space="preserve">Le SCA est construit à partir de la fréquence de consommation (sur 7 jours) de différents groupes alimentaires,</w:t>
      </w:r>
      <w:r>
        <w:t xml:space="preserve"> </w:t>
      </w:r>
      <w:r>
        <w:t xml:space="preserve">pondérés selon leur valeur nutritionnelle. L’analyse descriptive suivante permet d’examiner la distribution de</w:t>
      </w:r>
      <w:r>
        <w:t xml:space="preserve"> </w:t>
      </w:r>
      <w:r>
        <w:t xml:space="preserve">chaque groupe avant le calcul du score composite.</w:t>
      </w:r>
    </w:p>
    <w:p>
      <w:pPr>
        <w:pStyle w:val="Compact"/>
        <w:numPr>
          <w:ilvl w:val="0"/>
          <w:numId w:val="1013"/>
        </w:numPr>
      </w:pPr>
      <w:r>
        <w:t xml:space="preserve">Les variables utilisées (ex. :</w:t>
      </w:r>
      <w:r>
        <w:t xml:space="preserve"> </w:t>
      </w:r>
      <w:r>
        <w:rPr>
          <w:rStyle w:val="VerbatimChar"/>
        </w:rPr>
        <w:t xml:space="preserve">FCSStap</w:t>
      </w:r>
      <w:r>
        <w:t xml:space="preserve">,</w:t>
      </w:r>
      <w:r>
        <w:t xml:space="preserve"> </w:t>
      </w:r>
      <w:r>
        <w:rPr>
          <w:rStyle w:val="VerbatimChar"/>
        </w:rPr>
        <w:t xml:space="preserve">FCSPulse</w:t>
      </w:r>
      <w:r>
        <w:t xml:space="preserve">, etc.) correspondent aux</w:t>
      </w:r>
      <w:r>
        <w:t xml:space="preserve"> </w:t>
      </w:r>
      <w:r>
        <w:rPr>
          <w:b/>
          <w:bCs/>
        </w:rPr>
        <w:t xml:space="preserve">groupes alimentaires clés</w:t>
      </w:r>
      <w:r>
        <w:t xml:space="preserve"> </w:t>
      </w:r>
      <w:r>
        <w:t xml:space="preserve">selon la méthodologie du PAM pour le FCS.</w:t>
      </w:r>
    </w:p>
    <w:p>
      <w:pPr>
        <w:pStyle w:val="Compact"/>
        <w:numPr>
          <w:ilvl w:val="0"/>
          <w:numId w:val="1013"/>
        </w:numPr>
      </w:pPr>
      <w:r>
        <w:t xml:space="preserve">On calcule pour chaque groupe la</w:t>
      </w:r>
      <w:r>
        <w:t xml:space="preserve"> </w:t>
      </w:r>
      <w:r>
        <w:rPr>
          <w:b/>
          <w:bCs/>
        </w:rPr>
        <w:t xml:space="preserve">moyenne de consommation sur les 7 derniers jours</w:t>
      </w:r>
      <w:r>
        <w:t xml:space="preserve">, ainsi que l’</w:t>
      </w:r>
      <w:r>
        <w:rPr>
          <w:b/>
          <w:bCs/>
        </w:rPr>
        <w:t xml:space="preserve">écart-type</w:t>
      </w:r>
      <w:r>
        <w:t xml:space="preserve">, pour explorer les tendances générales.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Apports nutritionnels selon le niveau d’insécurité alimentaire</w:t>
      </w:r>
    </w:p>
    <w:tbl xmlns:w14="http://schemas.microsoft.com/office/word/2010/wordml">
      <w:tblPr>
        <w:tblLayout w:type="autofit"/>
        <w:jc w:val="center"/>
        <w:tblW w:type="pct" w:w="0"/>
        <w:tblLook w:firstRow="1" w:lastRow="0" w:firstColumn="0" w:lastColumn="0" w:noHBand="0" w:noVBand="1"/>
      </w:tblPr>
      <w:tr>
        <w:trPr>
          <w:trHeight w:val="28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N = 8,950</w:t>
            </w:r>
            <w:r>
              <w:rPr>
                <w:rFonts w:ascii="Arial" w:hAnsi="Arial" w:eastAsia="Arial" w:cs="Arial"/>
                <w:i w:val="false"/>
                <w:b w:val="false"/>
                <w:u w:val="none"/>
                <w:vertAlign w:val="superscript"/>
                <w:sz w:val="16"/>
                <w:szCs w:val="16"/>
                <w:color w:val="000000"/>
              </w:rPr>
              <w:t xml:space="preserve">1</w:t>
            </w:r>
          </w:p>
        </w:tc>
      </w:tr>
      <w:tr>
        <w:trPr>
          <w:trHeight w:val="26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Céréales et tubercules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 (0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 (0.6%)</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81 (0.9%)</w:t>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64 (0.7%)</w:t>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79 (0.9%)</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82 (0.9%)</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251 (2.8%)</w:t>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345 (3.9%)</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jours (7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7,994 (89%)</w:t>
            </w:r>
          </w:p>
        </w:tc>
      </w:tr>
      <w:tr>
        <w:trPr>
          <w:trHeight w:val="29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Légumineuses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 (0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2,516 (28%)</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824 (9.2%)</w:t>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1,917 (21%)</w:t>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1,665 (19%)</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864 (9.7%)</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489 (5.5%)</w:t>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120 (1.3%)</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jours (7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555 (6.2%)</w:t>
            </w:r>
          </w:p>
        </w:tc>
      </w:tr>
      <w:tr>
        <w:trPr>
          <w:trHeight w:val="2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 (0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4,045 (45%)</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785 (8.8%)</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1,318 (15%)</w:t>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1,096 (12%)</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602 (6.7%)</w:t>
            </w:r>
          </w:p>
        </w:tc>
      </w:tr>
      <w:tr>
        <w:trPr>
          <w:trHeight w:val="29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217 (2.4%)</w:t>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47 (0.5%)</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jours (7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840 (9.4%)</w:t>
            </w:r>
          </w:p>
        </w:tc>
      </w:tr>
      <w:tr>
        <w:trPr>
          <w:trHeight w:val="29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Viandes, poissons et 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 (0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1,749 (20%)</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2,009 (22%)</w:t>
            </w:r>
          </w:p>
        </w:tc>
      </w:tr>
      <w:tr>
        <w:trPr>
          <w:trHeight w:val="29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1,466 (16%)</w:t>
            </w:r>
          </w:p>
        </w:tc>
      </w:tr>
      <w:tr>
        <w:trPr>
          <w:trHeight w:val="2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1,053 (12%)</w:t>
            </w:r>
          </w:p>
        </w:tc>
      </w:tr>
      <w:tr>
        <w:trPr>
          <w:trHeight w:val="29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896 (10%)</w:t>
            </w:r>
          </w:p>
        </w:tc>
      </w:tr>
      <w:tr>
        <w:trPr>
          <w:trHeight w:val="29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524 (5.9%)</w:t>
            </w:r>
          </w:p>
        </w:tc>
      </w:tr>
      <w:tr>
        <w:trPr>
          <w:trHeight w:val="29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149 (1.7%)</w:t>
            </w:r>
          </w:p>
        </w:tc>
      </w:tr>
      <w:tr>
        <w:trPr>
          <w:trHeight w:val="2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jours (7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1,104 (12%)</w:t>
            </w:r>
          </w:p>
        </w:tc>
      </w:tr>
      <w:tr>
        <w:trPr>
          <w:trHeight w:val="293"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 (0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2,222 (25%)</w:t>
            </w:r>
          </w:p>
        </w:tc>
      </w:tr>
      <w:tr>
        <w:trPr>
          <w:trHeight w:val="29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418 (4.7%)</w:t>
            </w:r>
          </w:p>
        </w:tc>
      </w:tr>
      <w:tr>
        <w:trPr>
          <w:trHeight w:val="29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733 (8.2%)</w:t>
            </w:r>
          </w:p>
        </w:tc>
      </w:tr>
      <w:tr>
        <w:trPr>
          <w:trHeight w:val="29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625 (7.0%)</w:t>
            </w:r>
          </w:p>
        </w:tc>
      </w:tr>
      <w:tr>
        <w:trPr>
          <w:trHeight w:val="29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507 (5.7%)</w:t>
            </w:r>
          </w:p>
        </w:tc>
      </w:tr>
      <w:tr>
        <w:trPr>
          <w:trHeight w:val="294"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1,305 (15%)</w:t>
            </w:r>
          </w:p>
        </w:tc>
      </w:tr>
      <w:tr>
        <w:trPr>
          <w:trHeight w:val="29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635 (7.1%)</w:t>
            </w:r>
          </w:p>
        </w:tc>
      </w:tr>
      <w:tr>
        <w:trPr>
          <w:trHeight w:val="29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jours (7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2,505 (28%)</w:t>
            </w:r>
          </w:p>
        </w:tc>
      </w:tr>
      <w:tr>
        <w:trPr>
          <w:trHeight w:val="2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 (0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7,680 (86%)</w:t>
            </w:r>
          </w:p>
        </w:tc>
      </w:tr>
      <w:tr>
        <w:trPr>
          <w:trHeight w:val="294"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501 (5.6%)</w:t>
            </w:r>
          </w:p>
        </w:tc>
      </w:tr>
      <w:tr>
        <w:trPr>
          <w:trHeight w:val="294"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395 (4.4%)</w:t>
            </w:r>
          </w:p>
        </w:tc>
      </w:tr>
      <w:tr>
        <w:trPr>
          <w:trHeight w:val="29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194 (2.2%)</w:t>
            </w:r>
          </w:p>
        </w:tc>
      </w:tr>
      <w:tr>
        <w:trPr>
          <w:trHeight w:val="294"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 (1.0%)</w:t>
            </w:r>
          </w:p>
        </w:tc>
      </w:tr>
      <w:tr>
        <w:trPr>
          <w:trHeight w:val="294"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 (0.5%)</w:t>
            </w:r>
          </w:p>
        </w:tc>
      </w:tr>
      <w:tr>
        <w:trPr>
          <w:trHeight w:val="294"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 (0.1%)</w:t>
            </w:r>
          </w:p>
        </w:tc>
      </w:tr>
      <w:tr>
        <w:trPr>
          <w:trHeight w:val="294"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jours (7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39 (0.4%)</w:t>
            </w:r>
          </w:p>
        </w:tc>
      </w:tr>
      <w:tr>
        <w:trPr>
          <w:trHeight w:val="293"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Matières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 (0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555 (6.2%)</w:t>
            </w:r>
          </w:p>
        </w:tc>
      </w:tr>
      <w:tr>
        <w:trPr>
          <w:trHeight w:val="294"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286 (3.2%)</w:t>
            </w:r>
          </w:p>
        </w:tc>
      </w:tr>
      <w:tr>
        <w:trPr>
          <w:trHeight w:val="294"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291 (3.3%)</w:t>
            </w:r>
          </w:p>
        </w:tc>
      </w:tr>
      <w:tr>
        <w:trPr>
          <w:trHeight w:val="29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421 (4.7%)</w:t>
            </w:r>
          </w:p>
        </w:tc>
      </w:tr>
      <w:tr>
        <w:trPr>
          <w:trHeight w:val="294"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436 (4.9%)</w:t>
            </w:r>
          </w:p>
        </w:tc>
      </w:tr>
      <w:tr>
        <w:trPr>
          <w:trHeight w:val="294"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712 (8.0%)</w:t>
            </w:r>
          </w:p>
        </w:tc>
      </w:tr>
      <w:tr>
        <w:trPr>
          <w:trHeight w:val="294"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562 (6.3%)</w:t>
            </w:r>
          </w:p>
        </w:tc>
      </w:tr>
      <w:tr>
        <w:trPr>
          <w:trHeight w:val="294"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jours (7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5,687 (64%)</w:t>
            </w:r>
          </w:p>
        </w:tc>
      </w:tr>
      <w:tr>
        <w:trPr>
          <w:trHeight w:val="262"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Sucre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 (0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1,150 (13%)</w:t>
            </w:r>
          </w:p>
        </w:tc>
      </w:tr>
      <w:tr>
        <w:trPr>
          <w:trHeight w:val="294"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240 (2.7%)</w:t>
            </w:r>
          </w:p>
        </w:tc>
      </w:tr>
      <w:tr>
        <w:trPr>
          <w:trHeight w:val="294"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366 (4.1%)</w:t>
            </w:r>
          </w:p>
        </w:tc>
      </w:tr>
      <w:tr>
        <w:trPr>
          <w:trHeight w:val="294"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355 (4.0%)</w:t>
            </w:r>
          </w:p>
        </w:tc>
      </w:tr>
      <w:tr>
        <w:trPr>
          <w:trHeight w:val="294"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343 (3.8%)</w:t>
            </w:r>
          </w:p>
        </w:tc>
      </w:tr>
      <w:tr>
        <w:trPr>
          <w:trHeight w:val="294"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568 (6.3%)</w:t>
            </w:r>
          </w:p>
        </w:tc>
      </w:tr>
      <w:tr>
        <w:trPr>
          <w:trHeight w:val="294"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435 (4.9%)</w:t>
            </w:r>
          </w:p>
        </w:tc>
      </w:tr>
      <w:tr>
        <w:trPr>
          <w:trHeight w:val="294"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jours (7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5,493 (61%)</w:t>
            </w:r>
          </w:p>
        </w:tc>
      </w:tr>
      <w:tr>
        <w:trPr>
          <w:trHeight w:val="262"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Condiments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 (0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609 (6.8%)</w:t>
            </w:r>
          </w:p>
        </w:tc>
      </w:tr>
      <w:tr>
        <w:trPr>
          <w:trHeight w:val="294"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147 (1.6%)</w:t>
            </w:r>
          </w:p>
        </w:tc>
      </w:tr>
      <w:tr>
        <w:trPr>
          <w:trHeight w:val="294"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219 (2.4%)</w:t>
            </w:r>
          </w:p>
        </w:tc>
      </w:tr>
      <w:tr>
        <w:trPr>
          <w:trHeight w:val="294"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305 (3.4%)</w:t>
            </w:r>
          </w:p>
        </w:tc>
      </w:tr>
      <w:tr>
        <w:trPr>
          <w:trHeight w:val="294"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378 (4.2%)</w:t>
            </w:r>
          </w:p>
        </w:tc>
      </w:tr>
      <w:tr>
        <w:trPr>
          <w:trHeight w:val="294"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636 (7.1%)</w:t>
            </w:r>
          </w:p>
        </w:tc>
      </w:tr>
      <w:tr>
        <w:trPr>
          <w:trHeight w:val="294"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599 (6.7%)</w:t>
            </w:r>
          </w:p>
        </w:tc>
      </w:tr>
      <w:tr>
        <w:trPr>
          <w:trHeight w:val="294" w:hRule="auto"/>
        </w:trPr>
        body81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jours (7 jours)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6,057 (68%)</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n (%)</w:t>
            </w:r>
          </w:p>
        </w:tc>
      </w:tr>
    </w:tbl>
    <w:p>
      <w:pPr>
        <w:pStyle w:val="FirstParagraph"/>
      </w:pPr>
      <w:r>
        <w:rPr>
          <w:b/>
          <w:bCs/>
        </w:rPr>
        <w:t xml:space="preserve">Analyse des résultats descriptifs des composantes du SCA</w:t>
      </w:r>
    </w:p>
    <w:p>
      <w:pPr>
        <w:pStyle w:val="Corpsdetexte"/>
      </w:pPr>
      <w:r>
        <w:t xml:space="preserve">Le tableau présente la fréquence de consommation des principaux groupes alimentaires par les ménages au cours des 7 derniers jours. On observe les tendances suivantes :</w:t>
      </w:r>
    </w:p>
    <w:p>
      <w:pPr>
        <w:numPr>
          <w:ilvl w:val="0"/>
          <w:numId w:val="1014"/>
        </w:numPr>
      </w:pPr>
      <w:r>
        <w:rPr>
          <w:b/>
          <w:bCs/>
        </w:rPr>
        <w:t xml:space="preserve">Céréales et tubercules</w:t>
      </w:r>
      <w:r>
        <w:t xml:space="preserve"> </w:t>
      </w:r>
      <w:r>
        <w:t xml:space="preserve">: Ce groupe est</w:t>
      </w:r>
      <w:r>
        <w:t xml:space="preserve"> </w:t>
      </w:r>
      <w:r>
        <w:rPr>
          <w:b/>
          <w:bCs/>
        </w:rPr>
        <w:t xml:space="preserve">quasi-universellement consommé</w:t>
      </w:r>
      <w:r>
        <w:t xml:space="preserve">, avec</w:t>
      </w:r>
      <w:r>
        <w:t xml:space="preserve"> </w:t>
      </w:r>
      <w:r>
        <w:rPr>
          <w:b/>
          <w:bCs/>
        </w:rPr>
        <w:t xml:space="preserve">89 %</w:t>
      </w:r>
      <w:r>
        <w:t xml:space="preserve"> </w:t>
      </w:r>
      <w:r>
        <w:t xml:space="preserve">des ménages en consommant</w:t>
      </w:r>
      <w:r>
        <w:t xml:space="preserve"> </w:t>
      </w:r>
      <w:r>
        <w:rPr>
          <w:b/>
          <w:bCs/>
        </w:rPr>
        <w:t xml:space="preserve">tous les jours</w:t>
      </w:r>
      <w:r>
        <w:t xml:space="preserve">, ce qui reflète son rôle de base dans l’alimentation.</w:t>
      </w:r>
    </w:p>
    <w:p>
      <w:pPr>
        <w:numPr>
          <w:ilvl w:val="0"/>
          <w:numId w:val="1014"/>
        </w:numPr>
      </w:pPr>
      <w:r>
        <w:rPr>
          <w:b/>
          <w:bCs/>
        </w:rPr>
        <w:t xml:space="preserve">Légumineuses</w:t>
      </w:r>
      <w:r>
        <w:t xml:space="preserve"> </w:t>
      </w:r>
      <w:r>
        <w:t xml:space="preserve">: 28 % des ménages n’en ont pas consommé, tandis que 19 % les ont consommées 3 jours, et 21 % pendant 2 jours. Cela révèle une consommation modérée mais non systématique.</w:t>
      </w:r>
    </w:p>
    <w:p>
      <w:pPr>
        <w:numPr>
          <w:ilvl w:val="0"/>
          <w:numId w:val="1014"/>
        </w:numPr>
      </w:pPr>
      <w:r>
        <w:rPr>
          <w:b/>
          <w:bCs/>
        </w:rPr>
        <w:t xml:space="preserve">Produits laitiers</w:t>
      </w:r>
      <w:r>
        <w:t xml:space="preserve"> </w:t>
      </w:r>
      <w:r>
        <w:t xml:space="preserve">: 45 % des ménages n’ont pas consommé de produits laitiers au cours de la semaine, traduisant une accessibilité probablement limitée. Seuls 9,4 % en consomment quotidiennement.</w:t>
      </w:r>
    </w:p>
    <w:p>
      <w:pPr>
        <w:numPr>
          <w:ilvl w:val="0"/>
          <w:numId w:val="1014"/>
        </w:numPr>
      </w:pPr>
      <w:r>
        <w:rPr>
          <w:b/>
          <w:bCs/>
        </w:rPr>
        <w:t xml:space="preserve">Viandes, poissons et œufs</w:t>
      </w:r>
      <w:r>
        <w:t xml:space="preserve"> </w:t>
      </w:r>
      <w:r>
        <w:t xml:space="preserve">: 14 % des ménages déclarent n’en avoir consommé aucun jour, tandis que 13 % y ont accès tous les jours. La majorité (env. 60 %) les consomme entre 2 et 6 jours, reflétant une consommation irrégulière mais présente.</w:t>
      </w:r>
    </w:p>
    <w:p>
      <w:pPr>
        <w:numPr>
          <w:ilvl w:val="0"/>
          <w:numId w:val="1014"/>
        </w:numPr>
      </w:pPr>
      <w:r>
        <w:rPr>
          <w:b/>
          <w:bCs/>
        </w:rPr>
        <w:t xml:space="preserve">Légumes</w:t>
      </w:r>
      <w:r>
        <w:t xml:space="preserve"> </w:t>
      </w:r>
      <w:r>
        <w:t xml:space="preserve">: La consommation reste modérée, avec</w:t>
      </w:r>
      <w:r>
        <w:t xml:space="preserve"> </w:t>
      </w:r>
      <w:r>
        <w:rPr>
          <w:b/>
          <w:bCs/>
        </w:rPr>
        <w:t xml:space="preserve">64 %</w:t>
      </w:r>
      <w:r>
        <w:t xml:space="preserve"> </w:t>
      </w:r>
      <w:r>
        <w:t xml:space="preserve">de ménages n’en consommant</w:t>
      </w:r>
      <w:r>
        <w:t xml:space="preserve"> </w:t>
      </w:r>
      <w:r>
        <w:rPr>
          <w:b/>
          <w:bCs/>
        </w:rPr>
        <w:t xml:space="preserve">aucun jour</w:t>
      </w:r>
      <w:r>
        <w:t xml:space="preserve"> </w:t>
      </w:r>
      <w:r>
        <w:t xml:space="preserve">et moins de 3 % les consommant quotidiennement. Ce niveau est inquiétant du point de vue nutritionnel.</w:t>
      </w:r>
    </w:p>
    <w:p>
      <w:pPr>
        <w:numPr>
          <w:ilvl w:val="0"/>
          <w:numId w:val="1014"/>
        </w:numPr>
      </w:pPr>
      <w:r>
        <w:rPr>
          <w:b/>
          <w:bCs/>
        </w:rPr>
        <w:t xml:space="preserve">Fruits</w:t>
      </w:r>
      <w:r>
        <w:t xml:space="preserve"> </w:t>
      </w:r>
      <w:r>
        <w:t xml:space="preserve">: Encore plus alarmant,</w:t>
      </w:r>
      <w:r>
        <w:t xml:space="preserve"> </w:t>
      </w:r>
      <w:r>
        <w:rPr>
          <w:b/>
          <w:bCs/>
        </w:rPr>
        <w:t xml:space="preserve">88 %</w:t>
      </w:r>
      <w:r>
        <w:t xml:space="preserve"> </w:t>
      </w:r>
      <w:r>
        <w:t xml:space="preserve">des ménages n’ont consommé</w:t>
      </w:r>
      <w:r>
        <w:t xml:space="preserve"> </w:t>
      </w:r>
      <w:r>
        <w:rPr>
          <w:b/>
          <w:bCs/>
        </w:rPr>
        <w:t xml:space="preserve">aucun fruit</w:t>
      </w:r>
      <w:r>
        <w:t xml:space="preserve"> </w:t>
      </w:r>
      <w:r>
        <w:t xml:space="preserve">pendant la semaine, révélant un très faible accès ou disponibilité.</w:t>
      </w:r>
    </w:p>
    <w:p>
      <w:pPr>
        <w:numPr>
          <w:ilvl w:val="0"/>
          <w:numId w:val="1014"/>
        </w:numPr>
      </w:pPr>
      <w:r>
        <w:rPr>
          <w:b/>
          <w:bCs/>
        </w:rPr>
        <w:t xml:space="preserve">Matières grasses</w:t>
      </w:r>
      <w:r>
        <w:t xml:space="preserve"> </w:t>
      </w:r>
      <w:r>
        <w:t xml:space="preserve">: 6 % des ménages n’en consomment pas, tandis que</w:t>
      </w:r>
      <w:r>
        <w:t xml:space="preserve"> </w:t>
      </w:r>
      <w:r>
        <w:rPr>
          <w:b/>
          <w:bCs/>
        </w:rPr>
        <w:t xml:space="preserve">64 %</w:t>
      </w:r>
      <w:r>
        <w:t xml:space="preserve"> </w:t>
      </w:r>
      <w:r>
        <w:t xml:space="preserve">en consomment</w:t>
      </w:r>
      <w:r>
        <w:t xml:space="preserve"> </w:t>
      </w:r>
      <w:r>
        <w:rPr>
          <w:b/>
          <w:bCs/>
        </w:rPr>
        <w:t xml:space="preserve">chaque jour</w:t>
      </w:r>
      <w:r>
        <w:t xml:space="preserve">, ce qui montre une large disponibilité.</w:t>
      </w:r>
    </w:p>
    <w:p>
      <w:pPr>
        <w:numPr>
          <w:ilvl w:val="0"/>
          <w:numId w:val="1014"/>
        </w:numPr>
      </w:pPr>
      <w:r>
        <w:rPr>
          <w:b/>
          <w:bCs/>
        </w:rPr>
        <w:t xml:space="preserve">Sucre</w:t>
      </w:r>
      <w:r>
        <w:t xml:space="preserve"> </w:t>
      </w:r>
      <w:r>
        <w:t xml:space="preserve">: 13 % des ménages n’ont pas consommé de sucre, tandis que</w:t>
      </w:r>
      <w:r>
        <w:t xml:space="preserve"> </w:t>
      </w:r>
      <w:r>
        <w:rPr>
          <w:b/>
          <w:bCs/>
        </w:rPr>
        <w:t xml:space="preserve">61 %</w:t>
      </w:r>
      <w:r>
        <w:t xml:space="preserve"> </w:t>
      </w:r>
      <w:r>
        <w:t xml:space="preserve">en consomment</w:t>
      </w:r>
      <w:r>
        <w:t xml:space="preserve"> </w:t>
      </w:r>
      <w:r>
        <w:rPr>
          <w:b/>
          <w:bCs/>
        </w:rPr>
        <w:t xml:space="preserve">tous les jours</w:t>
      </w:r>
      <w:r>
        <w:t xml:space="preserve">, traduisant un usage courant.</w:t>
      </w:r>
    </w:p>
    <w:p>
      <w:pPr>
        <w:numPr>
          <w:ilvl w:val="0"/>
          <w:numId w:val="1014"/>
        </w:numPr>
      </w:pPr>
      <w:r>
        <w:rPr>
          <w:b/>
          <w:bCs/>
        </w:rPr>
        <w:t xml:space="preserve">Condiments</w:t>
      </w:r>
      <w:r>
        <w:t xml:space="preserve"> </w:t>
      </w:r>
      <w:r>
        <w:t xml:space="preserve">: Bien que considérés comme nutritionnellement négligeables,</w:t>
      </w:r>
      <w:r>
        <w:t xml:space="preserve"> </w:t>
      </w:r>
      <w:r>
        <w:rPr>
          <w:b/>
          <w:bCs/>
        </w:rPr>
        <w:t xml:space="preserve">68 %</w:t>
      </w:r>
      <w:r>
        <w:t xml:space="preserve"> </w:t>
      </w:r>
      <w:r>
        <w:t xml:space="preserve">des ménages y ont recours quotidiennement, ce qui reflète des habitudes culinaires stables.</w:t>
      </w:r>
    </w:p>
    <w:p>
      <w:pPr>
        <w:pStyle w:val="FirstParagraph"/>
      </w:pPr>
      <w:r>
        <w:rPr>
          <w:b/>
          <w:bCs/>
        </w:rPr>
        <w:t xml:space="preserve">Conclusion</w:t>
      </w:r>
      <w:r>
        <w:t xml:space="preserve"> </w:t>
      </w:r>
      <w:r>
        <w:t xml:space="preserve">: Les données montrent que les</w:t>
      </w:r>
      <w:r>
        <w:t xml:space="preserve"> </w:t>
      </w:r>
      <w:r>
        <w:rPr>
          <w:b/>
          <w:bCs/>
        </w:rPr>
        <w:t xml:space="preserve">groupes riches en énergie (céréales, graisses, sucres)</w:t>
      </w:r>
      <w:r>
        <w:t xml:space="preserve"> </w:t>
      </w:r>
      <w:r>
        <w:t xml:space="preserve">sont bien plus consommés que les</w:t>
      </w:r>
      <w:r>
        <w:t xml:space="preserve"> </w:t>
      </w:r>
      <w:r>
        <w:rPr>
          <w:b/>
          <w:bCs/>
        </w:rPr>
        <w:t xml:space="preserve">groupes riches en micronutriments (légumes, fruits, produits laitiers)</w:t>
      </w:r>
      <w:r>
        <w:t xml:space="preserve">. Cela pourrait refléter à la fois des contraintes économiques et un manque d’accès à une alimentation diversifiée.</w:t>
      </w:r>
    </w:p>
    <w:bookmarkEnd w:id="35"/>
    <w:bookmarkStart w:id="36" w:name="calcul-du-score-de-sécurité-alimentaire"/>
    <w:p>
      <w:pPr>
        <w:pStyle w:val="Titre2"/>
      </w:pPr>
      <w:r>
        <w:t xml:space="preserve">Calcul du score de sécurité alimentaire</w:t>
      </w:r>
    </w:p>
    <w:p>
      <w:pPr>
        <w:pStyle w:val="FirstParagraph"/>
      </w:pPr>
      <w:r>
        <w:t xml:space="preserve">Nous calculons maintenant le Score de Consommation Alimentaire (SCA/FCS) en appliquant les pondérations</w:t>
      </w:r>
      <w:r>
        <w:t xml:space="preserve"> </w:t>
      </w:r>
      <w:r>
        <w:t xml:space="preserve">officielles définies par le Programme Alimentaire Mondial (PAM).</w:t>
      </w:r>
    </w:p>
    <w:p>
      <w:pPr>
        <w:pStyle w:val="Corpsdetexte"/>
      </w:pPr>
      <w:r>
        <w:rPr>
          <w:b/>
          <w:bCs/>
        </w:rPr>
        <w:t xml:space="preserve">Formule du Score de Consommation Alimentaire (SCA / FCS)</w:t>
      </w:r>
    </w:p>
    <w:p>
      <w:pPr>
        <w:pStyle w:val="Corpsdetexte"/>
      </w:pPr>
      <w:r>
        <w:t xml:space="preserve">Le FCS est un score composite obtenu à partir de la fréquence de consommation de différents groupes alimentaires au cours des 7 derniers jours, pondérée selon leur valeur nutritionnelle. La formule standard du Programme Alimentaire Mondial (PAM) est la suivante :</w:t>
      </w:r>
    </w:p>
    <w:p>
      <w:pPr>
        <w:pStyle w:val="Corpsdetexte"/>
      </w:pPr>
      <m:oMathPara>
        <m:oMathParaPr>
          <m:jc m:val="center"/>
        </m:oMathParaPr>
        <m:oMath>
          <m:r>
            <m:rPr>
              <m:nor/>
              <m:sty m:val="p"/>
            </m:rPr>
            <m:t>FCS</m:t>
          </m:r>
          <m:r>
            <m:rPr>
              <m:sty m:val="p"/>
            </m:rPr>
            <m:t>=</m:t>
          </m:r>
          <m:r>
            <m:t>2</m:t>
          </m:r>
          <m:r>
            <m:rPr>
              <m:sty m:val="p"/>
            </m:rPr>
            <m:t>×</m:t>
          </m:r>
          <m:r>
            <m:rPr>
              <m:nor/>
              <m:sty m:val="p"/>
            </m:rPr>
            <m:t>(Céréales)</m:t>
          </m:r>
          <m:r>
            <m:rPr>
              <m:sty m:val="p"/>
            </m:rPr>
            <m:t>+</m:t>
          </m:r>
          <m:r>
            <m:t>3</m:t>
          </m:r>
          <m:r>
            <m:rPr>
              <m:sty m:val="p"/>
            </m:rPr>
            <m:t>×</m:t>
          </m:r>
          <m:r>
            <m:rPr>
              <m:nor/>
              <m:sty m:val="p"/>
            </m:rPr>
            <m:t>(Légumineuses)</m:t>
          </m:r>
          <m:r>
            <m:rPr>
              <m:sty m:val="p"/>
            </m:rPr>
            <m:t>+</m:t>
          </m:r>
          <m:r>
            <m:t>4</m:t>
          </m:r>
          <m:r>
            <m:rPr>
              <m:sty m:val="p"/>
            </m:rPr>
            <m:t>×</m:t>
          </m:r>
          <m:r>
            <m:rPr>
              <m:nor/>
              <m:sty m:val="p"/>
            </m:rPr>
            <m:t>(Produits laitiers)</m:t>
          </m:r>
          <m:r>
            <m:rPr>
              <m:sty m:val="p"/>
            </m:rPr>
            <m:t>+</m:t>
          </m:r>
          <m:r>
            <m:t>4</m:t>
          </m:r>
          <m:r>
            <m:rPr>
              <m:sty m:val="p"/>
            </m:rPr>
            <m:t>×</m:t>
          </m:r>
          <m:r>
            <m:rPr>
              <m:nor/>
              <m:sty m:val="p"/>
            </m:rPr>
            <m:t>(Viande, poisson, œufs)</m:t>
          </m:r>
          <m:r>
            <m:rPr>
              <m:sty m:val="p"/>
            </m:rPr>
            <m:t>+</m:t>
          </m:r>
          <m:r>
            <m:t>1</m:t>
          </m:r>
          <m:r>
            <m:rPr>
              <m:sty m:val="p"/>
            </m:rPr>
            <m:t>×</m:t>
          </m:r>
          <m:r>
            <m:rPr>
              <m:nor/>
              <m:sty m:val="p"/>
            </m:rPr>
            <m:t>(Légumes)</m:t>
          </m:r>
          <m:r>
            <m:rPr>
              <m:sty m:val="p"/>
            </m:rPr>
            <m:t>+</m:t>
          </m:r>
          <m:r>
            <m:t>1</m:t>
          </m:r>
          <m:r>
            <m:rPr>
              <m:sty m:val="p"/>
            </m:rPr>
            <m:t>×</m:t>
          </m:r>
          <m:r>
            <m:rPr>
              <m:nor/>
              <m:sty m:val="p"/>
            </m:rPr>
            <m:t>(Fruits)</m:t>
          </m:r>
          <m:r>
            <m:rPr>
              <m:sty m:val="p"/>
            </m:rPr>
            <m:t>+</m:t>
          </m:r>
          <m:r>
            <m:t>0.5</m:t>
          </m:r>
          <m:r>
            <m:rPr>
              <m:sty m:val="p"/>
            </m:rPr>
            <m:t>×</m:t>
          </m:r>
          <m:r>
            <m:rPr>
              <m:nor/>
              <m:sty m:val="p"/>
            </m:rPr>
            <m:t>(Graisses)</m:t>
          </m:r>
          <m:r>
            <m:rPr>
              <m:sty m:val="p"/>
            </m:rPr>
            <m:t>+</m:t>
          </m:r>
          <m:r>
            <m:t>0.5</m:t>
          </m:r>
          <m:r>
            <m:rPr>
              <m:sty m:val="p"/>
            </m:rPr>
            <m:t>×</m:t>
          </m:r>
          <m:r>
            <m:rPr>
              <m:nor/>
              <m:sty m:val="p"/>
            </m:rPr>
            <m:t>(Sucre)</m:t>
          </m:r>
        </m:oMath>
      </m:oMathPara>
    </w:p>
    <w:p>
      <w:pPr>
        <w:pStyle w:val="FirstParagraph"/>
      </w:pPr>
      <w:r>
        <w:t xml:space="preserve">Les condiments ne sont pas pris en compte dans le calcul car leur valeur nutritionnelle est négligeable. La somme des pondérations donne 16</w:t>
      </w:r>
    </w:p>
    <w:p>
      <w:pPr>
        <w:pStyle w:val="SourceCode"/>
      </w:pPr>
      <w:r>
        <w:rPr>
          <w:rStyle w:val="VerbatimChar"/>
        </w:rPr>
        <w:t xml:space="preserve">##    Min. 1st Qu.  Median    Mean 3rd Qu.    Max. </w:t>
      </w:r>
      <w:r>
        <w:br/>
      </w:r>
      <w:r>
        <w:rPr>
          <w:rStyle w:val="VerbatimChar"/>
        </w:rPr>
        <w:t xml:space="preserve">##    0.00   35.50   46.00   47.28   58.00  112.00</w:t>
      </w:r>
    </w:p>
    <w:p>
      <w:pPr>
        <w:pStyle w:val="FirstParagraph"/>
      </w:pPr>
      <w:r>
        <w:t xml:space="preserve">Le Score de Consommation Alimentaire (FCS), calculé pour chaque ménage, présente la répartition statistique suivante :</w:t>
      </w:r>
    </w:p>
    <w:p>
      <w:pPr>
        <w:pStyle w:val="Compact"/>
        <w:numPr>
          <w:ilvl w:val="0"/>
          <w:numId w:val="1015"/>
        </w:numPr>
      </w:pPr>
      <w:r>
        <w:rPr>
          <w:b/>
          <w:bCs/>
        </w:rPr>
        <w:t xml:space="preserve">Minimum</w:t>
      </w:r>
      <w:r>
        <w:t xml:space="preserve"> </w:t>
      </w:r>
      <w:r>
        <w:t xml:space="preserve">: 0</w:t>
      </w:r>
      <w:r>
        <w:br/>
      </w:r>
    </w:p>
    <w:p>
      <w:pPr>
        <w:pStyle w:val="Compact"/>
        <w:numPr>
          <w:ilvl w:val="0"/>
          <w:numId w:val="1015"/>
        </w:numPr>
      </w:pPr>
      <w:r>
        <w:rPr>
          <w:b/>
          <w:bCs/>
        </w:rPr>
        <w:t xml:space="preserve">1er quartile (Q1)</w:t>
      </w:r>
      <w:r>
        <w:t xml:space="preserve"> </w:t>
      </w:r>
      <w:r>
        <w:t xml:space="preserve">: 35,5</w:t>
      </w:r>
      <w:r>
        <w:br/>
      </w:r>
    </w:p>
    <w:p>
      <w:pPr>
        <w:pStyle w:val="Compact"/>
        <w:numPr>
          <w:ilvl w:val="0"/>
          <w:numId w:val="1015"/>
        </w:numPr>
      </w:pPr>
      <w:r>
        <w:rPr>
          <w:b/>
          <w:bCs/>
        </w:rPr>
        <w:t xml:space="preserve">Médiane (Q2)</w:t>
      </w:r>
      <w:r>
        <w:t xml:space="preserve"> </w:t>
      </w:r>
      <w:r>
        <w:t xml:space="preserve">: 46</w:t>
      </w:r>
      <w:r>
        <w:br/>
      </w:r>
    </w:p>
    <w:p>
      <w:pPr>
        <w:pStyle w:val="Compact"/>
        <w:numPr>
          <w:ilvl w:val="0"/>
          <w:numId w:val="1015"/>
        </w:numPr>
      </w:pPr>
      <w:r>
        <w:rPr>
          <w:b/>
          <w:bCs/>
        </w:rPr>
        <w:t xml:space="preserve">Moyenne</w:t>
      </w:r>
      <w:r>
        <w:t xml:space="preserve"> </w:t>
      </w:r>
      <w:r>
        <w:t xml:space="preserve">: 47,28</w:t>
      </w:r>
      <w:r>
        <w:br/>
      </w:r>
    </w:p>
    <w:p>
      <w:pPr>
        <w:pStyle w:val="Compact"/>
        <w:numPr>
          <w:ilvl w:val="0"/>
          <w:numId w:val="1015"/>
        </w:numPr>
      </w:pPr>
      <w:r>
        <w:rPr>
          <w:b/>
          <w:bCs/>
        </w:rPr>
        <w:t xml:space="preserve">3e quartile (Q3)</w:t>
      </w:r>
      <w:r>
        <w:t xml:space="preserve"> </w:t>
      </w:r>
      <w:r>
        <w:t xml:space="preserve">: 58</w:t>
      </w:r>
      <w:r>
        <w:br/>
      </w:r>
    </w:p>
    <w:p>
      <w:pPr>
        <w:pStyle w:val="Compact"/>
        <w:numPr>
          <w:ilvl w:val="0"/>
          <w:numId w:val="1015"/>
        </w:numPr>
      </w:pPr>
      <w:r>
        <w:rPr>
          <w:b/>
          <w:bCs/>
        </w:rPr>
        <w:t xml:space="preserve">Maximum</w:t>
      </w:r>
      <w:r>
        <w:t xml:space="preserve"> </w:t>
      </w:r>
      <w:r>
        <w:t xml:space="preserve">: 112</w:t>
      </w:r>
    </w:p>
    <w:p>
      <w:pPr>
        <w:pStyle w:val="FirstParagraph"/>
      </w:pPr>
      <w:r>
        <w:t xml:space="preserve">Ces résultats indiquent une</w:t>
      </w:r>
      <w:r>
        <w:t xml:space="preserve"> </w:t>
      </w:r>
      <w:r>
        <w:rPr>
          <w:b/>
          <w:bCs/>
        </w:rPr>
        <w:t xml:space="preserve">variabilité importante</w:t>
      </w:r>
      <w:r>
        <w:t xml:space="preserve"> </w:t>
      </w:r>
      <w:r>
        <w:t xml:space="preserve">des habitudes alimentaires parmi les ménages. Quelques éléments d’interprétation :</w:t>
      </w:r>
    </w:p>
    <w:p>
      <w:pPr>
        <w:pStyle w:val="Compact"/>
        <w:numPr>
          <w:ilvl w:val="0"/>
          <w:numId w:val="1016"/>
        </w:numPr>
      </w:pPr>
      <w:r>
        <w:t xml:space="preserve">La</w:t>
      </w:r>
      <w:r>
        <w:t xml:space="preserve"> </w:t>
      </w:r>
      <w:r>
        <w:rPr>
          <w:b/>
          <w:bCs/>
        </w:rPr>
        <w:t xml:space="preserve">médiane (46)</w:t>
      </w:r>
      <w:r>
        <w:t xml:space="preserve">, légèrement inférieure à la moyenne, suggère une distribution</w:t>
      </w:r>
      <w:r>
        <w:t xml:space="preserve"> </w:t>
      </w:r>
      <w:r>
        <w:rPr>
          <w:b/>
          <w:bCs/>
        </w:rPr>
        <w:t xml:space="preserve">légèrement asymétrique</w:t>
      </w:r>
      <w:r>
        <w:t xml:space="preserve"> </w:t>
      </w:r>
      <w:r>
        <w:t xml:space="preserve">à droite (quelques valeurs élevées tirent la moyenne vers le haut).</w:t>
      </w:r>
    </w:p>
    <w:p>
      <w:pPr>
        <w:pStyle w:val="Compact"/>
        <w:numPr>
          <w:ilvl w:val="0"/>
          <w:numId w:val="1016"/>
        </w:numPr>
      </w:pPr>
      <w:r>
        <w:t xml:space="preserve">Un</w:t>
      </w:r>
      <w:r>
        <w:t xml:space="preserve"> </w:t>
      </w:r>
      <w:r>
        <w:rPr>
          <w:b/>
          <w:bCs/>
        </w:rPr>
        <w:t xml:space="preserve">score de 0</w:t>
      </w:r>
      <w:r>
        <w:t xml:space="preserve"> </w:t>
      </w:r>
      <w:r>
        <w:t xml:space="preserve">indique une privation alimentaire extrême pour au moins un ménage — aucune consommation de groupes alimentaires pondérés, ce qui est préoccupant.</w:t>
      </w:r>
    </w:p>
    <w:p>
      <w:pPr>
        <w:pStyle w:val="Compact"/>
        <w:numPr>
          <w:ilvl w:val="0"/>
          <w:numId w:val="1016"/>
        </w:numPr>
      </w:pPr>
      <w:r>
        <w:t xml:space="preserve">Le</w:t>
      </w:r>
      <w:r>
        <w:t xml:space="preserve"> </w:t>
      </w:r>
      <w:r>
        <w:rPr>
          <w:b/>
          <w:bCs/>
        </w:rPr>
        <w:t xml:space="preserve">maximum de 112</w:t>
      </w:r>
      <w:r>
        <w:t xml:space="preserve"> </w:t>
      </w:r>
      <w:r>
        <w:t xml:space="preserve">correspond à une consommation quotidienne de tous les groupes pondérés, ce qui est rare et indique un très bon accès à une alimentation variée.</w:t>
      </w:r>
    </w:p>
    <w:p>
      <w:pPr>
        <w:pStyle w:val="Compact"/>
        <w:numPr>
          <w:ilvl w:val="0"/>
          <w:numId w:val="1016"/>
        </w:numPr>
      </w:pPr>
      <w:r>
        <w:t xml:space="preserve">Une majorité des ménages se situent entre</w:t>
      </w:r>
      <w:r>
        <w:t xml:space="preserve"> </w:t>
      </w:r>
      <w:r>
        <w:rPr>
          <w:b/>
          <w:bCs/>
        </w:rPr>
        <w:t xml:space="preserve">35 et 58</w:t>
      </w:r>
      <w:r>
        <w:t xml:space="preserve">, ce qui peut traduire une situation alimentaire</w:t>
      </w:r>
      <w:r>
        <w:t xml:space="preserve"> </w:t>
      </w:r>
      <w:r>
        <w:rPr>
          <w:b/>
          <w:bCs/>
        </w:rPr>
        <w:t xml:space="preserve">ni critique, ni totalement satisfaisante</w:t>
      </w:r>
      <w:r>
        <w:t xml:space="preserve"> </w:t>
      </w:r>
      <w:r>
        <w:t xml:space="preserve">— à approfondir par la classification à venir.</w:t>
      </w:r>
    </w:p>
    <w:bookmarkEnd w:id="36"/>
    <w:bookmarkStart w:id="37" w:name="tableau-des-poids-fcs"/>
    <w:p>
      <w:pPr>
        <w:pStyle w:val="Titre2"/>
      </w:pPr>
      <w:r>
        <w:t xml:space="preserve">Tableau des poids FCS</w:t>
      </w:r>
    </w:p>
    <w:p>
      <w:pPr>
        <w:pStyle w:val="FirstParagraph"/>
      </w:pPr>
      <w:r>
        <w:t xml:space="preserve">Ce tableau présente les poids attribués à chaque groupe alimentaire dans le calcul du Score</w:t>
      </w:r>
      <w:r>
        <w:t xml:space="preserve"> </w:t>
      </w:r>
      <w:r>
        <w:t xml:space="preserve">de Consommation Alimentaire (FCS), selon les recommandations du PAM. La somme totale doit être égale à 16.</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Poids attribués aux groupes alimentaires dans le calcul du Score de Consommation Alimentaire</w:t>
      </w:r>
    </w:p>
    <w:tbl xmlns:w14="http://schemas.microsoft.com/office/word/2010/wordml">
      <w:tblPr>
        <w:tblLayout w:type="fixed"/>
        <w:jc w:val="center"/>
        <w:tblLook w:firstRow="1" w:lastRow="0" w:firstColumn="0" w:lastColumn="0" w:noHBand="0" w:noVBand="1"/>
      </w:tblPr>
      <w:tblGrid>
        <w:gridCol w:w="2612"/>
        <w:gridCol w:w="961"/>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Groupe alimentaire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Poids</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Céréales et tubercules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Légumineuses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w:t>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Viande, poisson, 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w:t>
            </w:r>
          </w:p>
        </w:tc>
      </w:tr>
      <w:tr>
        <w:trPr>
          <w:trHeight w:val="57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w:t>
            </w:r>
          </w:p>
        </w:tc>
      </w:tr>
      <w:tr>
        <w:trPr>
          <w:trHeight w:val="615"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Matières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w:t>
            </w:r>
          </w:p>
        </w:tc>
      </w:tr>
      <w:tr>
        <w:trPr>
          <w:trHeight w:val="57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Sucre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w:t>
            </w:r>
          </w:p>
        </w:tc>
      </w:tr>
      <w:tr>
        <w:trPr>
          <w:trHeight w:val="571"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16.0</w:t>
            </w:r>
          </w:p>
        </w:tc>
      </w:tr>
    </w:tbl>
    <w:bookmarkEnd w:id="37"/>
    <w:bookmarkStart w:id="38" w:name="catégorisation-du-fcs-selon-2-seuils"/>
    <w:p>
      <w:pPr>
        <w:pStyle w:val="Titre2"/>
      </w:pPr>
      <w:r>
        <w:t xml:space="preserve">Catégorisation du FCS selon 2 seuils</w:t>
      </w:r>
    </w:p>
    <w:p>
      <w:pPr>
        <w:pStyle w:val="FirstParagraph"/>
      </w:pPr>
      <w:r>
        <w:t xml:space="preserve">Ici, on crée deux variables catégorielles à partir du score FCS : une selon les seuils 21/35,</w:t>
      </w:r>
      <w:r>
        <w:t xml:space="preserve"> </w:t>
      </w:r>
      <w:r>
        <w:t xml:space="preserve">et une autre selon 28/42, pour comparaison.</w:t>
      </w:r>
    </w:p>
    <w:p>
      <w:pPr>
        <w:pStyle w:val="Compact"/>
        <w:numPr>
          <w:ilvl w:val="0"/>
          <w:numId w:val="1017"/>
        </w:numPr>
      </w:pPr>
      <w:r>
        <w:rPr>
          <w:b/>
          <w:bCs/>
        </w:rPr>
        <w:t xml:space="preserve">Grille 1 : Seuils 21 / 35</w:t>
      </w:r>
    </w:p>
    <w:p>
      <w:pPr>
        <w:pStyle w:val="Compact"/>
        <w:numPr>
          <w:ilvl w:val="1"/>
          <w:numId w:val="1018"/>
        </w:numPr>
      </w:pPr>
      <w:r>
        <w:rPr>
          <w:b/>
          <w:bCs/>
        </w:rPr>
        <w:t xml:space="preserve">Pauvre</w:t>
      </w:r>
      <w:r>
        <w:t xml:space="preserve"> </w:t>
      </w:r>
      <w:r>
        <w:t xml:space="preserve">: FCS ≤ 21</w:t>
      </w:r>
    </w:p>
    <w:p>
      <w:pPr>
        <w:pStyle w:val="Compact"/>
        <w:numPr>
          <w:ilvl w:val="1"/>
          <w:numId w:val="1018"/>
        </w:numPr>
      </w:pPr>
      <w:r>
        <w:rPr>
          <w:b/>
          <w:bCs/>
        </w:rPr>
        <w:t xml:space="preserve">Limite</w:t>
      </w:r>
      <w:r>
        <w:t xml:space="preserve"> </w:t>
      </w:r>
      <w:r>
        <w:t xml:space="preserve">: 21 &lt; FCS ≤ 35</w:t>
      </w:r>
    </w:p>
    <w:p>
      <w:pPr>
        <w:pStyle w:val="Compact"/>
        <w:numPr>
          <w:ilvl w:val="1"/>
          <w:numId w:val="1018"/>
        </w:numPr>
      </w:pPr>
      <w:r>
        <w:rPr>
          <w:b/>
          <w:bCs/>
        </w:rPr>
        <w:t xml:space="preserve">Acceptable</w:t>
      </w:r>
      <w:r>
        <w:t xml:space="preserve"> </w:t>
      </w:r>
      <w:r>
        <w:t xml:space="preserve">: FCS &gt; 35</w:t>
      </w:r>
    </w:p>
    <w:p>
      <w:pPr>
        <w:pStyle w:val="Compact"/>
        <w:numPr>
          <w:ilvl w:val="0"/>
          <w:numId w:val="1017"/>
        </w:numPr>
      </w:pPr>
      <w:r>
        <w:rPr>
          <w:b/>
          <w:bCs/>
        </w:rPr>
        <w:t xml:space="preserve">Grille 2 : Seuils 28 / 42</w:t>
      </w:r>
    </w:p>
    <w:p>
      <w:pPr>
        <w:pStyle w:val="Compact"/>
        <w:numPr>
          <w:ilvl w:val="1"/>
          <w:numId w:val="1019"/>
        </w:numPr>
      </w:pPr>
      <w:r>
        <w:rPr>
          <w:b/>
          <w:bCs/>
        </w:rPr>
        <w:t xml:space="preserve">Pauvre</w:t>
      </w:r>
      <w:r>
        <w:t xml:space="preserve"> </w:t>
      </w:r>
      <w:r>
        <w:t xml:space="preserve">: FCS ≤ 28</w:t>
      </w:r>
    </w:p>
    <w:p>
      <w:pPr>
        <w:pStyle w:val="Compact"/>
        <w:numPr>
          <w:ilvl w:val="1"/>
          <w:numId w:val="1019"/>
        </w:numPr>
      </w:pPr>
      <w:r>
        <w:rPr>
          <w:b/>
          <w:bCs/>
        </w:rPr>
        <w:t xml:space="preserve">Limite</w:t>
      </w:r>
      <w:r>
        <w:t xml:space="preserve"> </w:t>
      </w:r>
      <w:r>
        <w:t xml:space="preserve">: 28 &lt; FCS ≤ 42</w:t>
      </w:r>
    </w:p>
    <w:p>
      <w:pPr>
        <w:pStyle w:val="Compact"/>
        <w:numPr>
          <w:ilvl w:val="1"/>
          <w:numId w:val="1019"/>
        </w:numPr>
      </w:pPr>
      <w:r>
        <w:rPr>
          <w:b/>
          <w:bCs/>
        </w:rPr>
        <w:t xml:space="preserve">Acceptable</w:t>
      </w:r>
      <w:r>
        <w:t xml:space="preserve"> </w:t>
      </w:r>
      <w:r>
        <w:t xml:space="preserve">: FCS &gt; 42</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Distribution FCS – Seuils 21/35</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Catégorie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Pourcentage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Acceptable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Limite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Pauvre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Distribution FCS – Seuils 28/42</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Catégorie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Pourcentage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Acceptable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Limite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Pauvre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r>
    </w:tbl>
    <w:p>
      <w:pPr>
        <w:pStyle w:val="FirstParagraph"/>
      </w:pPr>
      <w:r>
        <w:rPr>
          <w:b/>
          <w:bCs/>
        </w:rPr>
        <w:t xml:space="preserve">Interprétation des résultats de la catégorisation du FCS</w:t>
      </w:r>
    </w:p>
    <w:p>
      <w:pPr>
        <w:pStyle w:val="Corpsdetexte"/>
      </w:pPr>
      <w:r>
        <w:t xml:space="preserve">Deux grilles de seuils ont été appliquées au Score de Consommation Alimentaire (FCS), donnant les répartitions suivantes :</w:t>
      </w:r>
    </w:p>
    <w:p>
      <w:pPr>
        <w:pStyle w:val="Compact"/>
        <w:numPr>
          <w:ilvl w:val="0"/>
          <w:numId w:val="1020"/>
        </w:numPr>
      </w:pPr>
      <w:r>
        <w:rPr>
          <w:b/>
          <w:bCs/>
        </w:rPr>
        <w:t xml:space="preserve">Avec les seuils 21/35 :</w:t>
      </w:r>
    </w:p>
    <w:p>
      <w:pPr>
        <w:pStyle w:val="Compact"/>
        <w:numPr>
          <w:ilvl w:val="1"/>
          <w:numId w:val="1021"/>
        </w:numPr>
      </w:pPr>
      <w:r>
        <w:rPr>
          <w:b/>
          <w:bCs/>
        </w:rPr>
        <w:t xml:space="preserve">75,4 %</w:t>
      </w:r>
      <w:r>
        <w:t xml:space="preserve"> </w:t>
      </w:r>
      <w:r>
        <w:t xml:space="preserve">des ménages sont classés comme ayant une consommation</w:t>
      </w:r>
      <w:r>
        <w:t xml:space="preserve"> </w:t>
      </w:r>
      <w:r>
        <w:rPr>
          <w:b/>
          <w:bCs/>
        </w:rPr>
        <w:t xml:space="preserve">acceptable</w:t>
      </w:r>
      <w:r>
        <w:t xml:space="preserve">.</w:t>
      </w:r>
    </w:p>
    <w:p>
      <w:pPr>
        <w:pStyle w:val="Compact"/>
        <w:numPr>
          <w:ilvl w:val="1"/>
          <w:numId w:val="1021"/>
        </w:numPr>
      </w:pPr>
      <w:r>
        <w:rPr>
          <w:b/>
          <w:bCs/>
        </w:rPr>
        <w:t xml:space="preserve">19,6 %</w:t>
      </w:r>
      <w:r>
        <w:t xml:space="preserve"> </w:t>
      </w:r>
      <w:r>
        <w:t xml:space="preserve">sont en situation</w:t>
      </w:r>
      <w:r>
        <w:t xml:space="preserve"> </w:t>
      </w:r>
      <w:r>
        <w:rPr>
          <w:b/>
          <w:bCs/>
        </w:rPr>
        <w:t xml:space="preserve">limite</w:t>
      </w:r>
      <w:r>
        <w:t xml:space="preserve">.</w:t>
      </w:r>
    </w:p>
    <w:p>
      <w:pPr>
        <w:pStyle w:val="Compact"/>
        <w:numPr>
          <w:ilvl w:val="1"/>
          <w:numId w:val="1021"/>
        </w:numPr>
      </w:pPr>
      <w:r>
        <w:rPr>
          <w:b/>
          <w:bCs/>
        </w:rPr>
        <w:t xml:space="preserve">5,0 %</w:t>
      </w:r>
      <w:r>
        <w:t xml:space="preserve"> </w:t>
      </w:r>
      <w:r>
        <w:t xml:space="preserve">sont en situation</w:t>
      </w:r>
      <w:r>
        <w:t xml:space="preserve"> </w:t>
      </w:r>
      <w:r>
        <w:rPr>
          <w:b/>
          <w:bCs/>
        </w:rPr>
        <w:t xml:space="preserve">pauvre</w:t>
      </w:r>
      <w:r>
        <w:t xml:space="preserve">.</w:t>
      </w:r>
    </w:p>
    <w:p>
      <w:pPr>
        <w:pStyle w:val="Compact"/>
        <w:numPr>
          <w:ilvl w:val="0"/>
          <w:numId w:val="1020"/>
        </w:numPr>
      </w:pPr>
      <w:r>
        <w:rPr>
          <w:b/>
          <w:bCs/>
        </w:rPr>
        <w:t xml:space="preserve">Avec les seuils 28/42 :</w:t>
      </w:r>
    </w:p>
    <w:p>
      <w:pPr>
        <w:pStyle w:val="Compact"/>
        <w:numPr>
          <w:ilvl w:val="1"/>
          <w:numId w:val="1022"/>
        </w:numPr>
      </w:pPr>
      <w:r>
        <w:t xml:space="preserve">La part de ménages</w:t>
      </w:r>
      <w:r>
        <w:t xml:space="preserve"> </w:t>
      </w:r>
      <w:r>
        <w:rPr>
          <w:b/>
          <w:bCs/>
        </w:rPr>
        <w:t xml:space="preserve">acceptables</w:t>
      </w:r>
      <w:r>
        <w:t xml:space="preserve"> </w:t>
      </w:r>
      <w:r>
        <w:t xml:space="preserve">chute à</w:t>
      </w:r>
      <w:r>
        <w:t xml:space="preserve"> </w:t>
      </w:r>
      <w:r>
        <w:rPr>
          <w:b/>
          <w:bCs/>
        </w:rPr>
        <w:t xml:space="preserve">58,6 %</w:t>
      </w:r>
      <w:r>
        <w:t xml:space="preserve">.</w:t>
      </w:r>
    </w:p>
    <w:p>
      <w:pPr>
        <w:pStyle w:val="Compact"/>
        <w:numPr>
          <w:ilvl w:val="1"/>
          <w:numId w:val="1022"/>
        </w:numPr>
      </w:pPr>
      <w:r>
        <w:t xml:space="preserve">La catégorie</w:t>
      </w:r>
      <w:r>
        <w:t xml:space="preserve"> </w:t>
      </w:r>
      <w:r>
        <w:rPr>
          <w:b/>
          <w:bCs/>
        </w:rPr>
        <w:t xml:space="preserve">limite</w:t>
      </w:r>
      <w:r>
        <w:t xml:space="preserve"> </w:t>
      </w:r>
      <w:r>
        <w:t xml:space="preserve">augmente à</w:t>
      </w:r>
      <w:r>
        <w:t xml:space="preserve"> </w:t>
      </w:r>
      <w:r>
        <w:rPr>
          <w:b/>
          <w:bCs/>
        </w:rPr>
        <w:t xml:space="preserve">28,7 %</w:t>
      </w:r>
      <w:r>
        <w:t xml:space="preserve">.</w:t>
      </w:r>
    </w:p>
    <w:p>
      <w:pPr>
        <w:pStyle w:val="Compact"/>
        <w:numPr>
          <w:ilvl w:val="1"/>
          <w:numId w:val="1022"/>
        </w:numPr>
      </w:pPr>
      <w:r>
        <w:t xml:space="preserve">Les ménages</w:t>
      </w:r>
      <w:r>
        <w:t xml:space="preserve"> </w:t>
      </w:r>
      <w:r>
        <w:rPr>
          <w:b/>
          <w:bCs/>
        </w:rPr>
        <w:t xml:space="preserve">pauvres</w:t>
      </w:r>
      <w:r>
        <w:t xml:space="preserve"> </w:t>
      </w:r>
      <w:r>
        <w:t xml:space="preserve">passent à</w:t>
      </w:r>
      <w:r>
        <w:t xml:space="preserve"> </w:t>
      </w:r>
      <w:r>
        <w:rPr>
          <w:b/>
          <w:bCs/>
        </w:rPr>
        <w:t xml:space="preserve">12,7 %</w:t>
      </w:r>
      <w:r>
        <w:t xml:space="preserve">.</w:t>
      </w:r>
    </w:p>
    <w:p>
      <w:pPr>
        <w:pStyle w:val="FirstParagraph"/>
      </w:pPr>
      <w:r>
        <w:t xml:space="preserve">Cette comparaison montre que la grille</w:t>
      </w:r>
      <w:r>
        <w:t xml:space="preserve"> </w:t>
      </w:r>
      <w:r>
        <w:rPr>
          <w:b/>
          <w:bCs/>
        </w:rPr>
        <w:t xml:space="preserve">28/42</w:t>
      </w:r>
      <w:r>
        <w:t xml:space="preserve"> </w:t>
      </w:r>
      <w:r>
        <w:t xml:space="preserve">est plus restrictive que la grille</w:t>
      </w:r>
      <w:r>
        <w:t xml:space="preserve"> </w:t>
      </w:r>
      <w:r>
        <w:rPr>
          <w:b/>
          <w:bCs/>
        </w:rPr>
        <w:t xml:space="preserve">21/35</w:t>
      </w:r>
      <w:r>
        <w:t xml:space="preserve">, identifiant une plus grande part de la population comme étant potentiellement en insécurité alimentaire.</w:t>
      </w:r>
    </w:p>
    <w:p>
      <w:pPr>
        <w:pStyle w:val="Corpsdetexte"/>
      </w:pPr>
      <w:r>
        <w:t xml:space="preserve">L’impact programmatique est important :</w:t>
      </w:r>
      <w:r>
        <w:t xml:space="preserve"> </w:t>
      </w:r>
      <w:r>
        <w:t xml:space="preserve">-</w:t>
      </w:r>
      <w:r>
        <w:t xml:space="preserve"> </w:t>
      </w:r>
      <w:r>
        <w:rPr>
          <w:b/>
          <w:bCs/>
        </w:rPr>
        <w:t xml:space="preserve">Grille 21/35</w:t>
      </w:r>
      <w:r>
        <w:t xml:space="preserve"> </w:t>
      </w:r>
      <w:r>
        <w:t xml:space="preserve">: plus tolérante, peut</w:t>
      </w:r>
      <w:r>
        <w:t xml:space="preserve"> </w:t>
      </w:r>
      <w:r>
        <w:rPr>
          <w:b/>
          <w:bCs/>
        </w:rPr>
        <w:t xml:space="preserve">minimiser la gravité</w:t>
      </w:r>
      <w:r>
        <w:t xml:space="preserve"> </w:t>
      </w:r>
      <w:r>
        <w:t xml:space="preserve">des situations.</w:t>
      </w:r>
      <w:r>
        <w:t xml:space="preserve"> </w:t>
      </w:r>
      <w:r>
        <w:t xml:space="preserve">-</w:t>
      </w:r>
      <w:r>
        <w:t xml:space="preserve"> </w:t>
      </w:r>
      <w:r>
        <w:rPr>
          <w:b/>
          <w:bCs/>
        </w:rPr>
        <w:t xml:space="preserve">Grille 28/42</w:t>
      </w:r>
      <w:r>
        <w:t xml:space="preserve"> </w:t>
      </w:r>
      <w:r>
        <w:t xml:space="preserve">: permet une</w:t>
      </w:r>
      <w:r>
        <w:t xml:space="preserve"> </w:t>
      </w:r>
      <w:r>
        <w:rPr>
          <w:b/>
          <w:bCs/>
        </w:rPr>
        <w:t xml:space="preserve">meilleure détection des ménages vulnérables</w:t>
      </w:r>
      <w:r>
        <w:t xml:space="preserve">, notamment ceux en situation limite, utile pour le</w:t>
      </w:r>
      <w:r>
        <w:t xml:space="preserve"> </w:t>
      </w:r>
      <w:r>
        <w:rPr>
          <w:b/>
          <w:bCs/>
        </w:rPr>
        <w:t xml:space="preserve">ciblage des interventions</w:t>
      </w:r>
      <w:r>
        <w:t xml:space="preserve">.</w:t>
      </w:r>
    </w:p>
    <w:bookmarkEnd w:id="38"/>
    <w:bookmarkStart w:id="39" w:name="représentation-spatiale"/>
    <w:p>
      <w:pPr>
        <w:pStyle w:val="Titre2"/>
      </w:pPr>
      <w:r>
        <w:t xml:space="preserve">Représentation spatiale</w:t>
      </w:r>
    </w:p>
    <w:p>
      <w:pPr>
        <w:pStyle w:val="FirstParagraph"/>
      </w:pPr>
      <w:r>
        <w:t xml:space="preserve">Dans cette section, nous proposons une visualisation géographique de la situation alimentaire des ménages à travers le territoire, à partir de leur Score de Consommation Alimentaire (SCA/FCS).</w:t>
      </w:r>
    </w:p>
    <w:p>
      <w:pPr>
        <w:pStyle w:val="Corpsdetexte"/>
      </w:pPr>
      <w:r>
        <w:t xml:space="preserve">L’analyse repose sur deux grilles de seuils utilisées pour catégoriser les scores FCS :</w:t>
      </w:r>
      <w:r>
        <w:t xml:space="preserve"> </w:t>
      </w:r>
      <w:r>
        <w:t xml:space="preserve">-</w:t>
      </w:r>
      <w:r>
        <w:t xml:space="preserve"> </w:t>
      </w:r>
      <w:r>
        <w:rPr>
          <w:b/>
          <w:bCs/>
        </w:rPr>
        <w:t xml:space="preserve">Grille 1 (21/35)</w:t>
      </w:r>
      <w:r>
        <w:t xml:space="preserve"> </w:t>
      </w:r>
      <w:r>
        <w:t xml:space="preserve">: Pauvre, Limite, Acceptable</w:t>
      </w:r>
      <w:r>
        <w:t xml:space="preserve"> </w:t>
      </w:r>
      <w:r>
        <w:t xml:space="preserve">-</w:t>
      </w:r>
      <w:r>
        <w:t xml:space="preserve"> </w:t>
      </w:r>
      <w:r>
        <w:rPr>
          <w:b/>
          <w:bCs/>
        </w:rPr>
        <w:t xml:space="preserve">Grille 2 (28/42)</w:t>
      </w:r>
      <w:r>
        <w:t xml:space="preserve"> </w:t>
      </w:r>
      <w:r>
        <w:t xml:space="preserve">: Pauvre, Limite, Acceptable</w:t>
      </w:r>
    </w:p>
    <w:p>
      <w:pPr>
        <w:pStyle w:val="Corpsdetexte"/>
      </w:pPr>
      <w:r>
        <w:t xml:space="preserve">Pour chaque grille, nous avons réalisé :</w:t>
      </w:r>
      <w:r>
        <w:t xml:space="preserve"> </w:t>
      </w:r>
      <w:r>
        <w:t xml:space="preserve">- Une carte</w:t>
      </w:r>
      <w:r>
        <w:t xml:space="preserve"> </w:t>
      </w:r>
      <w:r>
        <w:rPr>
          <w:b/>
          <w:bCs/>
        </w:rPr>
        <w:t xml:space="preserve">par région</w:t>
      </w:r>
      <w:r>
        <w:t xml:space="preserve"> </w:t>
      </w:r>
      <w:r>
        <w:t xml:space="preserve">(niveau administratif 1)</w:t>
      </w:r>
      <w:r>
        <w:t xml:space="preserve"> </w:t>
      </w:r>
      <w:r>
        <w:t xml:space="preserve">- Une carte</w:t>
      </w:r>
      <w:r>
        <w:t xml:space="preserve"> </w:t>
      </w:r>
      <w:r>
        <w:rPr>
          <w:b/>
          <w:bCs/>
        </w:rPr>
        <w:t xml:space="preserve">par département</w:t>
      </w:r>
      <w:r>
        <w:t xml:space="preserve"> </w:t>
      </w:r>
      <w:r>
        <w:t xml:space="preserve">(niveau administratif 2)</w:t>
      </w:r>
    </w:p>
    <w:p>
      <w:pPr>
        <w:pStyle w:val="Corpsdetexte"/>
      </w:pPr>
      <w:r>
        <w:t xml:space="preserve">Dans chaque unité géographique, nous identifions la</w:t>
      </w:r>
      <w:r>
        <w:t xml:space="preserve"> </w:t>
      </w:r>
      <w:r>
        <w:rPr>
          <w:b/>
          <w:bCs/>
        </w:rPr>
        <w:t xml:space="preserve">catégorie dominante</w:t>
      </w:r>
      <w:r>
        <w:t xml:space="preserve">, c’est-à-dire celle qui regroupe la</w:t>
      </w:r>
      <w:r>
        <w:t xml:space="preserve"> </w:t>
      </w:r>
      <w:r>
        <w:rPr>
          <w:b/>
          <w:bCs/>
        </w:rPr>
        <w:t xml:space="preserve">majorité des ménages</w:t>
      </w:r>
      <w:r>
        <w:t xml:space="preserve"> </w:t>
      </w:r>
      <w:r>
        <w:t xml:space="preserve">de la zone. Cette catégorie est représentée par une couleur sur la carte.</w:t>
      </w:r>
    </w:p>
    <w:p>
      <w:pPr>
        <w:pStyle w:val="Corpsdetexte"/>
      </w:pPr>
      <w:r>
        <w:t xml:space="preserve">Cette méthode permet de visualiser les zones les plus affectées par l’insécurité alimentaire et de comparer les résultats selon les seuils utilisés.</w:t>
      </w:r>
    </w:p>
    <w:p>
      <w:pPr>
        <w:pStyle w:val="Corpsdetexte"/>
      </w:pPr>
      <w:r>
        <w:t xml:space="preserve">Ces cartes offrent ainsi une lecture intuitive de la situation alimentaire, utile pour le ciblage des interventions et la planification des ressources.</w:t>
      </w:r>
    </w:p>
    <w:p>
      <w:pPr>
        <w:pStyle w:val="SourceCode"/>
      </w:pPr>
      <w:r>
        <w:rPr>
          <w:rStyle w:val="VerbatimChar"/>
        </w:rPr>
        <w:t xml:space="preserve">## Reading layer `tcd_admbnda_adm1_20250212_AB' from data source </w:t>
      </w:r>
      <w:r>
        <w:br/>
      </w:r>
      <w:r>
        <w:rPr>
          <w:rStyle w:val="VerbatimChar"/>
        </w:rPr>
        <w:t xml:space="preserve">##   `C:\Users\DELL\Desktop\Devoir R\Examen - ISEP3\tcd_admbnda_adm1_20250212_AB.shp' </w:t>
      </w:r>
      <w:r>
        <w:br/>
      </w:r>
      <w:r>
        <w:rPr>
          <w:rStyle w:val="VerbatimChar"/>
        </w:rPr>
        <w:t xml:space="preserve">##   using driver `ESRI Shapefile'</w:t>
      </w:r>
      <w:r>
        <w:br/>
      </w:r>
      <w:r>
        <w:rPr>
          <w:rStyle w:val="VerbatimChar"/>
        </w:rPr>
        <w:t xml:space="preserve">## Simple feature collection with 23 features and 4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-1203504 ymin: 878475.6 xmax: -103563.6 ymax: 2693715</w:t>
      </w:r>
      <w:r>
        <w:br/>
      </w:r>
      <w:r>
        <w:rPr>
          <w:rStyle w:val="VerbatimChar"/>
        </w:rPr>
        <w:t xml:space="preserve">## Projected CRS: Africa_Albers_Equal_Area_Conic</w:t>
      </w:r>
    </w:p>
    <w:p>
      <w:pPr>
        <w:jc w:val="center"/>
        <w:pStyle w:val="Normal"/>
      </w:pPr>
      <w:r>
        <w:rPr/>
        <w:drawing>
          <wp:inline distT="0" distB="0" distL="0" distR="0">
            <wp:extent cx="9144000" cy="64008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27"/>
                    <a:stretch>
                      <a:fillRect/>
                    </a:stretch>
                  </pic:blipFill>
                  <pic:spPr bwMode="auto">
                    <a:xfrm>
                      <a:off x="0" y="0"/>
                      <a:ext cx="127000" cy="88900"/>
                    </a:xfrm>
                    <a:prstGeom prst="rect">
                      <a:avLst/>
                    </a:prstGeom>
                    <a:noFill/>
                  </pic:spPr>
                </pic:pic>
              </a:graphicData>
            </a:graphic>
          </wp:inline>
        </w:drawing>
      </w:r>
    </w:p>
    <w:p>
      <w:pPr>
        <w:pStyle w:val="ImageCaption"/>
      </w:pPr>
      <w:r>
        <w:rPr>
          <w:rFonts/>
          <w:b w:val="true"/>
        </w:rPr>
        <w:t xml:space="preserve">Figure </w:t>
      </w:r>
      <w:bookmarkStart w:id="edf37f71-ac56-4bf8-86ba-e48b701da9a6" w:name="carte-region-fcs-213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df37f71-ac56-4bf8-86ba-e48b701da9a6"/>
      <w:r>
        <w:rPr>
          <w:rFonts/>
          <w:b w:val="true"/>
        </w:rPr>
        <w:t xml:space="preserve">: </w:t>
      </w:r>
      <w:r>
        <w:t xml:space="preserve">Catégorie FCS dominante par région (seuils 21/35)</w:t>
      </w:r>
    </w:p>
    <w:p>
      <w:pPr>
        <w:pStyle w:val="Corpsdetexte"/>
      </w:pPr>
      <w:r>
        <w:rPr>
          <w:b/>
          <w:bCs/>
        </w:rPr>
        <w:t xml:space="preserve">Analyse de la carte régionale du Score de Consommation Alimentaire (seuils 21/35)</w:t>
      </w:r>
    </w:p>
    <w:p>
      <w:pPr>
        <w:pStyle w:val="Corpsdetexte"/>
      </w:pPr>
      <w:r>
        <w:t xml:space="preserve">La carte représente, pour chaque région, la</w:t>
      </w:r>
      <w:r>
        <w:t xml:space="preserve"> </w:t>
      </w:r>
      <w:r>
        <w:rPr>
          <w:b/>
          <w:bCs/>
        </w:rPr>
        <w:t xml:space="preserve">catégorie dominante</w:t>
      </w:r>
      <w:r>
        <w:t xml:space="preserve"> </w:t>
      </w:r>
      <w:r>
        <w:t xml:space="preserve">du Score de Consommation Alimentaire (FCS), selon les seuils de classification suivants :</w:t>
      </w:r>
      <w:r>
        <w:t xml:space="preserve"> </w:t>
      </w:r>
      <w:r>
        <w:t xml:space="preserve">-</w:t>
      </w:r>
      <w:r>
        <w:t xml:space="preserve"> </w:t>
      </w:r>
      <w:r>
        <w:rPr>
          <w:b/>
          <w:bCs/>
        </w:rPr>
        <w:t xml:space="preserve">Pauvre</w:t>
      </w:r>
      <w:r>
        <w:t xml:space="preserve"> </w:t>
      </w:r>
      <w:r>
        <w:t xml:space="preserve">: FCS ≤ 21</w:t>
      </w:r>
      <w:r>
        <w:t xml:space="preserve"> </w:t>
      </w:r>
      <w:r>
        <w:t xml:space="preserve">-</w:t>
      </w:r>
      <w:r>
        <w:t xml:space="preserve"> </w:t>
      </w:r>
      <w:r>
        <w:rPr>
          <w:b/>
          <w:bCs/>
        </w:rPr>
        <w:t xml:space="preserve">Limite</w:t>
      </w:r>
      <w:r>
        <w:t xml:space="preserve"> </w:t>
      </w:r>
      <w:r>
        <w:t xml:space="preserve">: 21 &lt; FCS ≤ 35</w:t>
      </w:r>
      <w:r>
        <w:t xml:space="preserve"> </w:t>
      </w:r>
      <w:r>
        <w:t xml:space="preserve">-</w:t>
      </w:r>
      <w:r>
        <w:t xml:space="preserve"> </w:t>
      </w:r>
      <w:r>
        <w:rPr>
          <w:b/>
          <w:bCs/>
        </w:rPr>
        <w:t xml:space="preserve">Acceptable</w:t>
      </w:r>
      <w:r>
        <w:t xml:space="preserve"> </w:t>
      </w:r>
      <w:r>
        <w:t xml:space="preserve">: FCS &gt; 35</w:t>
      </w:r>
    </w:p>
    <w:p>
      <w:pPr>
        <w:pStyle w:val="Corpsdetexte"/>
      </w:pPr>
      <w:r>
        <w:t xml:space="preserve">Seule la</w:t>
      </w:r>
      <w:r>
        <w:t xml:space="preserve"> </w:t>
      </w:r>
      <w:r>
        <w:rPr>
          <w:b/>
          <w:bCs/>
        </w:rPr>
        <w:t xml:space="preserve">catégorie la plus représentée</w:t>
      </w:r>
      <w:r>
        <w:t xml:space="preserve"> </w:t>
      </w:r>
      <w:r>
        <w:t xml:space="preserve">(en proportion de ménages) est affichée pour chaque région.</w:t>
      </w:r>
    </w:p>
    <w:p>
      <w:pPr>
        <w:pStyle w:val="Corpsdetexte"/>
      </w:pPr>
      <w:r>
        <w:rPr>
          <w:b/>
          <w:bCs/>
        </w:rPr>
        <w:t xml:space="preserve">Principaux constats :</w:t>
      </w:r>
    </w:p>
    <w:p>
      <w:pPr>
        <w:pStyle w:val="Compact"/>
        <w:numPr>
          <w:ilvl w:val="0"/>
          <w:numId w:val="1023"/>
        </w:numPr>
      </w:pPr>
      <w:r>
        <w:t xml:space="preserve">Une majorité des régions apparaissent en</w:t>
      </w:r>
      <w:r>
        <w:t xml:space="preserve"> </w:t>
      </w:r>
      <w:r>
        <w:rPr>
          <w:b/>
          <w:bCs/>
        </w:rPr>
        <w:t xml:space="preserve">vert</w:t>
      </w:r>
      <w:r>
        <w:t xml:space="preserve">, ce qui signifie que la</w:t>
      </w:r>
      <w:r>
        <w:t xml:space="preserve"> </w:t>
      </w:r>
      <w:r>
        <w:rPr>
          <w:b/>
          <w:bCs/>
        </w:rPr>
        <w:t xml:space="preserve">catégorie</w:t>
      </w:r>
      <w:r>
        <w:rPr>
          <w:b/>
          <w:bCs/>
        </w:rPr>
        <w:t xml:space="preserve"> </w:t>
      </w:r>
      <w:r>
        <w:rPr>
          <w:b/>
          <w:bCs/>
        </w:rPr>
        <w:t xml:space="preserve">“</w:t>
      </w:r>
      <w:r>
        <w:rPr>
          <w:b/>
          <w:bCs/>
        </w:rPr>
        <w:t xml:space="preserve">Acceptable</w:t>
      </w:r>
      <w:r>
        <w:rPr>
          <w:b/>
          <w:bCs/>
        </w:rPr>
        <w:t xml:space="preserve">”</w:t>
      </w:r>
      <w:r>
        <w:t xml:space="preserve"> </w:t>
      </w:r>
      <w:r>
        <w:t xml:space="preserve">est la plus fréquente dans ces zones.</w:t>
      </w:r>
    </w:p>
    <w:p>
      <w:pPr>
        <w:pStyle w:val="Compact"/>
        <w:numPr>
          <w:ilvl w:val="0"/>
          <w:numId w:val="1023"/>
        </w:numPr>
      </w:pPr>
      <w:r>
        <w:t xml:space="preserve">Cependant, plusieurs régions restent en</w:t>
      </w:r>
      <w:r>
        <w:t xml:space="preserve"> </w:t>
      </w:r>
      <w:r>
        <w:rPr>
          <w:b/>
          <w:bCs/>
        </w:rPr>
        <w:t xml:space="preserve">gris</w:t>
      </w:r>
      <w:r>
        <w:t xml:space="preserve">, ce qui signifie que</w:t>
      </w:r>
      <w:r>
        <w:t xml:space="preserve"> </w:t>
      </w:r>
      <w:r>
        <w:rPr>
          <w:b/>
          <w:bCs/>
        </w:rPr>
        <w:t xml:space="preserve">les données n’ont pas permis d’identifier une catégorie dominante</w:t>
      </w:r>
      <w:r>
        <w:t xml:space="preserve"> </w:t>
      </w:r>
      <w:r>
        <w:t xml:space="preserve">dans ces zones. Cela peut être dû à l’absence des données dans ces régions ;</w:t>
      </w:r>
    </w:p>
    <w:p>
      <w:pPr>
        <w:pStyle w:val="FirstParagraph"/>
      </w:pPr>
      <w:r>
        <w:rPr>
          <w:b/>
          <w:bCs/>
        </w:rPr>
        <w:t xml:space="preserve">Interprétation opérationnelle :</w:t>
      </w:r>
    </w:p>
    <w:p>
      <w:pPr>
        <w:pStyle w:val="Compact"/>
        <w:numPr>
          <w:ilvl w:val="0"/>
          <w:numId w:val="1024"/>
        </w:numPr>
      </w:pPr>
      <w:r>
        <w:t xml:space="preserve">La dominance de la catégorie</w:t>
      </w:r>
      <w:r>
        <w:t xml:space="preserve"> </w:t>
      </w:r>
      <w:r>
        <w:rPr>
          <w:b/>
          <w:bCs/>
        </w:rPr>
        <w:t xml:space="preserve">“</w:t>
      </w:r>
      <w:r>
        <w:rPr>
          <w:b/>
          <w:bCs/>
        </w:rPr>
        <w:t xml:space="preserve">Acceptable</w:t>
      </w:r>
      <w:r>
        <w:rPr>
          <w:b/>
          <w:bCs/>
        </w:rPr>
        <w:t xml:space="preserve">”</w:t>
      </w:r>
      <w:r>
        <w:t xml:space="preserve"> </w:t>
      </w:r>
      <w:r>
        <w:t xml:space="preserve">est une indication rassurante à première vue, mais elle doit être interprétée avec prudence :</w:t>
      </w:r>
    </w:p>
    <w:p>
      <w:pPr>
        <w:pStyle w:val="Compact"/>
        <w:numPr>
          <w:ilvl w:val="1"/>
          <w:numId w:val="1025"/>
        </w:numPr>
      </w:pPr>
      <w:r>
        <w:t xml:space="preserve">Cela ne signifie pas que toute la région est sécurisée sur le plan alimentaire ;</w:t>
      </w:r>
    </w:p>
    <w:p>
      <w:pPr>
        <w:pStyle w:val="Compact"/>
        <w:numPr>
          <w:ilvl w:val="1"/>
          <w:numId w:val="1025"/>
        </w:numPr>
      </w:pPr>
      <w:r>
        <w:t xml:space="preserve">Il est essentiel de compléter cette lecture par l’analyse des proportions des catégories</w:t>
      </w:r>
      <w:r>
        <w:t xml:space="preserve"> </w:t>
      </w:r>
      <w:r>
        <w:rPr>
          <w:b/>
          <w:bCs/>
        </w:rPr>
        <w:t xml:space="preserve">“</w:t>
      </w:r>
      <w:r>
        <w:rPr>
          <w:b/>
          <w:bCs/>
        </w:rPr>
        <w:t xml:space="preserve">Pauvre</w:t>
      </w:r>
      <w:r>
        <w:rPr>
          <w:b/>
          <w:bCs/>
        </w:rPr>
        <w:t xml:space="preserve">”</w:t>
      </w:r>
      <w:r>
        <w:t xml:space="preserve"> </w:t>
      </w:r>
      <w:r>
        <w:t xml:space="preserve">et</w:t>
      </w:r>
      <w:r>
        <w:t xml:space="preserve"> </w:t>
      </w:r>
      <w:r>
        <w:rPr>
          <w:b/>
          <w:bCs/>
        </w:rPr>
        <w:t xml:space="preserve">“</w:t>
      </w:r>
      <w:r>
        <w:rPr>
          <w:b/>
          <w:bCs/>
        </w:rPr>
        <w:t xml:space="preserve">Limite</w:t>
      </w:r>
      <w:r>
        <w:rPr>
          <w:b/>
          <w:bCs/>
        </w:rPr>
        <w:t xml:space="preserve">”</w:t>
      </w:r>
      <w:r>
        <w:t xml:space="preserve"> </w:t>
      </w:r>
      <w:r>
        <w:t xml:space="preserve">dans chaque région ;</w:t>
      </w:r>
    </w:p>
    <w:p>
      <w:pPr>
        <w:pStyle w:val="Compact"/>
        <w:numPr>
          <w:ilvl w:val="1"/>
          <w:numId w:val="1025"/>
        </w:numPr>
      </w:pPr>
      <w:r>
        <w:t xml:space="preserve">Les résultats sont sensibles au choix des</w:t>
      </w:r>
      <w:r>
        <w:t xml:space="preserve"> </w:t>
      </w:r>
      <w:r>
        <w:rPr>
          <w:b/>
          <w:bCs/>
        </w:rPr>
        <w:t xml:space="preserve">seuils de classification</w:t>
      </w:r>
      <w:r>
        <w:t xml:space="preserve">.</w:t>
      </w:r>
    </w:p>
    <w:p>
      <w:pPr>
        <w:pStyle w:val="FirstParagraph"/>
      </w:pPr>
      <w:r>
        <w:t xml:space="preserve">Cette carte offre une vue d’ensemble utile pour le</w:t>
      </w:r>
      <w:r>
        <w:t xml:space="preserve"> </w:t>
      </w:r>
      <w:r>
        <w:rPr>
          <w:b/>
          <w:bCs/>
        </w:rPr>
        <w:t xml:space="preserve">ciblage géographique</w:t>
      </w:r>
      <w:r>
        <w:t xml:space="preserve"> </w:t>
      </w:r>
      <w:r>
        <w:t xml:space="preserve">des politiques alimentaires, mais doit être croisée avec les données départementales pour affiner l’intervention.</w:t>
      </w:r>
    </w:p>
    <w:p>
      <w:pPr>
        <w:pStyle w:val="Corpsdetexte"/>
      </w:pPr>
      <w:r>
        <w:t xml:space="preserve">Nous affichons maintenant la carte départementale du Score de Consommation Alimentaire (seuils 21/35</w:t>
      </w:r>
    </w:p>
    <w:p>
      <w:pPr>
        <w:pStyle w:val="SourceCode"/>
      </w:pPr>
      <w:r>
        <w:rPr>
          <w:rStyle w:val="VerbatimChar"/>
        </w:rPr>
        <w:t xml:space="preserve">## Reading layer `tcd_admbnda_adm2_20250212_AB' from data source </w:t>
      </w:r>
      <w:r>
        <w:br/>
      </w:r>
      <w:r>
        <w:rPr>
          <w:rStyle w:val="VerbatimChar"/>
        </w:rPr>
        <w:t xml:space="preserve">##   `C:\Users\DELL\Desktop\Devoir R\Examen - ISEP3\tcd_admbnda_adm2_20250212_AB.shp' </w:t>
      </w:r>
      <w:r>
        <w:br/>
      </w:r>
      <w:r>
        <w:rPr>
          <w:rStyle w:val="VerbatimChar"/>
        </w:rPr>
        <w:t xml:space="preserve">##   using driver `ESRI Shapefile'</w:t>
      </w:r>
      <w:r>
        <w:br/>
      </w:r>
      <w:r>
        <w:rPr>
          <w:rStyle w:val="VerbatimChar"/>
        </w:rPr>
        <w:t xml:space="preserve">## Simple feature collection with 70 features and 7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-1203504 ymin: 878475.6 xmax: -103563.6 ymax: 2693715</w:t>
      </w:r>
      <w:r>
        <w:br/>
      </w:r>
      <w:r>
        <w:rPr>
          <w:rStyle w:val="VerbatimChar"/>
        </w:rPr>
        <w:t xml:space="preserve">## Projected CRS: Africa_Albers_Equal_Area_Conic</w:t>
      </w:r>
    </w:p>
    <w:p>
      <w:pPr>
        <w:jc w:val="center"/>
        <w:pStyle w:val="Normal"/>
      </w:pPr>
      <w:r>
        <w:rPr/>
        <w:drawing>
          <wp:inline distT="0" distB="0" distL="0" distR="0">
            <wp:extent cx="9144000" cy="64008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28"/>
                    <a:stretch>
                      <a:fillRect/>
                    </a:stretch>
                  </pic:blipFill>
                  <pic:spPr bwMode="auto">
                    <a:xfrm>
                      <a:off x="0" y="0"/>
                      <a:ext cx="127000" cy="88900"/>
                    </a:xfrm>
                    <a:prstGeom prst="rect">
                      <a:avLst/>
                    </a:prstGeom>
                    <a:noFill/>
                  </pic:spPr>
                </pic:pic>
              </a:graphicData>
            </a:graphic>
          </wp:inline>
        </w:drawing>
      </w:r>
    </w:p>
    <w:p>
      <w:pPr>
        <w:pStyle w:val="ImageCaption"/>
      </w:pPr>
      <w:r>
        <w:rPr>
          <w:rFonts/>
          <w:b w:val="true"/>
        </w:rPr>
        <w:t xml:space="preserve">Figure </w:t>
      </w:r>
      <w:bookmarkStart w:id="8b896744-7dfb-4ff3-9e66-b00781a19abc" w:name="carte_region_fcs_213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b896744-7dfb-4ff3-9e66-b00781a19abc"/>
      <w:r>
        <w:rPr>
          <w:rFonts/>
          <w:b w:val="true"/>
        </w:rPr>
        <w:t xml:space="preserve">: </w:t>
      </w:r>
      <w:r>
        <w:t xml:space="preserve">Catégorie FCS dominante par departement (seuils 21/35)</w:t>
      </w:r>
    </w:p>
    <w:p>
      <w:pPr>
        <w:pStyle w:val="Corpsdetexte"/>
      </w:pPr>
      <w:r>
        <w:rPr>
          <w:b/>
          <w:bCs/>
        </w:rPr>
        <w:t xml:space="preserve">Analyse de la carte départementale du Score de Consommation Alimentaire (seuils 21/35)</w:t>
      </w:r>
    </w:p>
    <w:p>
      <w:pPr>
        <w:pStyle w:val="Compact"/>
        <w:numPr>
          <w:ilvl w:val="0"/>
          <w:numId w:val="1026"/>
        </w:numPr>
      </w:pPr>
      <w:r>
        <w:t xml:space="preserve">La plupart des départements colorés apparaissent en</w:t>
      </w:r>
      <w:r>
        <w:t xml:space="preserve"> </w:t>
      </w:r>
      <w:r>
        <w:rPr>
          <w:b/>
          <w:bCs/>
        </w:rPr>
        <w:t xml:space="preserve">vert</w:t>
      </w:r>
      <w:r>
        <w:t xml:space="preserve">, ce qui indique que la majorité des ménages y ont une consommation alimentaire jugée</w:t>
      </w:r>
      <w:r>
        <w:t xml:space="preserve"> </w:t>
      </w:r>
      <w:r>
        <w:rPr>
          <w:b/>
          <w:bCs/>
        </w:rPr>
        <w:t xml:space="preserve">acceptable</w:t>
      </w:r>
      <w:r>
        <w:t xml:space="preserve">.</w:t>
      </w:r>
    </w:p>
    <w:p>
      <w:pPr>
        <w:pStyle w:val="Compact"/>
        <w:numPr>
          <w:ilvl w:val="0"/>
          <w:numId w:val="1026"/>
        </w:numPr>
      </w:pPr>
      <w:r>
        <w:t xml:space="preserve">Certaines zones apparaissent en</w:t>
      </w:r>
      <w:r>
        <w:t xml:space="preserve"> </w:t>
      </w:r>
      <w:r>
        <w:rPr>
          <w:b/>
          <w:bCs/>
        </w:rPr>
        <w:t xml:space="preserve">gris</w:t>
      </w:r>
      <w:r>
        <w:t xml:space="preserve"> </w:t>
      </w:r>
      <w:r>
        <w:t xml:space="preserve">(catégorie</w:t>
      </w:r>
      <w:r>
        <w:t xml:space="preserve"> </w:t>
      </w:r>
      <w:r>
        <w:rPr>
          <w:rStyle w:val="VerbatimChar"/>
        </w:rPr>
        <w:t xml:space="preserve">NA</w:t>
      </w:r>
      <w:r>
        <w:t xml:space="preserve">), ce qui peut s’expliquer par : une</w:t>
      </w:r>
      <w:r>
        <w:t xml:space="preserve"> </w:t>
      </w:r>
      <w:r>
        <w:rPr>
          <w:b/>
          <w:bCs/>
        </w:rPr>
        <w:t xml:space="preserve">absence de données</w:t>
      </w:r>
      <w:r>
        <w:t xml:space="preserve"> </w:t>
      </w:r>
      <w:r>
        <w:t xml:space="preserve">dans ces départements ;</w:t>
      </w:r>
    </w:p>
    <w:p>
      <w:pPr>
        <w:pStyle w:val="FirstParagraph"/>
      </w:pPr>
      <w:r>
        <w:t xml:space="preserve">Affichons maintenant la carte régionale du Score de Consommation Alimentaire (seuils 28/42</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29"/>
                    <a:stretch>
                      <a:fillRect/>
                    </a:stretch>
                  </pic:blipFill>
                  <pic:spPr bwMode="auto">
                    <a:xfrm>
                      <a:off x="0" y="0"/>
                      <a:ext cx="127000" cy="88900"/>
                    </a:xfrm>
                    <a:prstGeom prst="rect">
                      <a:avLst/>
                    </a:prstGeom>
                    <a:noFill/>
                  </pic:spPr>
                </pic:pic>
              </a:graphicData>
            </a:graphic>
          </wp:inline>
        </w:drawing>
      </w:r>
    </w:p>
    <w:p>
      <w:pPr>
        <w:pStyle w:val="ImageCaption"/>
      </w:pPr>
      <w:r>
        <w:rPr>
          <w:rFonts/>
          <w:b w:val="true"/>
        </w:rPr>
        <w:t xml:space="preserve">Figure </w:t>
      </w:r>
      <w:bookmarkStart w:id="38787922-28b0-457f-9811-ef495c9fafcc" w:name="carte-region-fcs-284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8787922-28b0-457f-9811-ef495c9fafcc"/>
      <w:r>
        <w:rPr>
          <w:rFonts/>
          <w:b w:val="true"/>
        </w:rPr>
        <w:t xml:space="preserve">: </w:t>
      </w:r>
      <w:r>
        <w:t xml:space="preserve">Catégorie FCS dominante par région (seuils 28/42)</w:t>
      </w:r>
    </w:p>
    <w:p>
      <w:pPr>
        <w:pStyle w:val="Corpsdetexte"/>
      </w:pPr>
      <w:r>
        <w:t xml:space="preserve">La carte présente la répartition des catégories FCS dominantes par région selon la grille de seuils 28/42. On observe que, malgré un seuil plus strict que celui de 21/35, la majorité des régions restent classées dans la catégorie</w:t>
      </w:r>
      <w:r>
        <w:t xml:space="preserve"> </w:t>
      </w:r>
      <w:r>
        <w:t xml:space="preserve">“</w:t>
      </w:r>
      <w:r>
        <w:t xml:space="preserve">Acceptable</w:t>
      </w:r>
      <w:r>
        <w:t xml:space="preserve">”</w:t>
      </w:r>
      <w:r>
        <w:t xml:space="preserve">. Toutefois, certaines zones apparaissent sans données (en gris), ce qui souligne des limitations dans la couverture de l’enquête.</w:t>
      </w:r>
    </w:p>
    <w:p>
      <w:pPr>
        <w:pStyle w:val="Corpsdetexte"/>
      </w:pPr>
      <w:r>
        <w:t xml:space="preserve">Passons maintenant à la carte départementale du Score de Consommation Alimentaire (seuils 28/42</w:t>
      </w:r>
    </w:p>
    <w:p>
      <w:pPr>
        <w:jc w:val="center"/>
        <w:pStyle w:val="Normal"/>
      </w:pPr>
      <w:r>
        <w:rPr/>
        <w:drawing>
          <wp:inline distT="0" distB="0" distL="0" distR="0">
            <wp:extent cx="9144000" cy="64008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30"/>
                    <a:stretch>
                      <a:fillRect/>
                    </a:stretch>
                  </pic:blipFill>
                  <pic:spPr bwMode="auto">
                    <a:xfrm>
                      <a:off x="0" y="0"/>
                      <a:ext cx="127000" cy="88900"/>
                    </a:xfrm>
                    <a:prstGeom prst="rect">
                      <a:avLst/>
                    </a:prstGeom>
                    <a:noFill/>
                  </pic:spPr>
                </pic:pic>
              </a:graphicData>
            </a:graphic>
          </wp:inline>
        </w:drawing>
      </w:r>
    </w:p>
    <w:p>
      <w:pPr>
        <w:pStyle w:val="ImageCaption"/>
      </w:pPr>
      <w:r>
        <w:rPr>
          <w:rFonts/>
          <w:b w:val="true"/>
        </w:rPr>
        <w:t xml:space="preserve">Figure </w:t>
      </w:r>
      <w:bookmarkStart w:id="36ea0e01-0448-4d97-9266-c90f305b29e0" w:name="carte-departement-fcs-284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6ea0e01-0448-4d97-9266-c90f305b29e0"/>
      <w:r>
        <w:rPr>
          <w:rFonts/>
          <w:b w:val="true"/>
        </w:rPr>
        <w:t xml:space="preserve">: </w:t>
      </w:r>
      <w:r>
        <w:t xml:space="preserve">Catégorie FCS dominante par departement (seuils 28/42)</w:t>
      </w:r>
    </w:p>
    <w:p>
      <w:pPr>
        <w:pStyle w:val="Corpsdetexte"/>
      </w:pPr>
      <w:r>
        <w:t xml:space="preserve">La carte révèle une situation plus contrastée que les précédentes : en appliquant la grille 28/42, plusieurs départements passent dans des catégories de consommation alimentaire plus préoccupantes. On observe clairement l’émergence de départements classés comme</w:t>
      </w:r>
      <w:r>
        <w:t xml:space="preserve"> </w:t>
      </w:r>
      <w:r>
        <w:t xml:space="preserve">“</w:t>
      </w:r>
      <w:r>
        <w:t xml:space="preserve">Pauvres</w:t>
      </w:r>
      <w:r>
        <w:t xml:space="preserve">”</w:t>
      </w:r>
      <w:r>
        <w:t xml:space="preserve"> </w:t>
      </w:r>
      <w:r>
        <w:t xml:space="preserve">(en rouge) et</w:t>
      </w:r>
      <w:r>
        <w:t xml:space="preserve"> </w:t>
      </w:r>
      <w:r>
        <w:t xml:space="preserve">“</w:t>
      </w:r>
      <w:r>
        <w:t xml:space="preserve">Limites</w:t>
      </w:r>
      <w:r>
        <w:t xml:space="preserve">”</w:t>
      </w:r>
      <w:r>
        <w:t xml:space="preserve"> </w:t>
      </w:r>
      <w:r>
        <w:t xml:space="preserve">(en jaune), indiquant une détérioration de la situation alimentaire dans ces zones avec ce seuil plus strict. Cette visualisation montre ainsi que le choix des seuils influence significativement le diagnostic territorial, et souligne la nécessité de prendre en compte les zones vulnérables même lorsque la moyenne régionale semble satisfaisante.</w:t>
      </w:r>
    </w:p>
    <w:p>
      <w:pPr>
        <w:pStyle w:val="Corpsdetexte"/>
      </w:pPr>
      <w:r>
        <w:t xml:space="preserve">L’analyse cartographique du Score de Consommation Alimentaire (FCS) a permis de mettre en évidence les disparités territoriales en matière de sécurité alimentaire, selon deux grilles de classification (21/35 et 28/42). À l’échelle régionale, la majorité des zones semblent dans une situation acceptable, mais une lecture plus fine au niveau départemental révèle l’existence de poches d’insécurité alimentaire préoccupantes, en particulier avec le seuil 28/42.</w:t>
      </w:r>
    </w:p>
    <w:p>
      <w:pPr>
        <w:pStyle w:val="Corpsdetexte"/>
      </w:pPr>
      <w:r>
        <w:t xml:space="preserve">Ces représentations spatiales confirment l’importance du</w:t>
      </w:r>
      <w:r>
        <w:t xml:space="preserve"> </w:t>
      </w:r>
      <w:r>
        <w:rPr>
          <w:b/>
          <w:bCs/>
        </w:rPr>
        <w:t xml:space="preserve">niveau d’analyse géographique</w:t>
      </w:r>
      <w:r>
        <w:t xml:space="preserve"> </w:t>
      </w:r>
      <w:r>
        <w:t xml:space="preserve">et du</w:t>
      </w:r>
      <w:r>
        <w:t xml:space="preserve"> </w:t>
      </w:r>
      <w:r>
        <w:rPr>
          <w:b/>
          <w:bCs/>
        </w:rPr>
        <w:t xml:space="preserve">choix des seuils</w:t>
      </w:r>
      <w:r>
        <w:t xml:space="preserve"> </w:t>
      </w:r>
      <w:r>
        <w:t xml:space="preserve">dans l’interprétation des résultats. Elles constituent un outil essentiel pour le</w:t>
      </w:r>
      <w:r>
        <w:t xml:space="preserve"> </w:t>
      </w:r>
      <w:r>
        <w:rPr>
          <w:b/>
          <w:bCs/>
        </w:rPr>
        <w:t xml:space="preserve">ciblage territorial</w:t>
      </w:r>
      <w:r>
        <w:t xml:space="preserve"> </w:t>
      </w:r>
      <w:r>
        <w:t xml:space="preserve">des interventions, l’allocation des ressources et la priorisation des zones à risque dans les stratégies de sécurité alimentaire.</w:t>
      </w:r>
    </w:p>
    <w:p>
      <w:r>
        <w:br w:type="page"/>
      </w:r>
    </w:p>
    <w:bookmarkEnd w:id="39"/>
    <w:bookmarkEnd w:id="40"/>
    <w:bookmarkStart w:id="45" w:name="X6a364015f8ddad6cca8e03528131f99f6a7f581"/>
    <w:p>
      <w:pPr>
        <w:pStyle w:val="Titre1"/>
      </w:pPr>
      <w:r>
        <w:t xml:space="preserve">L’indice réduit des stratégies de survie (rCSI)</w:t>
      </w:r>
    </w:p>
    <w:bookmarkStart w:id="41" w:name="Xd4ae2a6134e2f853642cdc18feabf42115a7db5"/>
    <w:p>
      <w:pPr>
        <w:pStyle w:val="Titre2"/>
      </w:pPr>
      <w:r>
        <w:t xml:space="preserve">Analyse descriptive des variables qui composent le rCSI</w:t>
      </w:r>
    </w:p>
    <w:p>
      <w:pPr>
        <w:pStyle w:val="FirstParagraph"/>
      </w:pPr>
      <w:r>
        <w:t xml:space="preserve">L’indice réduit des stratégies de survie (rCSI) est un indicateur composite utilisé pour évaluer la pression exercée sur un ménage en situation d’insécurité alimentaire. Il se base sur la fréquence d’adoption, au cours des 7 derniers jours, de cinq stratégies comportementales de gestion de crise alimentaire. Plus la fréquence d’adoption est élevée, plus l’indice est élevé, ce qui traduit un recours accru à des stratégies de survie.</w:t>
      </w:r>
    </w:p>
    <w:p>
      <w:pPr>
        <w:pStyle w:val="Corpsdetexte"/>
      </w:pPr>
      <w:r>
        <w:t xml:space="preserve">Les cinq composantes du rCSI analysées ici sont :</w:t>
      </w:r>
      <w:r>
        <w:t xml:space="preserve"> </w:t>
      </w:r>
      <w:r>
        <w:t xml:space="preserve">- Le recours à des aliments moins préférés ou moins chers ;</w:t>
      </w:r>
      <w:r>
        <w:t xml:space="preserve"> </w:t>
      </w:r>
      <w:r>
        <w:t xml:space="preserve">- L’emprunt de nourriture ou l’aide reçue de proches ;</w:t>
      </w:r>
      <w:r>
        <w:t xml:space="preserve"> </w:t>
      </w:r>
      <w:r>
        <w:t xml:space="preserve">- La réduction de la taille des portions aux repas ;</w:t>
      </w:r>
      <w:r>
        <w:t xml:space="preserve"> </w:t>
      </w:r>
      <w:r>
        <w:t xml:space="preserve">- La restriction de la consommation des adultes pour préserver celle des enfants ;</w:t>
      </w:r>
      <w:r>
        <w:t xml:space="preserve"> </w:t>
      </w:r>
      <w:r>
        <w:t xml:space="preserve">- La réduction du nombre de repas par jour.</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Analyse descriptive des composantes du rCSI</w:t>
      </w:r>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Stratégie de survie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N = 8,950</w:t>
            </w:r>
            <w:r>
              <w:rPr>
                <w:rFonts w:ascii="Arial" w:hAnsi="Arial" w:eastAsia="Arial" w:cs="Arial"/>
                <w:i w:val="false"/>
                <w:b w:val="false"/>
                <w:u w:val="none"/>
                <w:vertAlign w:val="superscript"/>
                <w:sz w:val="16"/>
                <w:szCs w:val="16"/>
                <w:color w:val="000000"/>
              </w:rPr>
              <w:t xml:space="preserve">1</w:t>
            </w:r>
          </w:p>
        </w:tc>
      </w:tr>
      <w:tr>
        <w:trPr>
          <w:trHeight w:val="29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Moins bonne qualité d’aliments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4,065 (45%)</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2,233 (25%)</w:t>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1,475 (16%)</w:t>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633 (7.1%)</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186 (2.1%)</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129 (1.4%)</w:t>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36 (0.4%)</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7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193 (2.2%)</w:t>
            </w:r>
          </w:p>
        </w:tc>
      </w:tr>
      <w:tr>
        <w:trPr>
          <w:trHeight w:val="2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Emprunt de nourriture / aide reçue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4,209 (47%)</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2,162 (24%)</w:t>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1,449 (16%)</w:t>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643 (7.2%)</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176 (2.0%)</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111 (1.2%)</w:t>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28 (0.3%)</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7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172 (1.9%)</w:t>
            </w:r>
          </w:p>
        </w:tc>
      </w:tr>
      <w:tr>
        <w:trPr>
          <w:trHeight w:val="29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Réduction de la taille des repas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5,543 (62%)</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1,767 (20%)</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994 (11%)</w:t>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424 (4.7%)</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124 (1.4%)</w:t>
            </w:r>
          </w:p>
        </w:tc>
      </w:tr>
      <w:tr>
        <w:trPr>
          <w:trHeight w:val="29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 (0.5%)</w:t>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11 (0.1%)</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7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45 (0.5%)</w:t>
            </w:r>
          </w:p>
        </w:tc>
      </w:tr>
      <w:tr>
        <w:trPr>
          <w:trHeight w:val="2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Restriction des adultes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6,761 (76%)</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1,319 (15%)</w:t>
            </w:r>
          </w:p>
        </w:tc>
      </w:tr>
      <w:tr>
        <w:trPr>
          <w:trHeight w:val="29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518 (5.8%)</w:t>
            </w:r>
          </w:p>
        </w:tc>
      </w:tr>
      <w:tr>
        <w:trPr>
          <w:trHeight w:val="2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227 (2.5%)</w:t>
            </w:r>
          </w:p>
        </w:tc>
      </w:tr>
      <w:tr>
        <w:trPr>
          <w:trHeight w:val="29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68 (0.8%)</w:t>
            </w:r>
          </w:p>
        </w:tc>
      </w:tr>
      <w:tr>
        <w:trPr>
          <w:trHeight w:val="29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 (0.3%)</w:t>
            </w:r>
          </w:p>
        </w:tc>
      </w:tr>
      <w:tr>
        <w:trPr>
          <w:trHeight w:val="29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(&lt;0.1%)</w:t>
            </w:r>
          </w:p>
        </w:tc>
      </w:tr>
      <w:tr>
        <w:trPr>
          <w:trHeight w:val="2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7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28 (0.3%)</w:t>
            </w:r>
          </w:p>
        </w:tc>
      </w:tr>
      <w:tr>
        <w:trPr>
          <w:trHeight w:val="291"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Réduction du nombre de repas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Jamais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5,737 (64%)</w:t>
            </w:r>
          </w:p>
        </w:tc>
      </w:tr>
      <w:tr>
        <w:trPr>
          <w:trHeight w:val="29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 jour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1,738 (19%)</w:t>
            </w:r>
          </w:p>
        </w:tc>
      </w:tr>
      <w:tr>
        <w:trPr>
          <w:trHeight w:val="29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898 (10%)</w:t>
            </w:r>
          </w:p>
        </w:tc>
      </w:tr>
      <w:tr>
        <w:trPr>
          <w:trHeight w:val="29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350 (3.9%)</w:t>
            </w:r>
          </w:p>
        </w:tc>
      </w:tr>
      <w:tr>
        <w:trPr>
          <w:trHeight w:val="29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120 (1.3%)</w:t>
            </w:r>
          </w:p>
        </w:tc>
      </w:tr>
      <w:tr>
        <w:trPr>
          <w:trHeight w:val="294"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51 (0.6%)</w:t>
            </w:r>
          </w:p>
        </w:tc>
      </w:tr>
      <w:tr>
        <w:trPr>
          <w:trHeight w:val="29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 (&lt;0.1%)</w:t>
            </w:r>
          </w:p>
        </w:tc>
      </w:tr>
      <w:tr>
        <w:trPr>
          <w:trHeight w:val="294" w:hRule="auto"/>
        </w:trPr>
        body45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Tous les 7 jours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48 (0.5%)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n (%)</w:t>
            </w:r>
          </w:p>
        </w:tc>
      </w:tr>
    </w:tbl>
    <w:p>
      <w:pPr>
        <w:pStyle w:val="Corpsdetexte"/>
      </w:pPr>
      <w:r>
        <w:t xml:space="preserve">Le tableau montre que la</w:t>
      </w:r>
      <w:r>
        <w:t xml:space="preserve"> </w:t>
      </w:r>
      <w:r>
        <w:rPr>
          <w:b/>
          <w:bCs/>
        </w:rPr>
        <w:t xml:space="preserve">stratégie la plus fréquemment adoptée</w:t>
      </w:r>
      <w:r>
        <w:t xml:space="preserve"> </w:t>
      </w:r>
      <w:r>
        <w:t xml:space="preserve">est le</w:t>
      </w:r>
      <w:r>
        <w:t xml:space="preserve"> </w:t>
      </w:r>
      <w:r>
        <w:rPr>
          <w:b/>
          <w:bCs/>
        </w:rPr>
        <w:t xml:space="preserve">recours à des aliments moins préférés ou moins chers</w:t>
      </w:r>
      <w:r>
        <w:t xml:space="preserve">, pratiquée par 55% des ménages au moins 1 jour sur 7. Elle est suivie de près par</w:t>
      </w:r>
      <w:r>
        <w:t xml:space="preserve"> </w:t>
      </w:r>
      <w:r>
        <w:rPr>
          <w:b/>
          <w:bCs/>
        </w:rPr>
        <w:t xml:space="preserve">l’emprunt de nourriture</w:t>
      </w:r>
      <w:r>
        <w:t xml:space="preserve"> </w:t>
      </w:r>
      <w:r>
        <w:t xml:space="preserve">(53% des ménages concernés).</w:t>
      </w:r>
    </w:p>
    <w:p>
      <w:pPr>
        <w:pStyle w:val="Corpsdetexte"/>
      </w:pPr>
      <w:r>
        <w:t xml:space="preserve">Les comportements plus sévères, comme</w:t>
      </w:r>
      <w:r>
        <w:t xml:space="preserve"> </w:t>
      </w:r>
      <w:r>
        <w:rPr>
          <w:b/>
          <w:bCs/>
        </w:rPr>
        <w:t xml:space="preserve">réduire le nombre de repas par jour</w:t>
      </w:r>
      <w:r>
        <w:t xml:space="preserve"> </w:t>
      </w:r>
      <w:r>
        <w:t xml:space="preserve">ou</w:t>
      </w:r>
      <w:r>
        <w:t xml:space="preserve"> </w:t>
      </w:r>
      <w:r>
        <w:rPr>
          <w:b/>
          <w:bCs/>
        </w:rPr>
        <w:t xml:space="preserve">restreindre la consommation des adultes</w:t>
      </w:r>
      <w:r>
        <w:t xml:space="preserve">, restent moins fréquents, bien que non négligeables (respectivement 24% et 24% des ménages les appliquent au moins 1 jour sur 7).</w:t>
      </w:r>
    </w:p>
    <w:p>
      <w:pPr>
        <w:pStyle w:val="Corpsdetexte"/>
      </w:pPr>
      <w:r>
        <w:t xml:space="preserve">Cela suggère que si de nombreuses familles utilisent des stratégies d’adaptation</w:t>
      </w:r>
      <w:r>
        <w:t xml:space="preserve"> </w:t>
      </w:r>
      <w:r>
        <w:rPr>
          <w:b/>
          <w:bCs/>
        </w:rPr>
        <w:t xml:space="preserve">modérées</w:t>
      </w:r>
      <w:r>
        <w:t xml:space="preserve">, une part non négligeable d’entre elles bascule dans des</w:t>
      </w:r>
      <w:r>
        <w:t xml:space="preserve"> </w:t>
      </w:r>
      <w:r>
        <w:rPr>
          <w:b/>
          <w:bCs/>
        </w:rPr>
        <w:t xml:space="preserve">comportements de privation plus graves</w:t>
      </w:r>
      <w:r>
        <w:t xml:space="preserve">, révélateurs d’un stress alimentaire avancé.</w:t>
      </w:r>
    </w:p>
    <w:p>
      <w:pPr>
        <w:pStyle w:val="Corpsdetexte"/>
      </w:pPr>
      <w:r>
        <w:t xml:space="preserve">Cette description préliminaire des variables pose les bases pour le</w:t>
      </w:r>
      <w:r>
        <w:t xml:space="preserve"> </w:t>
      </w:r>
      <w:r>
        <w:rPr>
          <w:b/>
          <w:bCs/>
        </w:rPr>
        <w:t xml:space="preserve">calcul du score rCSI global</w:t>
      </w:r>
      <w:r>
        <w:t xml:space="preserve">.</w:t>
      </w:r>
    </w:p>
    <w:bookmarkEnd w:id="41"/>
    <w:bookmarkStart w:id="42" w:name="X16a54946b950310b7de06d722fbb76dfda18749"/>
    <w:p>
      <w:pPr>
        <w:pStyle w:val="Titre2"/>
      </w:pPr>
      <w:r>
        <w:t xml:space="preserve">Calculer l’indice réduit des stratégies de survie</w:t>
      </w:r>
    </w:p>
    <w:p>
      <w:pPr>
        <w:pStyle w:val="FirstParagraph"/>
      </w:pPr>
      <w:r>
        <w:t xml:space="preserve">Le score rCSI (Reduced Coping Strategy Index) est un indicateur quantitatif obtenu en attribuant un</w:t>
      </w:r>
      <w:r>
        <w:t xml:space="preserve"> </w:t>
      </w:r>
      <w:r>
        <w:rPr>
          <w:b/>
          <w:bCs/>
        </w:rPr>
        <w:t xml:space="preserve">poids à chaque stratégie de survie</w:t>
      </w:r>
      <w:r>
        <w:t xml:space="preserve">, puis en sommant les scores pour chaque ménage. Plus le score est élevé, plus le ménage applique fréquemment des stratégies de coping, traduisant une pression alimentaire plus importante.</w:t>
      </w:r>
    </w:p>
    <w:p>
      <w:pPr>
        <w:pStyle w:val="Corpsdetexte"/>
      </w:pPr>
      <w:r>
        <w:t xml:space="preserve">La formule utilisée ici repose sur la pondération recommandée par le Programme Alimentaire Mondial (PAM) :</w:t>
      </w:r>
    </w:p>
    <w:p>
      <w:pPr>
        <w:pStyle w:val="Compact"/>
        <w:numPr>
          <w:ilvl w:val="0"/>
          <w:numId w:val="1027"/>
        </w:numPr>
      </w:pPr>
      <w:r>
        <w:t xml:space="preserve">rCSILessQlty ×</w:t>
      </w:r>
      <w:r>
        <w:t xml:space="preserve"> </w:t>
      </w:r>
      <w:r>
        <w:rPr>
          <w:b/>
          <w:bCs/>
        </w:rPr>
        <w:t xml:space="preserve">1</w:t>
      </w:r>
    </w:p>
    <w:p>
      <w:pPr>
        <w:pStyle w:val="Compact"/>
        <w:numPr>
          <w:ilvl w:val="0"/>
          <w:numId w:val="1027"/>
        </w:numPr>
      </w:pPr>
      <w:r>
        <w:t xml:space="preserve">rCSIBorrow ×</w:t>
      </w:r>
      <w:r>
        <w:t xml:space="preserve"> </w:t>
      </w:r>
      <w:r>
        <w:rPr>
          <w:b/>
          <w:bCs/>
        </w:rPr>
        <w:t xml:space="preserve">2</w:t>
      </w:r>
    </w:p>
    <w:p>
      <w:pPr>
        <w:pStyle w:val="Compact"/>
        <w:numPr>
          <w:ilvl w:val="0"/>
          <w:numId w:val="1027"/>
        </w:numPr>
      </w:pPr>
      <w:r>
        <w:t xml:space="preserve">rCSIMealSize ×</w:t>
      </w:r>
      <w:r>
        <w:t xml:space="preserve"> </w:t>
      </w:r>
      <w:r>
        <w:rPr>
          <w:b/>
          <w:bCs/>
        </w:rPr>
        <w:t xml:space="preserve">1</w:t>
      </w:r>
    </w:p>
    <w:p>
      <w:pPr>
        <w:pStyle w:val="Compact"/>
        <w:numPr>
          <w:ilvl w:val="0"/>
          <w:numId w:val="1027"/>
        </w:numPr>
      </w:pPr>
      <w:r>
        <w:t xml:space="preserve">rCSIMealAdult ×</w:t>
      </w:r>
      <w:r>
        <w:t xml:space="preserve"> </w:t>
      </w:r>
      <w:r>
        <w:rPr>
          <w:b/>
          <w:bCs/>
        </w:rPr>
        <w:t xml:space="preserve">3</w:t>
      </w:r>
    </w:p>
    <w:p>
      <w:pPr>
        <w:pStyle w:val="Compact"/>
        <w:numPr>
          <w:ilvl w:val="0"/>
          <w:numId w:val="1027"/>
        </w:numPr>
      </w:pPr>
      <w:r>
        <w:t xml:space="preserve">rCSIMealNb ×</w:t>
      </w:r>
      <w:r>
        <w:t xml:space="preserve"> </w:t>
      </w:r>
      <w:r>
        <w:rPr>
          <w:b/>
          <w:bCs/>
        </w:rPr>
        <w:t xml:space="preserve">1</w:t>
      </w:r>
    </w:p>
    <w:p>
      <w:pPr>
        <w:pStyle w:val="FirstParagraph"/>
      </w:pPr>
      <w:r>
        <w:t xml:space="preserve">Ainsi, le score total est calculé comme suit :</w:t>
      </w:r>
    </w:p>
    <w:p>
      <w:pPr>
        <w:pStyle w:val="Corpsdetexte"/>
      </w:pPr>
      <w:r>
        <w:rPr>
          <w:b/>
          <w:bCs/>
        </w:rPr>
        <w:t xml:space="preserve">rCSI = 1×(rCSILessQlty) + 2×(rCSIBorrow) + 1×(rCSIMealSize) + 3×(rCSIMealAdult) + 1×(rCSIMealNb)</w:t>
      </w:r>
    </w:p>
    <w:p>
      <w:pPr>
        <w:pStyle w:val="SourceCode"/>
      </w:pPr>
      <w:r>
        <w:rPr>
          <w:rStyle w:val="VerbatimChar"/>
        </w:rPr>
        <w:t xml:space="preserve">##    Min. 1st Qu.  Median    Mean 3rd Qu.    Max. </w:t>
      </w:r>
      <w:r>
        <w:br/>
      </w:r>
      <w:r>
        <w:rPr>
          <w:rStyle w:val="VerbatimChar"/>
        </w:rPr>
        <w:t xml:space="preserve">##   0.000   0.000   3.000   5.816   8.000  56.000</w:t>
      </w:r>
    </w:p>
    <w:p>
      <w:pPr>
        <w:pStyle w:val="FirstParagraph"/>
      </w:pPr>
      <w:r>
        <w:t xml:space="preserve">Le résumé statistique du score rCSI dans notre échantillon est le suivant :</w:t>
      </w:r>
    </w:p>
    <w:p>
      <w:pPr>
        <w:pStyle w:val="Compact"/>
        <w:numPr>
          <w:ilvl w:val="0"/>
          <w:numId w:val="1028"/>
        </w:numPr>
      </w:pPr>
      <w:r>
        <w:rPr>
          <w:b/>
          <w:bCs/>
        </w:rPr>
        <w:t xml:space="preserve">Minimum</w:t>
      </w:r>
      <w:r>
        <w:t xml:space="preserve"> </w:t>
      </w:r>
      <w:r>
        <w:t xml:space="preserve">: 0</w:t>
      </w:r>
      <w:r>
        <w:br/>
      </w:r>
    </w:p>
    <w:p>
      <w:pPr>
        <w:pStyle w:val="Compact"/>
        <w:numPr>
          <w:ilvl w:val="0"/>
          <w:numId w:val="1028"/>
        </w:numPr>
      </w:pPr>
      <w:r>
        <w:rPr>
          <w:b/>
          <w:bCs/>
        </w:rPr>
        <w:t xml:space="preserve">Médiane</w:t>
      </w:r>
      <w:r>
        <w:t xml:space="preserve"> </w:t>
      </w:r>
      <w:r>
        <w:t xml:space="preserve">: 3</w:t>
      </w:r>
      <w:r>
        <w:br/>
      </w:r>
    </w:p>
    <w:p>
      <w:pPr>
        <w:pStyle w:val="Compact"/>
        <w:numPr>
          <w:ilvl w:val="0"/>
          <w:numId w:val="1028"/>
        </w:numPr>
      </w:pPr>
      <w:r>
        <w:rPr>
          <w:b/>
          <w:bCs/>
        </w:rPr>
        <w:t xml:space="preserve">Moyenne</w:t>
      </w:r>
      <w:r>
        <w:t xml:space="preserve"> </w:t>
      </w:r>
      <w:r>
        <w:t xml:space="preserve">: 5.8</w:t>
      </w:r>
      <w:r>
        <w:br/>
      </w:r>
    </w:p>
    <w:p>
      <w:pPr>
        <w:pStyle w:val="Compact"/>
        <w:numPr>
          <w:ilvl w:val="0"/>
          <w:numId w:val="1028"/>
        </w:numPr>
      </w:pPr>
      <w:r>
        <w:rPr>
          <w:b/>
          <w:bCs/>
        </w:rPr>
        <w:t xml:space="preserve">3e quartile</w:t>
      </w:r>
      <w:r>
        <w:t xml:space="preserve"> </w:t>
      </w:r>
      <w:r>
        <w:t xml:space="preserve">: 8</w:t>
      </w:r>
      <w:r>
        <w:br/>
      </w:r>
    </w:p>
    <w:p>
      <w:pPr>
        <w:pStyle w:val="Compact"/>
        <w:numPr>
          <w:ilvl w:val="0"/>
          <w:numId w:val="1028"/>
        </w:numPr>
      </w:pPr>
      <w:r>
        <w:rPr>
          <w:b/>
          <w:bCs/>
        </w:rPr>
        <w:t xml:space="preserve">Maximum</w:t>
      </w:r>
      <w:r>
        <w:t xml:space="preserve"> </w:t>
      </w:r>
      <w:r>
        <w:t xml:space="preserve">: 56</w:t>
      </w:r>
    </w:p>
    <w:p>
      <w:pPr>
        <w:pStyle w:val="FirstParagraph"/>
      </w:pPr>
      <w:r>
        <w:t xml:space="preserve">Cela indique que :</w:t>
      </w:r>
      <w:r>
        <w:t xml:space="preserve"> </w:t>
      </w:r>
      <w:r>
        <w:t xml:space="preserve">- Une large partie des ménages (au moins 50%) ont un score</w:t>
      </w:r>
      <w:r>
        <w:t xml:space="preserve"> </w:t>
      </w:r>
      <w:r>
        <w:rPr>
          <w:b/>
          <w:bCs/>
        </w:rPr>
        <w:t xml:space="preserve">inférieur ou égal à 3</w:t>
      </w:r>
      <w:r>
        <w:t xml:space="preserve">, traduisant une utilisation faible à modérée des stratégies de survie.</w:t>
      </w:r>
      <w:r>
        <w:t xml:space="preserve"> </w:t>
      </w:r>
      <w:r>
        <w:t xml:space="preserve">- Toutefois, certains ménages présentent des scores très élevés, allant jusqu’à</w:t>
      </w:r>
      <w:r>
        <w:t xml:space="preserve"> </w:t>
      </w:r>
      <w:r>
        <w:rPr>
          <w:b/>
          <w:bCs/>
        </w:rPr>
        <w:t xml:space="preserve">56</w:t>
      </w:r>
      <w:r>
        <w:t xml:space="preserve">, ce qui révèle une situation de</w:t>
      </w:r>
      <w:r>
        <w:t xml:space="preserve"> </w:t>
      </w:r>
      <w:r>
        <w:rPr>
          <w:b/>
          <w:bCs/>
        </w:rPr>
        <w:t xml:space="preserve">stress alimentaire aigu</w:t>
      </w:r>
      <w:r>
        <w:t xml:space="preserve">.</w:t>
      </w:r>
    </w:p>
    <w:p>
      <w:pPr>
        <w:pStyle w:val="Corpsdetexte"/>
      </w:pPr>
      <w:r>
        <w:t xml:space="preserve">Ces résultats montrent une</w:t>
      </w:r>
      <w:r>
        <w:t xml:space="preserve"> </w:t>
      </w:r>
      <w:r>
        <w:rPr>
          <w:b/>
          <w:bCs/>
        </w:rPr>
        <w:t xml:space="preserve">grande hétérogénéité</w:t>
      </w:r>
      <w:r>
        <w:t xml:space="preserve"> </w:t>
      </w:r>
      <w:r>
        <w:t xml:space="preserve">dans les comportements de coping, ce qui justifie une exploration plus fine par zone géographique ou niveau socio-économique dans les analyses suivantes.</w:t>
      </w:r>
    </w:p>
    <w:bookmarkEnd w:id="42"/>
    <w:bookmarkStart w:id="43" w:name="tableau-des-poids-rcsi"/>
    <w:p>
      <w:pPr>
        <w:pStyle w:val="Titre2"/>
      </w:pPr>
      <w:r>
        <w:t xml:space="preserve">Tableau des poids rCSI</w:t>
      </w:r>
    </w:p>
    <w:p>
      <w:pPr>
        <w:pStyle w:val="FirstParagraph"/>
      </w:pPr>
      <w:r>
        <w:t xml:space="preserve">Ce tableau présente les poids attribués à chaque stratégie de survie dans le calcul de l’indice réduit des stratégies de survie (rCSI), conformément à la méthodologie standard du Programme Alimentaire Mondial (PAM). Ces poids reflètent la</w:t>
      </w:r>
      <w:r>
        <w:t xml:space="preserve"> </w:t>
      </w:r>
      <w:r>
        <w:rPr>
          <w:b/>
          <w:bCs/>
        </w:rPr>
        <w:t xml:space="preserve">gravité relative</w:t>
      </w:r>
      <w:r>
        <w:t xml:space="preserve"> </w:t>
      </w:r>
      <w:r>
        <w:t xml:space="preserve">de chaque comportement d’adaptation face à l’insécurité alimentaire. La somme totale des poids est égale à</w:t>
      </w:r>
      <w:r>
        <w:t xml:space="preserve"> </w:t>
      </w:r>
      <w:r>
        <w:rPr>
          <w:b/>
          <w:bCs/>
        </w:rPr>
        <w:t xml:space="preserve">8</w:t>
      </w:r>
      <w:r>
        <w:t xml:space="preserve">, ce qui constitue la base de calcul du score global utilisé pour mesurer la pression alimentaire exercée sur les ménages.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Poids attribués aux composantes du rCSI</w:t>
      </w:r>
    </w:p>
    <w:tbl xmlns:w14="http://schemas.microsoft.com/office/word/2010/wordml">
      <w:tblPr>
        <w:tblLayout w:type="fixed"/>
        <w:jc w:val="center"/>
        <w:tblLook w:firstRow="1" w:lastRow="0" w:firstColumn="0" w:lastColumn="0" w:noHBand="0" w:noVBand="1"/>
      </w:tblPr>
      <w:tblGrid>
        <w:gridCol w:w="5790"/>
        <w:gridCol w:w="96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Stratégie de survie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Poids</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Consommer des aliments moins préférés / moins chers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61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Emprunter de la nourriture ou dépendre d’autrui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Réduire la taille des portions aux repas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Réduire la consommation des adultes pour les enfants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w:t>
            </w:r>
          </w:p>
        </w:tc>
      </w:tr>
      <w:tr>
        <w:trPr>
          <w:trHeight w:val="615"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Réduire le nombre de repas par jour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360" w:hRule="auto"/>
        </w:trPr>
        footer1
        <w:tc>
          <w:tcPr>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w:t>
            </w:r>
          </w:p>
        </w:tc>
        <w:tc>
          <w:tcPr>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w:t>
            </w:r>
          </w:p>
        </w:tc>
      </w:tr>
    </w:tbl>
    <w:bookmarkEnd w:id="43"/>
    <w:bookmarkStart w:id="44" w:name="représentation-spatiele-du-rcsi"/>
    <w:p>
      <w:pPr>
        <w:pStyle w:val="Titre2"/>
      </w:pPr>
      <w:r>
        <w:t xml:space="preserve">Représentation spatiele du rCSI</w:t>
      </w:r>
    </w:p>
    <w:p>
      <w:pPr>
        <w:pStyle w:val="FirstParagraph"/>
      </w:pPr>
      <w:r>
        <w:t xml:space="preserve">Avant de procéder à la représentation cartographique du rCSI, une</w:t>
      </w:r>
      <w:r>
        <w:t xml:space="preserve"> </w:t>
      </w:r>
      <w:r>
        <w:rPr>
          <w:b/>
          <w:bCs/>
        </w:rPr>
        <w:t xml:space="preserve">classification du score a été effectuée</w:t>
      </w:r>
      <w:r>
        <w:t xml:space="preserve"> </w:t>
      </w:r>
      <w:r>
        <w:t xml:space="preserve">afin de faciliter l’interprétation spatiale. Conformément aux recommandations du PAM, les ménages ont été répartis en trois catégories :</w:t>
      </w:r>
      <w:r>
        <w:t xml:space="preserve"> </w:t>
      </w:r>
      <w:r>
        <w:rPr>
          <w:b/>
          <w:bCs/>
        </w:rPr>
        <w:t xml:space="preserve">“</w:t>
      </w:r>
      <w:r>
        <w:rPr>
          <w:b/>
          <w:bCs/>
        </w:rPr>
        <w:t xml:space="preserve">Faible</w:t>
      </w:r>
      <w:r>
        <w:rPr>
          <w:b/>
          <w:bCs/>
        </w:rPr>
        <w:t xml:space="preserve">”</w:t>
      </w:r>
      <w:r>
        <w:rPr>
          <w:b/>
          <w:bCs/>
        </w:rPr>
        <w:t xml:space="preserve"> </w:t>
      </w:r>
      <w:r>
        <w:rPr>
          <w:b/>
          <w:bCs/>
        </w:rPr>
        <w:t xml:space="preserve">(score ≤ 3),</w:t>
      </w:r>
      <w:r>
        <w:rPr>
          <w:b/>
          <w:bCs/>
        </w:rPr>
        <w:t xml:space="preserve"> </w:t>
      </w:r>
      <w:r>
        <w:rPr>
          <w:b/>
          <w:bCs/>
        </w:rPr>
        <w:t xml:space="preserve">“</w:t>
      </w:r>
      <w:r>
        <w:rPr>
          <w:b/>
          <w:bCs/>
        </w:rPr>
        <w:t xml:space="preserve">Modéré</w:t>
      </w:r>
      <w:r>
        <w:rPr>
          <w:b/>
          <w:bCs/>
        </w:rPr>
        <w:t xml:space="preserve">”</w:t>
      </w:r>
      <w:r>
        <w:rPr>
          <w:b/>
          <w:bCs/>
        </w:rPr>
        <w:t xml:space="preserve"> </w:t>
      </w:r>
      <w:r>
        <w:rPr>
          <w:b/>
          <w:bCs/>
        </w:rPr>
        <w:t xml:space="preserve">(score entre 4 et 18), et</w:t>
      </w:r>
      <w:r>
        <w:rPr>
          <w:b/>
          <w:bCs/>
        </w:rPr>
        <w:t xml:space="preserve"> </w:t>
      </w:r>
      <w:r>
        <w:rPr>
          <w:b/>
          <w:bCs/>
        </w:rPr>
        <w:t xml:space="preserve">“</w:t>
      </w:r>
      <w:r>
        <w:rPr>
          <w:b/>
          <w:bCs/>
        </w:rPr>
        <w:t xml:space="preserve">Élevé</w:t>
      </w:r>
      <w:r>
        <w:rPr>
          <w:b/>
          <w:bCs/>
        </w:rPr>
        <w:t xml:space="preserve">”</w:t>
      </w:r>
      <w:r>
        <w:rPr>
          <w:b/>
          <w:bCs/>
        </w:rPr>
        <w:t xml:space="preserve"> </w:t>
      </w:r>
      <w:r>
        <w:rPr>
          <w:b/>
          <w:bCs/>
        </w:rPr>
        <w:t xml:space="preserve">(score &gt; 18)</w:t>
      </w:r>
      <w:r>
        <w:t xml:space="preserve">. Cette catégorisation permet de mieux visualiser les niveaux de stress alimentaire par zone géographique à travers des couleurs distinctes sur les cartes.</w:t>
      </w:r>
    </w:p>
    <w:p>
      <w:pPr>
        <w:pStyle w:val="Corpsdetexte"/>
      </w:pPr>
      <w:r>
        <w:t xml:space="preserve">La carte ci-dessous illustre la</w:t>
      </w:r>
      <w:r>
        <w:t xml:space="preserve"> </w:t>
      </w:r>
      <w:r>
        <w:rPr>
          <w:b/>
          <w:bCs/>
        </w:rPr>
        <w:t xml:space="preserve">catégorie dominante du score rCSI</w:t>
      </w:r>
      <w:r>
        <w:t xml:space="preserve"> </w:t>
      </w:r>
      <w:r>
        <w:t xml:space="preserve">par région, sur la base de la classification en trois niveaux :</w:t>
      </w:r>
      <w:r>
        <w:t xml:space="preserve"> </w:t>
      </w:r>
      <w:r>
        <w:rPr>
          <w:b/>
          <w:bCs/>
        </w:rPr>
        <w:t xml:space="preserve">Faible</w:t>
      </w:r>
      <w:r>
        <w:t xml:space="preserve">,</w:t>
      </w:r>
      <w:r>
        <w:t xml:space="preserve"> </w:t>
      </w:r>
      <w:r>
        <w:rPr>
          <w:b/>
          <w:bCs/>
        </w:rPr>
        <w:t xml:space="preserve">Modéré</w:t>
      </w:r>
      <w:r>
        <w:t xml:space="preserve"> </w:t>
      </w:r>
      <w:r>
        <w:t xml:space="preserve">et</w:t>
      </w:r>
      <w:r>
        <w:t xml:space="preserve"> </w:t>
      </w:r>
      <w:r>
        <w:rPr>
          <w:b/>
          <w:bCs/>
        </w:rPr>
        <w:t xml:space="preserve">Élevé</w:t>
      </w:r>
      <w:r>
        <w:t xml:space="preserve">. Pour chaque région, on identifie la catégorie à laquelle appartient la majorité des ménages enquêtés, afin de dégager des tendances géographiques globales.</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31"/>
                    <a:stretch>
                      <a:fillRect/>
                    </a:stretch>
                  </pic:blipFill>
                  <pic:spPr bwMode="auto">
                    <a:xfrm>
                      <a:off x="0" y="0"/>
                      <a:ext cx="127000" cy="88900"/>
                    </a:xfrm>
                    <a:prstGeom prst="rect">
                      <a:avLst/>
                    </a:prstGeom>
                    <a:noFill/>
                  </pic:spPr>
                </pic:pic>
              </a:graphicData>
            </a:graphic>
          </wp:inline>
        </w:drawing>
      </w:r>
    </w:p>
    <w:p>
      <w:pPr>
        <w:pStyle w:val="ImageCaption"/>
      </w:pPr>
      <w:r>
        <w:rPr>
          <w:rFonts/>
          <w:b w:val="true"/>
        </w:rPr>
        <w:t xml:space="preserve">Figure </w:t>
      </w:r>
      <w:bookmarkStart w:id="0c8814f7-b705-4bd7-901c-220e85e1888d" w:name="carte-region-rcsi"/>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c8814f7-b705-4bd7-901c-220e85e1888d"/>
      <w:r>
        <w:rPr>
          <w:rFonts/>
          <w:b w:val="true"/>
        </w:rPr>
        <w:t xml:space="preserve">: </w:t>
      </w:r>
      <w:r>
        <w:t xml:space="preserve">Catégorie dominante du rCSI par région</w:t>
      </w:r>
    </w:p>
    <w:p>
      <w:pPr>
        <w:pStyle w:val="Corpsdetexte"/>
      </w:pPr>
      <w:r>
        <w:t xml:space="preserve">La plupart des régions apparaissent en</w:t>
      </w:r>
      <w:r>
        <w:t xml:space="preserve"> </w:t>
      </w:r>
      <w:r>
        <w:rPr>
          <w:b/>
          <w:bCs/>
        </w:rPr>
        <w:t xml:space="preserve">vert</w:t>
      </w:r>
      <w:r>
        <w:t xml:space="preserve">, traduisant une prévalence de comportements de coping alimentaires faibles, donc une situation relativement stable en matière de sécurité alimentaire. Cependant, certaines régions (notamment au nord et à l’ouest) se distinguent par une</w:t>
      </w:r>
      <w:r>
        <w:t xml:space="preserve"> </w:t>
      </w:r>
      <w:r>
        <w:rPr>
          <w:b/>
          <w:bCs/>
        </w:rPr>
        <w:t xml:space="preserve">catégorie</w:t>
      </w:r>
      <w:r>
        <w:rPr>
          <w:b/>
          <w:bCs/>
        </w:rPr>
        <w:t xml:space="preserve"> </w:t>
      </w:r>
      <w:r>
        <w:rPr>
          <w:b/>
          <w:bCs/>
        </w:rPr>
        <w:t xml:space="preserve">“</w:t>
      </w:r>
      <w:r>
        <w:rPr>
          <w:b/>
          <w:bCs/>
        </w:rPr>
        <w:t xml:space="preserve">Modéré</w:t>
      </w:r>
      <w:r>
        <w:rPr>
          <w:b/>
          <w:bCs/>
        </w:rPr>
        <w:t xml:space="preserve">”</w:t>
      </w:r>
      <w:r>
        <w:t xml:space="preserve">, ce qui indique une intensification du recours aux stratégies de survie. Aucune région ne ressort ici comme majoritairement classée en</w:t>
      </w:r>
      <w:r>
        <w:t xml:space="preserve"> </w:t>
      </w:r>
      <w:r>
        <w:t xml:space="preserve">“</w:t>
      </w:r>
      <w:r>
        <w:t xml:space="preserve">Élevé</w:t>
      </w:r>
      <w:r>
        <w:t xml:space="preserve">”</w:t>
      </w:r>
      <w:r>
        <w:t xml:space="preserve">, mais cette analyse reste à approfondir au niveau départemental pour identifier des poches localisées de vulnérabilité plus sévère.</w:t>
      </w:r>
    </w:p>
    <w:p>
      <w:pPr>
        <w:pStyle w:val="Corpsdetexte"/>
      </w:pPr>
      <w:r>
        <w:t xml:space="preserve">Après l’analyse régionale, cette carte affine la lecture du score rCSI en l’affichant à l’échelle des</w:t>
      </w:r>
      <w:r>
        <w:t xml:space="preserve"> </w:t>
      </w:r>
      <w:r>
        <w:rPr>
          <w:b/>
          <w:bCs/>
        </w:rPr>
        <w:t xml:space="preserve">départements</w:t>
      </w:r>
      <w:r>
        <w:t xml:space="preserve">. Pour chaque département, la</w:t>
      </w:r>
      <w:r>
        <w:t xml:space="preserve"> </w:t>
      </w:r>
      <w:r>
        <w:rPr>
          <w:b/>
          <w:bCs/>
        </w:rPr>
        <w:t xml:space="preserve">catégorie dominante</w:t>
      </w:r>
      <w:r>
        <w:t xml:space="preserve"> </w:t>
      </w:r>
      <w:r>
        <w:t xml:space="preserve">parmi les ménages enquêtés est identifiée (Faible, Modéré ou Élevé), ce qui permet de mieux localiser les zones de stress alimentaire.</w:t>
      </w:r>
    </w:p>
    <w:p>
      <w:pPr>
        <w:jc w:val="center"/>
        <w:pStyle w:val="Normal"/>
      </w:pPr>
      <w:r>
        <w:rPr/>
        <w:drawing>
          <wp:inline distT="0" distB="0" distL="0" distR="0">
            <wp:extent cx="9144000" cy="64008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32"/>
                    <a:stretch>
                      <a:fillRect/>
                    </a:stretch>
                  </pic:blipFill>
                  <pic:spPr bwMode="auto">
                    <a:xfrm>
                      <a:off x="0" y="0"/>
                      <a:ext cx="127000" cy="88900"/>
                    </a:xfrm>
                    <a:prstGeom prst="rect">
                      <a:avLst/>
                    </a:prstGeom>
                    <a:noFill/>
                  </pic:spPr>
                </pic:pic>
              </a:graphicData>
            </a:graphic>
          </wp:inline>
        </w:drawing>
      </w:r>
    </w:p>
    <w:p>
      <w:pPr>
        <w:pStyle w:val="ImageCaption"/>
      </w:pPr>
      <w:r>
        <w:rPr>
          <w:rFonts/>
          <w:b w:val="true"/>
        </w:rPr>
        <w:t xml:space="preserve">Figure </w:t>
      </w:r>
      <w:bookmarkStart w:id="0178e800-af7e-4d59-a07b-d142228d3496" w:name="carte-departement-rcsi"/>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178e800-af7e-4d59-a07b-d142228d3496"/>
      <w:r>
        <w:rPr>
          <w:rFonts/>
          <w:b w:val="true"/>
        </w:rPr>
        <w:t xml:space="preserve">: </w:t>
      </w:r>
      <w:r>
        <w:t xml:space="preserve">Catégorie dominante du rCSI par département</w:t>
      </w:r>
    </w:p>
    <w:p>
      <w:pPr>
        <w:pStyle w:val="Corpsdetexte"/>
      </w:pPr>
      <w:r>
        <w:t xml:space="preserve">La cartographie révèle une situation plus contrastée que celle observée à l’échelle régionale. Plusieurs départements ressortent désormais en</w:t>
      </w:r>
      <w:r>
        <w:t xml:space="preserve"> </w:t>
      </w:r>
      <w:r>
        <w:rPr>
          <w:b/>
          <w:bCs/>
        </w:rPr>
        <w:t xml:space="preserve">jaune (Modéré)</w:t>
      </w:r>
      <w:r>
        <w:t xml:space="preserve">, notamment dans le nord, le centre-ouest et certaines zones du sud-est, ce qui signale une intensification du recours aux stratégies d’adaptation. En revanche, une majorité de départements affichent encore un score</w:t>
      </w:r>
      <w:r>
        <w:t xml:space="preserve"> </w:t>
      </w:r>
      <w:r>
        <w:rPr>
          <w:b/>
          <w:bCs/>
        </w:rPr>
        <w:t xml:space="preserve">Faible</w:t>
      </w:r>
      <w:r>
        <w:t xml:space="preserve">, illustrant une certaine résilience alimentaire. Ces disparités locales montrent l’intérêt d’une analyse fine pour un ciblage efficace des interventions.</w:t>
      </w:r>
    </w:p>
    <w:p>
      <w:pPr>
        <w:pStyle w:val="Corpsdetexte"/>
      </w:pPr>
      <w:r>
        <w:t xml:space="preserve">Ces constats confirment que les analyses spatiales à différents niveaux administratifs (région, département) sont essentielles pour identifier avec précision les zones à risque. Le score rCSI, en tant qu’indicateur comportemental, met en lumière les tensions alimentaires vécues par les ménages et les stratégies qu’ils mobilisent pour y faire face.</w:t>
      </w:r>
    </w:p>
    <w:p>
      <w:pPr>
        <w:pStyle w:val="Corpsdetexte"/>
      </w:pPr>
      <w:r>
        <w:t xml:space="preserve">L’exploitation combinée du rCSI avec d’autres indicateurs (FCS, HDDS, etc.) offre un cadre robuste pour guider les actions humanitaires et les politiques publiques, en particulier dans un contexte de résilience et de sécurité alimentaire.</w:t>
      </w:r>
    </w:p>
    <w:bookmarkEnd w:id="44"/>
    <w:bookmarkEnd w:id="45"/>
    <w:bookmarkStart w:id="48" w:name="X33a1165d97efc642e00c134c3d58785365995b5"/>
    <w:p>
      <w:pPr>
        <w:pStyle w:val="Titre1"/>
      </w:pPr>
      <w:r>
        <w:t xml:space="preserve">Stratégies d’adaptation aux moyens d’existence (LhCSI):</w:t>
      </w:r>
    </w:p>
    <w:bookmarkStart w:id="46" w:name="Xd1b321d88516afe2afbcc13e4e5d0f907fbe6ba"/>
    <w:p>
      <w:pPr>
        <w:pStyle w:val="Titre2"/>
      </w:pPr>
      <w:r>
        <w:t xml:space="preserve">Analyse descriptive des variables qui composent le LhCSI</w:t>
      </w:r>
    </w:p>
    <w:p>
      <w:pPr>
        <w:pStyle w:val="FirstParagraph"/>
      </w:pPr>
      <w:r>
        <w:t xml:space="preserve">Cette section évalue les stratégies mises en œuvre par les ménages pour faire face à l’insécurité alimentaire. Le Livelihood Coping Strategy Index (LCS-FS) regroupe plusieurs comportements d’adaptation classés en trois niveaux de sévérité :</w:t>
      </w:r>
    </w:p>
    <w:p>
      <w:pPr>
        <w:pStyle w:val="Compact"/>
        <w:numPr>
          <w:ilvl w:val="0"/>
          <w:numId w:val="1029"/>
        </w:numPr>
      </w:pPr>
      <w:r>
        <w:rPr>
          <w:b/>
          <w:bCs/>
        </w:rPr>
        <w:t xml:space="preserve">Stress</w:t>
      </w:r>
      <w:r>
        <w:t xml:space="preserve"> </w:t>
      </w:r>
      <w:r>
        <w:t xml:space="preserve">: actions comme vendre des biens non essentiels ou emprunter,</w:t>
      </w:r>
    </w:p>
    <w:p>
      <w:pPr>
        <w:pStyle w:val="Compact"/>
        <w:numPr>
          <w:ilvl w:val="0"/>
          <w:numId w:val="1029"/>
        </w:numPr>
      </w:pPr>
      <w:r>
        <w:rPr>
          <w:b/>
          <w:bCs/>
        </w:rPr>
        <w:t xml:space="preserve">Crise</w:t>
      </w:r>
      <w:r>
        <w:t xml:space="preserve"> </w:t>
      </w:r>
      <w:r>
        <w:t xml:space="preserve">: actions impactant directement la capacité productive (vente d’actifs productifs, soins médicaux réduits),</w:t>
      </w:r>
    </w:p>
    <w:p>
      <w:pPr>
        <w:pStyle w:val="Compact"/>
        <w:numPr>
          <w:ilvl w:val="0"/>
          <w:numId w:val="1029"/>
        </w:numPr>
      </w:pPr>
      <w:r>
        <w:rPr>
          <w:b/>
          <w:bCs/>
        </w:rPr>
        <w:t xml:space="preserve">Urgence</w:t>
      </w:r>
      <w:r>
        <w:t xml:space="preserve"> </w:t>
      </w:r>
      <w:r>
        <w:t xml:space="preserve">: stratégies extrêmes comme mendier, vendre un terrain ou recourir à des moyens illégaux.</w:t>
      </w:r>
    </w:p>
    <w:p>
      <w:pPr>
        <w:pStyle w:val="FirstParagraph"/>
      </w:pPr>
      <w:r>
        <w:t xml:space="preserve">L’objectif ici est de</w:t>
      </w:r>
      <w:r>
        <w:t xml:space="preserve"> </w:t>
      </w:r>
      <w:r>
        <w:rPr>
          <w:b/>
          <w:bCs/>
        </w:rPr>
        <w:t xml:space="preserve">décrire la fréquence d’adoption</w:t>
      </w:r>
      <w:r>
        <w:t xml:space="preserve"> </w:t>
      </w:r>
      <w:r>
        <w:t xml:space="preserve">de ces stratégies à travers les variables</w:t>
      </w:r>
      <w:r>
        <w:t xml:space="preserve"> </w:t>
      </w:r>
      <w:r>
        <w:rPr>
          <w:rStyle w:val="VerbatimChar"/>
        </w:rPr>
        <w:t xml:space="preserve">LhCSIStress*</w:t>
      </w:r>
      <w:r>
        <w:t xml:space="preserve">,</w:t>
      </w:r>
      <w:r>
        <w:t xml:space="preserve"> </w:t>
      </w:r>
      <w:r>
        <w:rPr>
          <w:rStyle w:val="VerbatimChar"/>
        </w:rPr>
        <w:t xml:space="preserve">LhCSICrisis*</w:t>
      </w:r>
      <w:r>
        <w:t xml:space="preserve"> </w:t>
      </w:r>
      <w:r>
        <w:t xml:space="preserve">et</w:t>
      </w:r>
      <w:r>
        <w:t xml:space="preserve"> </w:t>
      </w:r>
      <w:r>
        <w:rPr>
          <w:rStyle w:val="VerbatimChar"/>
        </w:rPr>
        <w:t xml:space="preserve">LhCSIEmergency*</w:t>
      </w:r>
      <w: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r>
        <w:rPr/>
        <w:fldChar w:fldCharType="begin" w:dirty="true"/>
      </w:r>
      <w:r>
        <w:rPr/>
        <w:instrText xml:space="preserve" w:dirty="true">SEQ tab \* Arabic</w:instrText>
      </w:r>
      <w:r>
        <w:rPr/>
        <w:fldChar w:fldCharType="end" w:dirty="true"/>
      </w:r>
      <w:r>
        <w:rPr/>
        <w:t xml:space="preserve">: </w:t>
      </w:r>
      <w:r>
        <w:t xml:space="preserve">Analyse descriptive des composantes du LhCSI</w:t>
      </w:r>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Stratégie adoptée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N = 8,950</w:t>
            </w:r>
            <w:r>
              <w:rPr>
                <w:rFonts w:ascii="Arial" w:hAnsi="Arial" w:eastAsia="Arial" w:cs="Arial"/>
                <w:i w:val="false"/>
                <w:b w:val="false"/>
                <w:u w:val="none"/>
                <w:vertAlign w:val="superscript"/>
                <w:sz w:val="16"/>
                <w:szCs w:val="16"/>
                <w:color w:val="000000"/>
              </w:rPr>
              <w:t xml:space="preserve">1</w:t>
            </w:r>
          </w:p>
        </w:tc>
      </w:tr>
      <w:tr>
        <w:trPr>
          <w:trHeight w:val="2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Vente de biens non essentiels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8,950 (100%)</w:t>
            </w:r>
          </w:p>
        </w:tc>
      </w:tr>
      <w:tr>
        <w:trPr>
          <w:trHeight w:val="2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Utilisation des économies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3,156 (35%)</w:t>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1,473 (16%)</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420 (4.7%)</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3,901 (44%)</w:t>
            </w:r>
          </w:p>
        </w:tc>
      </w:tr>
      <w:tr>
        <w:trPr>
          <w:trHeight w:val="29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Un membre mange ailleurs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2,763 (31%)</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1,233 (14%)</w:t>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375 (4.2%)</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4,579 (51%)</w:t>
            </w:r>
          </w:p>
        </w:tc>
      </w:tr>
      <w:tr>
        <w:trPr>
          <w:trHeight w:val="2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Achat à crédit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3,258 (36%)</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1,384 (15%)</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1,719 (19%)</w:t>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2,589 (29%)</w:t>
            </w:r>
          </w:p>
        </w:tc>
      </w:tr>
      <w:tr>
        <w:trPr>
          <w:trHeight w:val="29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Vente de biens productifs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3,487 (39%)</w:t>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1,549 (17%)</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300 (3.4%)</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3,614 (40%)</w:t>
            </w:r>
          </w:p>
        </w:tc>
      </w:tr>
      <w:tr>
        <w:trPr>
          <w:trHeight w:val="26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Réduction des soins médicaux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2,870 (32%)</w:t>
            </w:r>
          </w:p>
        </w:tc>
      </w:tr>
      <w:tr>
        <w:trPr>
          <w:trHeight w:val="29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1,269 (14%)</w:t>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163 (1.8%)</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4,648 (52%)</w:t>
            </w:r>
          </w:p>
        </w:tc>
      </w:tr>
      <w:tr>
        <w:trPr>
          <w:trHeight w:val="2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Enfants retirés de l'école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3,231 (36%)</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1,397 (16%)</w:t>
            </w:r>
          </w:p>
        </w:tc>
      </w:tr>
      <w:tr>
        <w:trPr>
          <w:trHeight w:val="29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108 (1.2%)</w:t>
            </w:r>
          </w:p>
        </w:tc>
      </w:tr>
      <w:tr>
        <w:trPr>
          <w:trHeight w:val="2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4,214 (47%)</w:t>
            </w:r>
          </w:p>
        </w:tc>
      </w:tr>
      <w:tr>
        <w:trPr>
          <w:trHeight w:val="2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Vente de maison ou terrain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3,259 (36%)</w:t>
            </w:r>
          </w:p>
        </w:tc>
      </w:tr>
      <w:tr>
        <w:trPr>
          <w:trHeight w:val="29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1,387 (15%)</w:t>
            </w:r>
          </w:p>
        </w:tc>
      </w:tr>
      <w:tr>
        <w:trPr>
          <w:trHeight w:val="2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53 (0.6%)</w:t>
            </w:r>
          </w:p>
        </w:tc>
      </w:tr>
      <w:tr>
        <w:trPr>
          <w:trHeight w:val="29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4,251 (47%)</w:t>
            </w:r>
          </w:p>
        </w:tc>
      </w:tr>
      <w:tr>
        <w:trPr>
          <w:trHeight w:val="29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Mendicité / récupération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3,140 (35%)</w:t>
            </w:r>
          </w:p>
        </w:tc>
      </w:tr>
      <w:tr>
        <w:trPr>
          <w:trHeight w:val="29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1,437 (16%)</w:t>
            </w:r>
          </w:p>
        </w:tc>
      </w:tr>
      <w:tr>
        <w:trPr>
          <w:trHeight w:val="29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282 (3.2%)</w:t>
            </w:r>
          </w:p>
        </w:tc>
      </w:tr>
      <w:tr>
        <w:trPr>
          <w:trHeight w:val="29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4,091 (46%)</w:t>
            </w:r>
          </w:p>
        </w:tc>
      </w:tr>
      <w:tr>
        <w:trPr>
          <w:trHeight w:val="294"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Activité illégale (vol, prostitution)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3,138 (35%)</w:t>
            </w:r>
          </w:p>
        </w:tc>
      </w:tr>
      <w:tr>
        <w:trPr>
          <w:trHeight w:val="29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1,379 (15%)</w:t>
            </w:r>
          </w:p>
        </w:tc>
      </w:tr>
      <w:tr>
        <w:trPr>
          <w:trHeight w:val="29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202 (2.3%)</w:t>
            </w:r>
          </w:p>
        </w:tc>
      </w:tr>
      <w:tr>
        <w:trPr>
          <w:trHeight w:val="294" w:hRule="auto"/>
        </w:trPr>
        body47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4,231 (47%)</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n (%)</w:t>
            </w:r>
          </w:p>
        </w:tc>
      </w:tr>
    </w:tbl>
    <w:p>
      <w:pPr>
        <w:pStyle w:val="Corpsdetexte"/>
      </w:pPr>
      <w:r>
        <w:t xml:space="preserve">Les résultats révèlent que :</w:t>
      </w:r>
    </w:p>
    <w:p>
      <w:pPr>
        <w:pStyle w:val="Corpsdetexte"/>
      </w:pPr>
      <w:r>
        <w:t xml:space="preserve">-19 % des ménages ont eu recours à l’achat à crédit, ce qui en fait la stratégie de stress la plus utilisée récemment.</w:t>
      </w:r>
    </w:p>
    <w:p>
      <w:pPr>
        <w:pStyle w:val="Corpsdetexte"/>
      </w:pPr>
      <w:r>
        <w:t xml:space="preserve">-4,7 % ont puisé dans leurs économies, tandis que 16 % déclarent avoir épuisé cette stratégie.</w:t>
      </w:r>
    </w:p>
    <w:p>
      <w:pPr>
        <w:pStyle w:val="Corpsdetexte"/>
      </w:pPr>
      <w:r>
        <w:t xml:space="preserve">-L’indicateur</w:t>
      </w:r>
      <w:r>
        <w:t xml:space="preserve"> </w:t>
      </w:r>
      <w:r>
        <w:t xml:space="preserve">“</w:t>
      </w:r>
      <w:r>
        <w:t xml:space="preserve">un membre mange ailleurs</w:t>
      </w:r>
      <w:r>
        <w:t xml:space="preserve">”</w:t>
      </w:r>
      <w:r>
        <w:t xml:space="preserve"> </w:t>
      </w:r>
      <w:r>
        <w:t xml:space="preserve">concerne 4,2 % des ménages, avec 14 % qui ne peuvent plus s’y appuyer.</w:t>
      </w:r>
    </w:p>
    <w:p>
      <w:pPr>
        <w:pStyle w:val="Corpsdetexte"/>
      </w:pPr>
      <w:r>
        <w:t xml:space="preserve">-La vente de biens non essentiels n’a été déclarée par aucun ménage, ce qui pourrait refléter une absence d’actifs ou une erreur de codage.</w:t>
      </w:r>
    </w:p>
    <w:p>
      <w:pPr>
        <w:pStyle w:val="Corpsdetexte"/>
      </w:pPr>
      <w:r>
        <w:t xml:space="preserve">Globalement, l’endettement et la consommation d’épargne apparaissent comme les premières stratégies mobilisées, révélant une fragilité croissante face aux chocs économiques.</w:t>
      </w:r>
    </w:p>
    <w:bookmarkEnd w:id="46"/>
    <w:bookmarkStart w:id="47" w:name="Xb3105157d72be2d4476a591e0f516e3b80d3644"/>
    <w:p>
      <w:pPr>
        <w:pStyle w:val="Titre2"/>
      </w:pPr>
      <w:r>
        <w:t xml:space="preserve">proportion de menage en situation de stress, de crise et d’urgence en 2022 et 2023</w:t>
      </w:r>
    </w:p>
    <w:p>
      <w:pPr>
        <w:pStyle w:val="FirstParagraph"/>
      </w:pPr>
      <w:r>
        <w:t xml:space="preserve">Les résultats montrent l’évolution des stratégies d’adaptation adoptées par les ménages face à l’insécurité alimentaire :</w:t>
      </w:r>
    </w:p>
    <w:p>
      <w:pPr>
        <w:numPr>
          <w:ilvl w:val="0"/>
          <w:numId w:val="1030"/>
        </w:numPr>
      </w:pPr>
      <w:r>
        <w:rPr>
          <w:b/>
          <w:bCs/>
        </w:rPr>
        <w:t xml:space="preserve">Stratégies de stress</w:t>
      </w:r>
      <w:r>
        <w:t xml:space="preserve"> </w:t>
      </w:r>
      <w:r>
        <w:t xml:space="preserve">: en 2022, environ</w:t>
      </w:r>
      <w:r>
        <w:t xml:space="preserve"> </w:t>
      </w:r>
      <w:r>
        <w:rPr>
          <w:b/>
          <w:bCs/>
        </w:rPr>
        <w:t xml:space="preserve">33,5 %</w:t>
      </w:r>
      <w:r>
        <w:t xml:space="preserve"> </w:t>
      </w:r>
      <w:r>
        <w:t xml:space="preserve">des ménages ont eu recours à au moins une stratégie de stress (comme l’endettement ou l’utilisation de l’épargne), contre</w:t>
      </w:r>
      <w:r>
        <w:t xml:space="preserve"> </w:t>
      </w:r>
      <w:r>
        <w:rPr>
          <w:b/>
          <w:bCs/>
        </w:rPr>
        <w:t xml:space="preserve">17,4 %</w:t>
      </w:r>
      <w:r>
        <w:t xml:space="preserve"> </w:t>
      </w:r>
      <w:r>
        <w:t xml:space="preserve">en 2023. Cette baisse significative pourrait indiquer soit une amélioration relative de la résilience des ménages, soit une</w:t>
      </w:r>
      <w:r>
        <w:t xml:space="preserve"> </w:t>
      </w:r>
      <w:r>
        <w:rPr>
          <w:b/>
          <w:bCs/>
        </w:rPr>
        <w:t xml:space="preserve">épuisement de ces stratégies</w:t>
      </w:r>
      <w:r>
        <w:t xml:space="preserve"> </w:t>
      </w:r>
      <w:r>
        <w:t xml:space="preserve">qui ne sont plus disponibles.</w:t>
      </w:r>
    </w:p>
    <w:p>
      <w:pPr>
        <w:numPr>
          <w:ilvl w:val="0"/>
          <w:numId w:val="1030"/>
        </w:numPr>
      </w:pPr>
      <w:r>
        <w:rPr>
          <w:b/>
          <w:bCs/>
        </w:rPr>
        <w:t xml:space="preserve">Stratégies de crise</w:t>
      </w:r>
      <w:r>
        <w:t xml:space="preserve"> </w:t>
      </w:r>
      <w:r>
        <w:t xml:space="preserve">: leur recours reste relativement stable mais légèrement en baisse, passant de</w:t>
      </w:r>
      <w:r>
        <w:t xml:space="preserve"> </w:t>
      </w:r>
      <w:r>
        <w:rPr>
          <w:b/>
          <w:bCs/>
        </w:rPr>
        <w:t xml:space="preserve">5,7 %</w:t>
      </w:r>
      <w:r>
        <w:t xml:space="preserve"> </w:t>
      </w:r>
      <w:r>
        <w:t xml:space="preserve">à</w:t>
      </w:r>
      <w:r>
        <w:t xml:space="preserve"> </w:t>
      </w:r>
      <w:r>
        <w:rPr>
          <w:b/>
          <w:bCs/>
        </w:rPr>
        <w:t xml:space="preserve">4,6 %</w:t>
      </w:r>
      <w:r>
        <w:t xml:space="preserve">. Ces stratégies traduisent un</w:t>
      </w:r>
      <w:r>
        <w:t xml:space="preserve"> </w:t>
      </w:r>
      <w:r>
        <w:rPr>
          <w:b/>
          <w:bCs/>
        </w:rPr>
        <w:t xml:space="preserve">impact plus direct sur la productivité future</w:t>
      </w:r>
      <w:r>
        <w:t xml:space="preserve"> </w:t>
      </w:r>
      <w:r>
        <w:t xml:space="preserve">(comme la vente d’actifs productifs ou la réduction des soins médicaux).</w:t>
      </w:r>
    </w:p>
    <w:p>
      <w:pPr>
        <w:numPr>
          <w:ilvl w:val="0"/>
          <w:numId w:val="1030"/>
        </w:numPr>
      </w:pPr>
      <w:r>
        <w:rPr>
          <w:b/>
          <w:bCs/>
        </w:rPr>
        <w:t xml:space="preserve">Stratégies d’urgence</w:t>
      </w:r>
      <w:r>
        <w:t xml:space="preserve"> </w:t>
      </w:r>
      <w:r>
        <w:t xml:space="preserve">: elles concernent environ</w:t>
      </w:r>
      <w:r>
        <w:t xml:space="preserve"> </w:t>
      </w:r>
      <w:r>
        <w:rPr>
          <w:b/>
          <w:bCs/>
        </w:rPr>
        <w:t xml:space="preserve">5,4 %</w:t>
      </w:r>
      <w:r>
        <w:t xml:space="preserve"> </w:t>
      </w:r>
      <w:r>
        <w:t xml:space="preserve">des ménages en 2022 et</w:t>
      </w:r>
      <w:r>
        <w:t xml:space="preserve"> </w:t>
      </w:r>
      <w:r>
        <w:rPr>
          <w:b/>
          <w:bCs/>
        </w:rPr>
        <w:t xml:space="preserve">4,8 %</w:t>
      </w:r>
      <w:r>
        <w:t xml:space="preserve"> </w:t>
      </w:r>
      <w:r>
        <w:t xml:space="preserve">en 2023. Ces stratégies signalent une</w:t>
      </w:r>
      <w:r>
        <w:t xml:space="preserve"> </w:t>
      </w:r>
      <w:r>
        <w:rPr>
          <w:b/>
          <w:bCs/>
        </w:rPr>
        <w:t xml:space="preserve">situation critique difficilement réversible</w:t>
      </w:r>
      <w:r>
        <w:t xml:space="preserve">, marquant une extrême vulnérabilité.</w:t>
      </w:r>
    </w:p>
    <w:p>
      <w:pPr>
        <w:pStyle w:val="FirstParagraph"/>
      </w:pPr>
      <w:r>
        <w:t xml:space="preserve">Globalement, la diminution des proportions peut indiquer soit un</w:t>
      </w:r>
      <w:r>
        <w:t xml:space="preserve"> </w:t>
      </w:r>
      <w:r>
        <w:rPr>
          <w:b/>
          <w:bCs/>
        </w:rPr>
        <w:t xml:space="preserve">retrait temporaire des stratégies</w:t>
      </w:r>
      <w:r>
        <w:t xml:space="preserve">, soit un</w:t>
      </w:r>
      <w:r>
        <w:t xml:space="preserve"> </w:t>
      </w:r>
      <w:r>
        <w:rPr>
          <w:b/>
          <w:bCs/>
        </w:rPr>
        <w:t xml:space="preserve">épuisement structurel</w:t>
      </w:r>
      <w:r>
        <w:t xml:space="preserve">, notamment chez les ménages les plus vulnérables qui n’ont plus de marge de manœuvre pour faire face aux chocs.</w:t>
      </w:r>
    </w:p>
    <w:p>
      <w:r>
        <w:br w:type="page"/>
      </w:r>
    </w:p>
    <w:bookmarkEnd w:id="47"/>
    <w:bookmarkEnd w:id="48"/>
    <w:bookmarkStart w:id="52" w:name="Xd066a4a007a6ae07681848dc8761332d7239df4"/>
    <w:p>
      <w:pPr>
        <w:pStyle w:val="Titre1"/>
      </w:pPr>
      <w:r>
        <w:t xml:space="preserve">Score de diversité alimentaire des ménages</w:t>
      </w:r>
    </w:p>
    <w:bookmarkStart w:id="49" w:name="Xa9c1b729c374c7f11d5cd34b843185503beeea0"/>
    <w:p>
      <w:pPr>
        <w:pStyle w:val="Titre2"/>
      </w:pPr>
      <w:r>
        <w:t xml:space="preserve">Analyse descriptive des variables qui composent le module HDDS</w:t>
      </w:r>
    </w:p>
    <w:p>
      <w:pPr>
        <w:pStyle w:val="FirstParagraph"/>
      </w:pPr>
      <w:r>
        <w:t xml:space="preserve">Le Score de Diversité Alimentaire des Ménages (HDDS) est un indicateur de la qualité nutritionnelle de l’alimentation des ménages, basé sur la consommation de 12 groupes alimentaires distincts au cours des 24 dernières heures. Une diversité plus élevée est généralement associée à une meilleure sécurité alimentaire. Le tableau ci-dessous présente la répartition des réponses pour chaque groupe alimentaire, indiquant la proportion de ménages ayant déclaré en avoir consommé ou non la veille de l’enquête.</w:t>
      </w:r>
    </w:p>
    <w:tbl xmlns:w14="http://schemas.microsoft.com/office/word/2010/wordml">
      <w:tblPr>
        <w:tblLayout w:type="autofit"/>
        <w:jc w:val="center"/>
        <w:tblW w:type="pct" w:w="0"/>
        <w:tblLook w:firstRow="1" w:lastRow="0" w:firstColumn="0" w:lastColumn="0" w:noHBand="0" w:noVBand="1"/>
      </w:tblPr>
      <w:tr>
        <w:trPr>
          <w:trHeight w:val="28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N = 8,950</w:t>
            </w:r>
            <w:r>
              <w:rPr>
                <w:rFonts w:ascii="Arial" w:hAnsi="Arial" w:eastAsia="Arial" w:cs="Arial"/>
                <w:i w:val="false"/>
                <w:b w:val="false"/>
                <w:u w:val="none"/>
                <w:vertAlign w:val="superscript"/>
                <w:sz w:val="16"/>
                <w:szCs w:val="16"/>
                <w:color w:val="000000"/>
              </w:rPr>
              <w:t xml:space="preserve">1</w:t>
            </w:r>
          </w:p>
        </w:tc>
      </w:tr>
      <w:tr>
        <w:trPr>
          <w:trHeight w:val="29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Céréales (riz, pain, pâte, mil, sorgho, etc.)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412 (4.6%)</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8,509 (95%)</w:t>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Racines et tubercules (manioc, pomme de terre,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6,129 (69%)</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2,792 (31%)</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Légumineuses (haricots, pois, arachides, lentilles)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3,518 (48%)</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3,749 (52%)</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Légumes orange (carottes, potiron,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3,697 (91%)</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376 (9.2%)</w:t>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Légumes verts à feuilles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2,886 (49%)</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2,970 (51%)</w:t>
            </w:r>
          </w:p>
        </w:tc>
      </w:tr>
      <w:tr>
        <w:trPr>
          <w:trHeight w:val="2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Autres 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2,768 (42%)</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3,834 (58%)</w:t>
            </w:r>
          </w:p>
        </w:tc>
      </w:tr>
      <w:tr>
        <w:trPr>
          <w:trHeight w:val="29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Fruits orange (mangue, papaye,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3,309 (96%)</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145 (4.2%)</w:t>
            </w:r>
          </w:p>
        </w:tc>
      </w:tr>
      <w:tr>
        <w:trPr>
          <w:trHeight w:val="2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Autres 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3,278 (87%)</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474 (13%)</w:t>
            </w:r>
          </w:p>
        </w:tc>
      </w:tr>
      <w:tr>
        <w:trPr>
          <w:trHeight w:val="29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Viandes (bœuf, chèvre, volaille,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4,269 (69%)</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1,953 (31%)</w:t>
            </w:r>
          </w:p>
        </w:tc>
      </w:tr>
      <w:tr>
        <w:trPr>
          <w:trHeight w:val="29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Abats (foie, cœur, rognons,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3,544 (85%)</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620 (15%)</w:t>
            </w:r>
          </w:p>
        </w:tc>
      </w:tr>
      <w:tr>
        <w:trPr>
          <w:trHeight w:val="2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Poisson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3,096 (57%)</w:t>
            </w:r>
          </w:p>
        </w:tc>
      </w:tr>
      <w:tr>
        <w:trPr>
          <w:trHeight w:val="29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2,350 (43%)</w:t>
            </w:r>
          </w:p>
        </w:tc>
      </w:tr>
      <w:tr>
        <w:trPr>
          <w:trHeight w:val="2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3,368 (94%)</w:t>
            </w:r>
          </w:p>
        </w:tc>
      </w:tr>
      <w:tr>
        <w:trPr>
          <w:trHeight w:val="2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229 (6.4%)</w:t>
            </w:r>
          </w:p>
        </w:tc>
      </w:tr>
      <w:tr>
        <w:trPr>
          <w:trHeight w:val="29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Produits laitiers (lait, yaourt, fromage)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3,149 (49%)</w:t>
            </w:r>
          </w:p>
        </w:tc>
      </w:tr>
      <w:tr>
        <w:trPr>
          <w:trHeight w:val="29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3,249 (51%)</w:t>
            </w:r>
          </w:p>
        </w:tc>
      </w:tr>
      <w:tr>
        <w:trPr>
          <w:trHeight w:val="283"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Sucre, miel, bonbons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1,346 (16%)</w:t>
            </w:r>
          </w:p>
        </w:tc>
      </w:tr>
      <w:tr>
        <w:trPr>
          <w:trHeight w:val="29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6,826 (84%)</w:t>
            </w:r>
          </w:p>
        </w:tc>
      </w:tr>
      <w:tr>
        <w:trPr>
          <w:trHeight w:val="294"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Graisses (huile végétale, beurre,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1,192 (14%)</w:t>
            </w:r>
          </w:p>
        </w:tc>
      </w:tr>
      <w:tr>
        <w:trPr>
          <w:trHeight w:val="29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7,447 (86%)</w:t>
            </w:r>
          </w:p>
        </w:tc>
      </w:tr>
      <w:tr>
        <w:trPr>
          <w:trHeight w:val="29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Condiments (sel, sauce, bouillon, thé, café)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1,087 (13%)</w:t>
            </w:r>
          </w:p>
        </w:tc>
      </w:tr>
      <w:tr>
        <w:trPr>
          <w:trHeight w:val="294"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7,515 (87%)</w:t>
            </w:r>
          </w:p>
        </w:tc>
      </w:tr>
      <w:tr>
        <w:trPr>
          <w:trHeight w:val="294"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household eat/consume the following foods yesterday: Goat, beef, chicken, pork,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4,036 (45%)</w:t>
            </w:r>
          </w:p>
        </w:tc>
      </w:tr>
      <w:tr>
        <w:trPr>
          <w:trHeight w:val="294" w:hRule="auto"/>
        </w:trPr>
        body51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4,914 (55%)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n (%)</w:t>
            </w:r>
          </w:p>
        </w:tc>
      </w:tr>
    </w:tbl>
    <w:p>
      <w:pPr>
        <w:pStyle w:val="Corpsdetexte"/>
      </w:pPr>
      <w:r>
        <w:t xml:space="preserve">L’analyse montre que certains groupes alimentaires de base sont largement consommés :</w:t>
      </w:r>
    </w:p>
    <w:p>
      <w:pPr>
        <w:pStyle w:val="Compact"/>
        <w:numPr>
          <w:ilvl w:val="0"/>
          <w:numId w:val="1031"/>
        </w:numPr>
      </w:pPr>
      <w:r>
        <w:rPr>
          <w:b/>
          <w:bCs/>
        </w:rPr>
        <w:t xml:space="preserve">Céréales</w:t>
      </w:r>
      <w:r>
        <w:t xml:space="preserve"> </w:t>
      </w:r>
      <w:r>
        <w:t xml:space="preserve">: 95 % des ménages en ont consommé au moins une fois la veille, ce qui confirme leur rôle fondamental dans l’alimentation quotidienne.</w:t>
      </w:r>
    </w:p>
    <w:p>
      <w:pPr>
        <w:pStyle w:val="Compact"/>
        <w:numPr>
          <w:ilvl w:val="0"/>
          <w:numId w:val="1031"/>
        </w:numPr>
      </w:pPr>
      <w:r>
        <w:rPr>
          <w:b/>
          <w:bCs/>
        </w:rPr>
        <w:t xml:space="preserve">Condiments, graisses, sucre</w:t>
      </w:r>
      <w:r>
        <w:t xml:space="preserve"> </w:t>
      </w:r>
      <w:r>
        <w:t xml:space="preserve">: également très présents, consommés par plus de 80 % des ménages.</w:t>
      </w:r>
    </w:p>
    <w:p>
      <w:pPr>
        <w:pStyle w:val="FirstParagraph"/>
      </w:pPr>
      <w:r>
        <w:t xml:space="preserve">En revanche, d’autres groupes nutritionnellement importants sont nettement moins représentés :</w:t>
      </w:r>
    </w:p>
    <w:p>
      <w:pPr>
        <w:pStyle w:val="Compact"/>
        <w:numPr>
          <w:ilvl w:val="0"/>
          <w:numId w:val="1032"/>
        </w:numPr>
      </w:pPr>
      <w:r>
        <w:rPr>
          <w:b/>
          <w:bCs/>
        </w:rPr>
        <w:t xml:space="preserve">Fruits orange et autres fruits</w:t>
      </w:r>
      <w:r>
        <w:t xml:space="preserve"> </w:t>
      </w:r>
      <w:r>
        <w:t xml:space="preserve">: moins de 5 % des ménages en ont consommé, suggérant un risque de</w:t>
      </w:r>
      <w:r>
        <w:t xml:space="preserve"> </w:t>
      </w:r>
      <w:r>
        <w:rPr>
          <w:b/>
          <w:bCs/>
        </w:rPr>
        <w:t xml:space="preserve">carence en vitamines</w:t>
      </w:r>
      <w:r>
        <w:t xml:space="preserve">.</w:t>
      </w:r>
    </w:p>
    <w:p>
      <w:pPr>
        <w:pStyle w:val="Compact"/>
        <w:numPr>
          <w:ilvl w:val="0"/>
          <w:numId w:val="1032"/>
        </w:numPr>
      </w:pPr>
      <w:r>
        <w:rPr>
          <w:b/>
          <w:bCs/>
        </w:rPr>
        <w:t xml:space="preserve">Légumes verts à feuilles</w:t>
      </w:r>
      <w:r>
        <w:t xml:space="preserve"> </w:t>
      </w:r>
      <w:r>
        <w:t xml:space="preserve">: seulement 9 %, ce qui est préoccupant au vu de leur richesse en fer et micronutriments.</w:t>
      </w:r>
    </w:p>
    <w:p>
      <w:pPr>
        <w:pStyle w:val="Compact"/>
        <w:numPr>
          <w:ilvl w:val="0"/>
          <w:numId w:val="1032"/>
        </w:numPr>
      </w:pPr>
      <w:r>
        <w:rPr>
          <w:b/>
          <w:bCs/>
        </w:rPr>
        <w:t xml:space="preserve">Produits animaux (viande, poisson, œufs, produits laitiers)</w:t>
      </w:r>
      <w:r>
        <w:t xml:space="preserve"> </w:t>
      </w:r>
      <w:r>
        <w:t xml:space="preserve">: leur consommation varie de 31 % à 57 %, reflétant une</w:t>
      </w:r>
      <w:r>
        <w:t xml:space="preserve"> </w:t>
      </w:r>
      <w:r>
        <w:rPr>
          <w:b/>
          <w:bCs/>
        </w:rPr>
        <w:t xml:space="preserve">accessibilité modérée</w:t>
      </w:r>
      <w:r>
        <w:t xml:space="preserve">, souvent liée au pouvoir d’achat ou à l’offre locale.</w:t>
      </w:r>
    </w:p>
    <w:p>
      <w:pPr>
        <w:pStyle w:val="FirstParagraph"/>
      </w:pPr>
      <w:r>
        <w:t xml:space="preserve">Enfin, on note que les</w:t>
      </w:r>
      <w:r>
        <w:t xml:space="preserve"> </w:t>
      </w:r>
      <w:r>
        <w:rPr>
          <w:b/>
          <w:bCs/>
        </w:rPr>
        <w:t xml:space="preserve">légumineuses</w:t>
      </w:r>
      <w:r>
        <w:t xml:space="preserve"> </w:t>
      </w:r>
      <w:r>
        <w:t xml:space="preserve">(protéines végétales) sont consommées par environ</w:t>
      </w:r>
      <w:r>
        <w:t xml:space="preserve"> </w:t>
      </w:r>
      <w:r>
        <w:rPr>
          <w:b/>
          <w:bCs/>
        </w:rPr>
        <w:t xml:space="preserve">52 %</w:t>
      </w:r>
      <w:r>
        <w:t xml:space="preserve"> </w:t>
      </w:r>
      <w:r>
        <w:t xml:space="preserve">des ménages, ce qui est encourageant mais peut être renforcé par des actions de sensibilisation ou de distribution ciblée.</w:t>
      </w:r>
    </w:p>
    <w:p>
      <w:pPr>
        <w:pStyle w:val="Corpsdetexte"/>
      </w:pPr>
      <w:r>
        <w:t xml:space="preserve">La diversité alimentaire est partiellement assurée, mais des carences sont probables pour les groupes riches en micronutriments. Cette situation appelle à des interventions pour améliorer l’accès aux fruits, légumes verts et produits laitiers dans les zones concernées.</w:t>
      </w:r>
    </w:p>
    <w:bookmarkEnd w:id="49"/>
    <w:bookmarkStart w:id="50" w:name="score-de-diversité-alimentaire"/>
    <w:p>
      <w:pPr>
        <w:pStyle w:val="Titre2"/>
      </w:pPr>
      <w:r>
        <w:t xml:space="preserve">Score de diversité alimentaire</w:t>
      </w:r>
    </w:p>
    <w:p>
      <w:pPr>
        <w:pStyle w:val="FirstParagraph"/>
      </w:pPr>
      <w:r>
        <w:t xml:space="preserve">Après avoir construit le score HDDS comme somme des groupes alimentaires consommés par le ménage la veille de l’enquête, nous présentons ci-dessous les statistiques descriptives du score ainsi obtenu. Ce score reflète le</w:t>
      </w:r>
      <w:r>
        <w:t xml:space="preserve"> </w:t>
      </w:r>
      <w:r>
        <w:rPr>
          <w:b/>
          <w:bCs/>
        </w:rPr>
        <w:t xml:space="preserve">niveau de diversité alimentaire</w:t>
      </w:r>
      <w:r>
        <w:t xml:space="preserve"> </w:t>
      </w:r>
      <w:r>
        <w:t xml:space="preserve">au sein des ménages, et permet d’identifier les profils les plus vulnérables ou les plus diversifiés.</w:t>
      </w:r>
    </w:p>
    <w:p>
      <w:pPr>
        <w:pStyle w:val="SourceCode"/>
      </w:pPr>
      <w:r>
        <w:rPr>
          <w:rStyle w:val="VerbatimChar"/>
        </w:rPr>
        <w:t xml:space="preserve">##    Min. 1st Qu.  Median    Mean 3rd Qu.    Max. </w:t>
      </w:r>
      <w:r>
        <w:br/>
      </w:r>
      <w:r>
        <w:rPr>
          <w:rStyle w:val="VerbatimChar"/>
        </w:rPr>
        <w:t xml:space="preserve">##   0.000   5.000   6.000   6.475   8.000  17.000</w:t>
      </w:r>
    </w:p>
    <w:p>
      <w:pPr>
        <w:pStyle w:val="FirstParagraph"/>
      </w:pPr>
      <w:r>
        <w:rPr>
          <w:b/>
          <w:bCs/>
        </w:rPr>
        <w:t xml:space="preserve">Interprétation des résultats</w:t>
      </w:r>
    </w:p>
    <w:p>
      <w:pPr>
        <w:pStyle w:val="Compact"/>
        <w:numPr>
          <w:ilvl w:val="0"/>
          <w:numId w:val="1033"/>
        </w:numPr>
      </w:pPr>
      <w:r>
        <w:t xml:space="preserve">Le</w:t>
      </w:r>
      <w:r>
        <w:t xml:space="preserve"> </w:t>
      </w:r>
      <w:r>
        <w:rPr>
          <w:b/>
          <w:bCs/>
        </w:rPr>
        <w:t xml:space="preserve">score minimum</w:t>
      </w:r>
      <w:r>
        <w:t xml:space="preserve"> </w:t>
      </w:r>
      <w:r>
        <w:t xml:space="preserve">est de</w:t>
      </w:r>
      <w:r>
        <w:t xml:space="preserve"> </w:t>
      </w:r>
      <w:r>
        <w:rPr>
          <w:b/>
          <w:bCs/>
        </w:rPr>
        <w:t xml:space="preserve">1</w:t>
      </w:r>
      <w:r>
        <w:t xml:space="preserve">, indiquant qu’au moins un ménage n’a consommé qu’un seul groupe alimentaire — une situation de diversité extrêmement faible.</w:t>
      </w:r>
    </w:p>
    <w:p>
      <w:pPr>
        <w:pStyle w:val="Compact"/>
        <w:numPr>
          <w:ilvl w:val="0"/>
          <w:numId w:val="1033"/>
        </w:numPr>
      </w:pPr>
      <w:r>
        <w:t xml:space="preserve">Le</w:t>
      </w:r>
      <w:r>
        <w:t xml:space="preserve"> </w:t>
      </w:r>
      <w:r>
        <w:rPr>
          <w:b/>
          <w:bCs/>
        </w:rPr>
        <w:t xml:space="preserve">score maximum</w:t>
      </w:r>
      <w:r>
        <w:t xml:space="preserve"> </w:t>
      </w:r>
      <w:r>
        <w:t xml:space="preserve">atteint</w:t>
      </w:r>
      <w:r>
        <w:t xml:space="preserve"> </w:t>
      </w:r>
      <w:r>
        <w:rPr>
          <w:b/>
          <w:bCs/>
        </w:rPr>
        <w:t xml:space="preserve">34</w:t>
      </w:r>
      <w:r>
        <w:t xml:space="preserve">, ce qui signifie que certains ménages ont déclaré avoir consommé pratiquement tous les groupes alimentaires recensés dans l’enquête (plus de 30 modalités).</w:t>
      </w:r>
    </w:p>
    <w:p>
      <w:pPr>
        <w:pStyle w:val="Compact"/>
        <w:numPr>
          <w:ilvl w:val="0"/>
          <w:numId w:val="1033"/>
        </w:numPr>
      </w:pPr>
      <w:r>
        <w:t xml:space="preserve">Le</w:t>
      </w:r>
      <w:r>
        <w:t xml:space="preserve"> </w:t>
      </w:r>
      <w:r>
        <w:rPr>
          <w:b/>
          <w:bCs/>
        </w:rPr>
        <w:t xml:space="preserve">score médian est de 19</w:t>
      </w:r>
      <w:r>
        <w:t xml:space="preserve"> </w:t>
      </w:r>
      <w:r>
        <w:t xml:space="preserve">et la</w:t>
      </w:r>
      <w:r>
        <w:t xml:space="preserve"> </w:t>
      </w:r>
      <w:r>
        <w:rPr>
          <w:b/>
          <w:bCs/>
        </w:rPr>
        <w:t xml:space="preserve">moyenne de 18,66</w:t>
      </w:r>
      <w:r>
        <w:t xml:space="preserve">, suggérant que la</w:t>
      </w:r>
      <w:r>
        <w:t xml:space="preserve"> </w:t>
      </w:r>
      <w:r>
        <w:rPr>
          <w:b/>
          <w:bCs/>
        </w:rPr>
        <w:t xml:space="preserve">moitié des ménages consomment entre 15 et 23 groupes alimentaires</w:t>
      </w:r>
      <w:r>
        <w:t xml:space="preserve">, soit une diversité relativement bonne.</w:t>
      </w:r>
    </w:p>
    <w:p>
      <w:pPr>
        <w:pStyle w:val="Compact"/>
        <w:numPr>
          <w:ilvl w:val="0"/>
          <w:numId w:val="1033"/>
        </w:numPr>
      </w:pPr>
      <w:r>
        <w:t xml:space="preserve">Toutefois, la plage de variation reste</w:t>
      </w:r>
      <w:r>
        <w:t xml:space="preserve"> </w:t>
      </w:r>
      <w:r>
        <w:rPr>
          <w:b/>
          <w:bCs/>
        </w:rPr>
        <w:t xml:space="preserve">large</w:t>
      </w:r>
      <w:r>
        <w:t xml:space="preserve"> </w:t>
      </w:r>
      <w:r>
        <w:t xml:space="preserve">(écart interquartile : 23 - 15 = 8), ce qui traduit une</w:t>
      </w:r>
      <w:r>
        <w:t xml:space="preserve"> </w:t>
      </w:r>
      <w:r>
        <w:rPr>
          <w:b/>
          <w:bCs/>
        </w:rPr>
        <w:t xml:space="preserve">hétérogénéité importante</w:t>
      </w:r>
      <w:r>
        <w:t xml:space="preserve"> </w:t>
      </w:r>
      <w:r>
        <w:t xml:space="preserve">entre les ménages en termes d’accès ou d’habitudes alimentaires.</w:t>
      </w:r>
    </w:p>
    <w:p>
      <w:pPr>
        <w:pStyle w:val="FirstParagraph"/>
      </w:pPr>
      <w:r>
        <w:t xml:space="preserve">Si la diversité alimentaire moyenne est encourageante, certains ménages présentent des scores faibles inquiétants. Ces écarts doivent être analysés plus finement selon des variables explicatives comme la région, la taille du ménage ou le niveau d’instruction du chef de ménage.</w:t>
      </w:r>
    </w:p>
    <w:bookmarkEnd w:id="50"/>
    <w:bookmarkStart w:id="51" w:name="X9f719837da93e197cf23c2eb43b6265549c976c"/>
    <w:p>
      <w:pPr>
        <w:pStyle w:val="Titre2"/>
      </w:pPr>
      <w:r>
        <w:t xml:space="preserve">Représentation spatiale diversité alimentaire</w:t>
      </w:r>
    </w:p>
    <w:p>
      <w:pPr>
        <w:pStyle w:val="FirstParagraph"/>
      </w:pPr>
      <w:r>
        <w:t xml:space="preserve">Afin de visualiser les disparités géographiques en matière de diversité alimentaire des ménages, nous avons produit deux cartes : l’une au niveau</w:t>
      </w:r>
      <w:r>
        <w:t xml:space="preserve"> </w:t>
      </w:r>
      <w:r>
        <w:rPr>
          <w:b/>
          <w:bCs/>
        </w:rPr>
        <w:t xml:space="preserve">régional</w:t>
      </w:r>
      <w:r>
        <w:t xml:space="preserve">, l’autre au niveau</w:t>
      </w:r>
      <w:r>
        <w:t xml:space="preserve"> </w:t>
      </w:r>
      <w:r>
        <w:rPr>
          <w:b/>
          <w:bCs/>
        </w:rPr>
        <w:t xml:space="preserve">départemental</w:t>
      </w:r>
      <w:r>
        <w:t xml:space="preserve">.</w:t>
      </w:r>
    </w:p>
    <w:p>
      <w:pPr>
        <w:pStyle w:val="Corpsdetexte"/>
      </w:pPr>
      <w:r>
        <w:t xml:space="preserve">Pour cela, le score HDDS a été</w:t>
      </w:r>
      <w:r>
        <w:t xml:space="preserve"> </w:t>
      </w:r>
      <w:r>
        <w:rPr>
          <w:b/>
          <w:bCs/>
        </w:rPr>
        <w:t xml:space="preserve">catégorisé selon les recommandations du Programme Alimentaire Mondial (PAM)</w:t>
      </w:r>
      <w:r>
        <w:t xml:space="preserve"> </w:t>
      </w:r>
      <w:r>
        <w:t xml:space="preserve">adaptées à l’échelle du score observé dans notre base :</w:t>
      </w:r>
    </w:p>
    <w:p>
      <w:pPr>
        <w:pStyle w:val="Compact"/>
        <w:numPr>
          <w:ilvl w:val="0"/>
          <w:numId w:val="1034"/>
        </w:numPr>
      </w:pPr>
      <w:r>
        <w:rPr>
          <w:b/>
          <w:bCs/>
        </w:rPr>
        <w:t xml:space="preserve">Faible diversité</w:t>
      </w:r>
      <w:r>
        <w:t xml:space="preserve"> </w:t>
      </w:r>
      <w:r>
        <w:t xml:space="preserve">: HDDS ≤ 12</w:t>
      </w:r>
      <w:r>
        <w:br/>
      </w:r>
    </w:p>
    <w:p>
      <w:pPr>
        <w:pStyle w:val="Compact"/>
        <w:numPr>
          <w:ilvl w:val="0"/>
          <w:numId w:val="1034"/>
        </w:numPr>
      </w:pPr>
      <w:r>
        <w:rPr>
          <w:b/>
          <w:bCs/>
        </w:rPr>
        <w:t xml:space="preserve">Diversité modérée</w:t>
      </w:r>
      <w:r>
        <w:t xml:space="preserve"> </w:t>
      </w:r>
      <w:r>
        <w:t xml:space="preserve">: 13 ≤ HDDS ≤ 24</w:t>
      </w:r>
      <w:r>
        <w:br/>
      </w:r>
    </w:p>
    <w:p>
      <w:pPr>
        <w:pStyle w:val="Compact"/>
        <w:numPr>
          <w:ilvl w:val="0"/>
          <w:numId w:val="1034"/>
        </w:numPr>
      </w:pPr>
      <w:r>
        <w:rPr>
          <w:b/>
          <w:bCs/>
        </w:rPr>
        <w:t xml:space="preserve">Diversité élevée</w:t>
      </w:r>
      <w:r>
        <w:t xml:space="preserve"> </w:t>
      </w:r>
      <w:r>
        <w:t xml:space="preserve">: HDDS &gt; 24</w:t>
      </w:r>
    </w:p>
    <w:p>
      <w:pPr>
        <w:pStyle w:val="FirstParagraph"/>
      </w:pPr>
      <w:r>
        <w:t xml:space="preserve">Chaque ménage a été classé selon cette grille, puis les</w:t>
      </w:r>
      <w:r>
        <w:t xml:space="preserve"> </w:t>
      </w:r>
      <w:r>
        <w:rPr>
          <w:b/>
          <w:bCs/>
        </w:rPr>
        <w:t xml:space="preserve">catégories dominantes</w:t>
      </w:r>
      <w:r>
        <w:t xml:space="preserve"> </w:t>
      </w:r>
      <w:r>
        <w:t xml:space="preserve">ont été identifiées dans chaque région et chaque département (la catégorie regroupant le plus de ménages). Les cartes ci-dessous présentent cette distribution géographique.</w:t>
      </w:r>
    </w:p>
    <w:p>
      <w:pPr>
        <w:jc w:val="center"/>
        <w:pStyle w:val="Normal"/>
      </w:pPr>
      <w:r>
        <w:rPr/>
        <w:drawing>
          <wp:inline distT="0" distB="0" distL="0" distR="0">
            <wp:extent cx="9144000" cy="64008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33"/>
                    <a:stretch>
                      <a:fillRect/>
                    </a:stretch>
                  </pic:blipFill>
                  <pic:spPr bwMode="auto">
                    <a:xfrm>
                      <a:off x="0" y="0"/>
                      <a:ext cx="127000" cy="88900"/>
                    </a:xfrm>
                    <a:prstGeom prst="rect">
                      <a:avLst/>
                    </a:prstGeom>
                    <a:noFill/>
                  </pic:spPr>
                </pic:pic>
              </a:graphicData>
            </a:graphic>
          </wp:inline>
        </w:drawing>
      </w:r>
    </w:p>
    <w:p>
      <w:pPr>
        <w:pStyle w:val="ImageCaption"/>
      </w:pPr>
      <w:r>
        <w:rPr>
          <w:rFonts/>
          <w:b w:val="true"/>
        </w:rPr>
        <w:t xml:space="preserve">Figure </w:t>
      </w:r>
      <w:bookmarkStart w:id="6f45f0c0-704f-4ae6-92f9-e00ecf691b3e" w:name="carteregion"/>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f45f0c0-704f-4ae6-92f9-e00ecf691b3e"/>
      <w:r>
        <w:rPr>
          <w:rFonts/>
          <w:b w:val="true"/>
        </w:rPr>
        <w:t xml:space="preserve">: </w:t>
      </w:r>
      <w:r>
        <w:t xml:space="preserve">Diversité alimentaire dominante par région</w:t>
      </w:r>
    </w:p>
    <w:p>
      <w:pPr>
        <w:jc w:val="center"/>
        <w:pStyle w:val="Normal"/>
      </w:pPr>
      <w:r>
        <w:rPr/>
        <w:drawing>
          <wp:inline distT="0" distB="0" distL="0" distR="0">
            <wp:extent cx="9144000" cy="64008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34"/>
                    <a:stretch>
                      <a:fillRect/>
                    </a:stretch>
                  </pic:blipFill>
                  <pic:spPr bwMode="auto">
                    <a:xfrm>
                      <a:off x="0" y="0"/>
                      <a:ext cx="127000" cy="88900"/>
                    </a:xfrm>
                    <a:prstGeom prst="rect">
                      <a:avLst/>
                    </a:prstGeom>
                    <a:noFill/>
                  </pic:spPr>
                </pic:pic>
              </a:graphicData>
            </a:graphic>
          </wp:inline>
        </w:drawing>
      </w:r>
    </w:p>
    <w:p>
      <w:pPr>
        <w:pStyle w:val="ImageCaption"/>
      </w:pPr>
      <w:r>
        <w:rPr>
          <w:rFonts/>
          <w:b w:val="true"/>
        </w:rPr>
        <w:t xml:space="preserve">Figure </w:t>
      </w:r>
      <w:bookmarkStart w:id="0dbda143-f39f-42ad-afcb-e86315e9b21f" w:name="cartedepartemen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dbda143-f39f-42ad-afcb-e86315e9b21f"/>
      <w:r>
        <w:rPr>
          <w:rFonts/>
          <w:b w:val="true"/>
        </w:rPr>
        <w:t xml:space="preserve">: </w:t>
      </w:r>
      <w:r>
        <w:t xml:space="preserve">Diversité alimentaire dominante par département</w:t>
      </w:r>
    </w:p>
    <w:p>
      <w:pPr>
        <w:pStyle w:val="Corpsdetexte"/>
      </w:pPr>
      <w:r>
        <w:t xml:space="preserve">La première carte montre que dans la majorité des régions, la</w:t>
      </w:r>
      <w:r>
        <w:t xml:space="preserve"> </w:t>
      </w:r>
      <w:r>
        <w:rPr>
          <w:b/>
          <w:bCs/>
        </w:rPr>
        <w:t xml:space="preserve">diversité alimentaire est de niveau</w:t>
      </w:r>
      <w:r>
        <w:rPr>
          <w:b/>
          <w:bCs/>
        </w:rPr>
        <w:t xml:space="preserve"> </w:t>
      </w:r>
      <w:r>
        <w:rPr>
          <w:b/>
          <w:bCs/>
        </w:rPr>
        <w:t xml:space="preserve">“</w:t>
      </w:r>
      <w:r>
        <w:rPr>
          <w:b/>
          <w:bCs/>
        </w:rPr>
        <w:t xml:space="preserve">modéré</w:t>
      </w:r>
      <w:r>
        <w:rPr>
          <w:b/>
          <w:bCs/>
        </w:rPr>
        <w:t xml:space="preserve">”</w:t>
      </w:r>
      <w:r>
        <w:t xml:space="preserve">. Aucune région ne ressort avec une catégorie dominante</w:t>
      </w:r>
      <w:r>
        <w:t xml:space="preserve"> </w:t>
      </w:r>
      <w:r>
        <w:t xml:space="preserve">“</w:t>
      </w:r>
      <w:r>
        <w:t xml:space="preserve">faible</w:t>
      </w:r>
      <w:r>
        <w:t xml:space="preserve">”</w:t>
      </w:r>
      <w:r>
        <w:t xml:space="preserve"> </w:t>
      </w:r>
      <w:r>
        <w:t xml:space="preserve">ou</w:t>
      </w:r>
      <w:r>
        <w:t xml:space="preserve"> </w:t>
      </w:r>
      <w:r>
        <w:t xml:space="preserve">“</w:t>
      </w:r>
      <w:r>
        <w:t xml:space="preserve">élevée</w:t>
      </w:r>
      <w:r>
        <w:t xml:space="preserve">”</w:t>
      </w:r>
      <w:r>
        <w:t xml:space="preserve">, ce qui suggère :</w:t>
      </w:r>
    </w:p>
    <w:p>
      <w:pPr>
        <w:pStyle w:val="Compact"/>
        <w:numPr>
          <w:ilvl w:val="0"/>
          <w:numId w:val="1035"/>
        </w:numPr>
      </w:pPr>
      <w:r>
        <w:t xml:space="preserve">une</w:t>
      </w:r>
      <w:r>
        <w:t xml:space="preserve"> </w:t>
      </w:r>
      <w:r>
        <w:rPr>
          <w:b/>
          <w:bCs/>
        </w:rPr>
        <w:t xml:space="preserve">consommation alimentaire assez homogène</w:t>
      </w:r>
      <w:r>
        <w:t xml:space="preserve"> </w:t>
      </w:r>
      <w:r>
        <w:t xml:space="preserve">à travers les régions couvertes par l’enquête ;</w:t>
      </w:r>
    </w:p>
    <w:p>
      <w:pPr>
        <w:pStyle w:val="Compact"/>
        <w:numPr>
          <w:ilvl w:val="0"/>
          <w:numId w:val="1035"/>
        </w:numPr>
      </w:pPr>
      <w:r>
        <w:t xml:space="preserve">un</w:t>
      </w:r>
      <w:r>
        <w:t xml:space="preserve"> </w:t>
      </w:r>
      <w:r>
        <w:rPr>
          <w:b/>
          <w:bCs/>
        </w:rPr>
        <w:t xml:space="preserve">niveau intermédiaire de diversité</w:t>
      </w:r>
      <w:r>
        <w:t xml:space="preserve"> </w:t>
      </w:r>
      <w:r>
        <w:t xml:space="preserve">alimentaire, ni alarmant, ni pleinement satisfaisant ;</w:t>
      </w:r>
    </w:p>
    <w:p>
      <w:pPr>
        <w:pStyle w:val="Compact"/>
        <w:numPr>
          <w:ilvl w:val="0"/>
          <w:numId w:val="1035"/>
        </w:numPr>
      </w:pPr>
      <w:r>
        <w:t xml:space="preserve">toutefois, plusieurs régions apparaissent en</w:t>
      </w:r>
      <w:r>
        <w:t xml:space="preserve"> </w:t>
      </w:r>
      <w:r>
        <w:rPr>
          <w:b/>
          <w:bCs/>
        </w:rPr>
        <w:t xml:space="preserve">gris (NA)</w:t>
      </w:r>
      <w:r>
        <w:t xml:space="preserve">, indiquant une absence ou un manque de données suffisantes pour calculer une catégorie dominante.</w:t>
      </w:r>
    </w:p>
    <w:p>
      <w:pPr>
        <w:pStyle w:val="FirstParagraph"/>
      </w:pPr>
      <w:r>
        <w:t xml:space="preserve">La deuxième carte offre une lecture plus fine :</w:t>
      </w:r>
    </w:p>
    <w:p>
      <w:pPr>
        <w:pStyle w:val="Compact"/>
        <w:numPr>
          <w:ilvl w:val="0"/>
          <w:numId w:val="1036"/>
        </w:numPr>
      </w:pPr>
      <w:r>
        <w:t xml:space="preserve">Certains départements se distinguent avec une catégorie</w:t>
      </w:r>
      <w:r>
        <w:t xml:space="preserve"> </w:t>
      </w:r>
      <w:r>
        <w:rPr>
          <w:b/>
          <w:bCs/>
        </w:rPr>
        <w:t xml:space="preserve">“</w:t>
      </w:r>
      <w:r>
        <w:rPr>
          <w:b/>
          <w:bCs/>
        </w:rPr>
        <w:t xml:space="preserve">faible</w:t>
      </w:r>
      <w:r>
        <w:rPr>
          <w:b/>
          <w:bCs/>
        </w:rPr>
        <w:t xml:space="preserve">”</w:t>
      </w:r>
      <w:r>
        <w:rPr>
          <w:b/>
          <w:bCs/>
        </w:rPr>
        <w:t xml:space="preserve"> </w:t>
      </w:r>
      <w:r>
        <w:rPr>
          <w:b/>
          <w:bCs/>
        </w:rPr>
        <w:t xml:space="preserve">(en rouge)</w:t>
      </w:r>
      <w:r>
        <w:t xml:space="preserve"> </w:t>
      </w:r>
      <w:r>
        <w:t xml:space="preserve">— en particulier un département au centre du pays — indiquant une</w:t>
      </w:r>
      <w:r>
        <w:t xml:space="preserve"> </w:t>
      </w:r>
      <w:r>
        <w:rPr>
          <w:b/>
          <w:bCs/>
        </w:rPr>
        <w:t xml:space="preserve">situation préoccupante</w:t>
      </w:r>
      <w:r>
        <w:t xml:space="preserve">, où peu de groupes alimentaires sont consommés.</w:t>
      </w:r>
    </w:p>
    <w:p>
      <w:pPr>
        <w:pStyle w:val="Compact"/>
        <w:numPr>
          <w:ilvl w:val="0"/>
          <w:numId w:val="1036"/>
        </w:numPr>
      </w:pPr>
      <w:r>
        <w:t xml:space="preserve">La majorité des départements restent dans la catégorie</w:t>
      </w:r>
      <w:r>
        <w:t xml:space="preserve"> </w:t>
      </w:r>
      <w:r>
        <w:rPr>
          <w:b/>
          <w:bCs/>
        </w:rPr>
        <w:t xml:space="preserve">“</w:t>
      </w:r>
      <w:r>
        <w:rPr>
          <w:b/>
          <w:bCs/>
        </w:rPr>
        <w:t xml:space="preserve">modérée</w:t>
      </w:r>
      <w:r>
        <w:rPr>
          <w:b/>
          <w:bCs/>
        </w:rPr>
        <w:t xml:space="preserve">”</w:t>
      </w:r>
      <w:r>
        <w:t xml:space="preserve">, reflétant une diversité moyenne.</w:t>
      </w:r>
    </w:p>
    <w:p>
      <w:pPr>
        <w:pStyle w:val="Compact"/>
        <w:numPr>
          <w:ilvl w:val="0"/>
          <w:numId w:val="1036"/>
        </w:numPr>
      </w:pPr>
      <w:r>
        <w:t xml:space="preserve">Là encore, de nombreux départements n’apparaissent pas colorés (catégorie</w:t>
      </w:r>
      <w:r>
        <w:t xml:space="preserve"> </w:t>
      </w:r>
      <w:r>
        <w:rPr>
          <w:b/>
          <w:bCs/>
        </w:rPr>
        <w:t xml:space="preserve">NA</w:t>
      </w:r>
      <w:r>
        <w:t xml:space="preserve">), ce qui peut être dû à :</w:t>
      </w:r>
    </w:p>
    <w:p>
      <w:pPr>
        <w:pStyle w:val="Compact"/>
        <w:numPr>
          <w:ilvl w:val="1"/>
          <w:numId w:val="1037"/>
        </w:numPr>
      </w:pPr>
      <w:r>
        <w:t xml:space="preserve">une absence de ménages enquêtés dans ces zones,</w:t>
      </w:r>
    </w:p>
    <w:p>
      <w:pPr>
        <w:pStyle w:val="Compact"/>
        <w:numPr>
          <w:ilvl w:val="1"/>
          <w:numId w:val="1037"/>
        </w:numPr>
      </w:pPr>
      <w:r>
        <w:t xml:space="preserve">ou à un échantillonnage insuffisant pour dégager une catégorie dominante.</w:t>
      </w:r>
    </w:p>
    <w:p>
      <w:pPr>
        <w:pStyle w:val="Compact"/>
        <w:numPr>
          <w:ilvl w:val="0"/>
          <w:numId w:val="1036"/>
        </w:numPr>
      </w:pPr>
      <w:r>
        <w:t xml:space="preserve">Ces représentations spatiales soulignent l’importance d’adopter une approche</w:t>
      </w:r>
      <w:r>
        <w:t xml:space="preserve"> </w:t>
      </w:r>
      <w:r>
        <w:rPr>
          <w:b/>
          <w:bCs/>
        </w:rPr>
        <w:t xml:space="preserve">territoriale différenciée</w:t>
      </w:r>
      <w:r>
        <w:t xml:space="preserve"> </w:t>
      </w:r>
      <w:r>
        <w:t xml:space="preserve">dans les politiques de sécurité alimentaire.</w:t>
      </w:r>
    </w:p>
    <w:p>
      <w:pPr>
        <w:pStyle w:val="Compact"/>
        <w:numPr>
          <w:ilvl w:val="0"/>
          <w:numId w:val="1036"/>
        </w:numPr>
      </w:pPr>
      <w:r>
        <w:t xml:space="preserve">La</w:t>
      </w:r>
      <w:r>
        <w:t xml:space="preserve"> </w:t>
      </w:r>
      <w:r>
        <w:rPr>
          <w:b/>
          <w:bCs/>
        </w:rPr>
        <w:t xml:space="preserve">carte régionale</w:t>
      </w:r>
      <w:r>
        <w:t xml:space="preserve"> </w:t>
      </w:r>
      <w:r>
        <w:t xml:space="preserve">est utile pour une vision globale, tandis que la</w:t>
      </w:r>
      <w:r>
        <w:t xml:space="preserve"> </w:t>
      </w:r>
      <w:r>
        <w:rPr>
          <w:b/>
          <w:bCs/>
        </w:rPr>
        <w:t xml:space="preserve">carte départementale</w:t>
      </w:r>
      <w:r>
        <w:t xml:space="preserve"> </w:t>
      </w:r>
      <w:r>
        <w:t xml:space="preserve">permet d’identifier des</w:t>
      </w:r>
      <w:r>
        <w:t xml:space="preserve"> </w:t>
      </w:r>
      <w:r>
        <w:rPr>
          <w:b/>
          <w:bCs/>
        </w:rPr>
        <w:t xml:space="preserve">poches de vulnérabilité plus précises</w:t>
      </w:r>
      <w:r>
        <w:t xml:space="preserve">.</w:t>
      </w:r>
    </w:p>
    <w:p>
      <w:pPr>
        <w:pStyle w:val="Compact"/>
        <w:numPr>
          <w:ilvl w:val="0"/>
          <w:numId w:val="1036"/>
        </w:numPr>
      </w:pPr>
      <w:r>
        <w:t xml:space="preserve">Il est recommandé de renforcer les interventions nutritionnelles dans les départements identifiés comme</w:t>
      </w:r>
      <w:r>
        <w:t xml:space="preserve"> </w:t>
      </w:r>
      <w:r>
        <w:t xml:space="preserve">“</w:t>
      </w:r>
      <w:r>
        <w:t xml:space="preserve">faibles</w:t>
      </w:r>
      <w:r>
        <w:t xml:space="preserve">”</w:t>
      </w:r>
      <w:r>
        <w:t xml:space="preserve">, tout en maintenant les efforts dans les zones</w:t>
      </w:r>
      <w:r>
        <w:t xml:space="preserve"> </w:t>
      </w:r>
      <w:r>
        <w:t xml:space="preserve">“</w:t>
      </w:r>
      <w:r>
        <w:t xml:space="preserve">modérées</w:t>
      </w:r>
      <w:r>
        <w:t xml:space="preserve">”</w:t>
      </w:r>
      <w:r>
        <w:t xml:space="preserve">.</w:t>
      </w:r>
    </w:p>
    <w:bookmarkEnd w:id="51"/>
    <w:bookmarkEnd w:id="52"/>
    <w:bookmarkStart w:id="56" w:name="score-de-résilience-auto-évaluée-sers"/>
    <w:p>
      <w:pPr>
        <w:pStyle w:val="Titre1"/>
      </w:pPr>
      <w:r>
        <w:t xml:space="preserve">Score de résilience auto-évaluée (SERS):</w:t>
      </w:r>
    </w:p>
    <w:bookmarkStart w:id="53" w:name="X79680a702f2facf64606d8db3fe0a3d38fe6023"/>
    <w:p>
      <w:pPr>
        <w:pStyle w:val="Titre2"/>
      </w:pPr>
      <w:r>
        <w:t xml:space="preserve">Analyse descriptive des variables qui composent le SERS</w:t>
      </w:r>
    </w:p>
    <w:p>
      <w:pPr>
        <w:pStyle w:val="FirstParagraph"/>
      </w:pPr>
      <w:r>
        <w:t xml:space="preserve">Le</w:t>
      </w:r>
      <w:r>
        <w:t xml:space="preserve"> </w:t>
      </w:r>
      <w:r>
        <w:rPr>
          <w:b/>
          <w:bCs/>
        </w:rPr>
        <w:t xml:space="preserve">SERS (Self-Evaluated Resilience Score)</w:t>
      </w:r>
      <w:r>
        <w:t xml:space="preserve"> </w:t>
      </w:r>
      <w:r>
        <w:t xml:space="preserve">est un indicateur composite basé sur 10 affirmations auxquelles les ménages répondent sur une</w:t>
      </w:r>
      <w:r>
        <w:t xml:space="preserve"> </w:t>
      </w:r>
      <w:r>
        <w:rPr>
          <w:b/>
          <w:bCs/>
        </w:rPr>
        <w:t xml:space="preserve">échelle de Likert à 5 modalités</w:t>
      </w:r>
      <w:r>
        <w:t xml:space="preserve">, allant de :</w:t>
      </w:r>
    </w:p>
    <w:p>
      <w:pPr>
        <w:pStyle w:val="Compact"/>
        <w:numPr>
          <w:ilvl w:val="0"/>
          <w:numId w:val="1038"/>
        </w:numPr>
      </w:pPr>
      <w:r>
        <w:t xml:space="preserve">1 = « Pas du tout d’accord »</w:t>
      </w:r>
    </w:p>
    <w:p>
      <w:pPr>
        <w:pStyle w:val="Compact"/>
        <w:numPr>
          <w:ilvl w:val="0"/>
          <w:numId w:val="1038"/>
        </w:numPr>
      </w:pPr>
      <w:r>
        <w:t xml:space="preserve">2 = « Pas d’accord »</w:t>
      </w:r>
    </w:p>
    <w:p>
      <w:pPr>
        <w:pStyle w:val="Compact"/>
        <w:numPr>
          <w:ilvl w:val="0"/>
          <w:numId w:val="1038"/>
        </w:numPr>
      </w:pPr>
      <w:r>
        <w:t xml:space="preserve">3 = « Neutre »</w:t>
      </w:r>
    </w:p>
    <w:p>
      <w:pPr>
        <w:pStyle w:val="Compact"/>
        <w:numPr>
          <w:ilvl w:val="0"/>
          <w:numId w:val="1038"/>
        </w:numPr>
      </w:pPr>
      <w:r>
        <w:t xml:space="preserve">4 = « D’accord »</w:t>
      </w:r>
    </w:p>
    <w:p>
      <w:pPr>
        <w:pStyle w:val="Compact"/>
        <w:numPr>
          <w:ilvl w:val="0"/>
          <w:numId w:val="1038"/>
        </w:numPr>
      </w:pPr>
      <w:r>
        <w:t xml:space="preserve">5 = « Tout à fait d’accord »</w:t>
      </w:r>
    </w:p>
    <w:p>
      <w:pPr>
        <w:pStyle w:val="FirstParagraph"/>
      </w:pPr>
      <w:r>
        <w:t xml:space="preserve">Ces 10 sous-énoncés couvrent différentes dimensions de la</w:t>
      </w:r>
      <w:r>
        <w:t xml:space="preserve"> </w:t>
      </w:r>
      <w:r>
        <w:rPr>
          <w:b/>
          <w:bCs/>
        </w:rPr>
        <w:t xml:space="preserve">capacité de résilience perçue</w:t>
      </w:r>
      <w:r>
        <w:t xml:space="preserve">, incluant la préparation, les ressources, la capacité à rebondir, l’entraide sociale et l’anticipation des chocs.</w:t>
      </w:r>
    </w:p>
    <w:p>
      <w:pPr>
        <w:pStyle w:val="Corpsdetexte"/>
      </w:pPr>
      <w:r>
        <w:t xml:space="preserve">Dans cette première étape, nous réalisons une</w:t>
      </w:r>
      <w:r>
        <w:t xml:space="preserve"> </w:t>
      </w:r>
      <w:r>
        <w:rPr>
          <w:b/>
          <w:bCs/>
        </w:rPr>
        <w:t xml:space="preserve">analyse descriptive</w:t>
      </w:r>
      <w:r>
        <w:t xml:space="preserve"> </w:t>
      </w:r>
      <w:r>
        <w:t xml:space="preserve">de la distribution des réponses à chacun des sous-énoncés, pour comprendre quelles dimensions de résilience sont perçues comme fortes ou faibles par les ménages.</w:t>
      </w:r>
    </w:p>
    <w:tbl xmlns:w14="http://schemas.microsoft.com/office/word/2010/wordml">
      <w:tblPr>
        <w:tblLayout w:type="autofit"/>
        <w:jc w:val="center"/>
        <w:tblW w:type="pct" w:w="0"/>
        <w:tblLook w:firstRow="1" w:lastRow="0" w:firstColumn="0" w:lastColumn="0" w:noHBand="0" w:noVBand="1"/>
      </w:tblPr>
      <w:tr>
        <w:trPr>
          <w:trHeight w:val="28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Sous-énoncé de résilience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N = 8,950</w:t>
            </w:r>
            <w:r>
              <w:rPr>
                <w:rFonts w:ascii="Arial" w:hAnsi="Arial" w:eastAsia="Arial" w:cs="Arial"/>
                <w:i w:val="false"/>
                <w:b w:val="false"/>
                <w:u w:val="none"/>
                <w:vertAlign w:val="superscript"/>
                <w:sz w:val="16"/>
                <w:szCs w:val="16"/>
                <w:color w:val="000000"/>
              </w:rPr>
              <w:t xml:space="preserve">1</w:t>
            </w:r>
          </w:p>
        </w:tc>
      </w:tr>
      <w:tr>
        <w:trPr>
          <w:trHeight w:val="29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Capacité à rebondir après un choc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2,465 (28%)</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3,461 (39%)</w:t>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888 (9.9%)</w:t>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1,733 (19%)</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403 (4.5%)</w:t>
            </w:r>
          </w:p>
        </w:tc>
      </w:tr>
      <w:tr>
        <w:trPr>
          <w:trHeight w:val="2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Possède des sources de revenus diversifiées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2,146 (24%)</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3,766 (42%)</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1,069 (12%)</w:t>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1,656 (19%)</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313 (3.5%)</w:t>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Dispose de moyens adaptés pour affronter les défis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1,810 (20%)</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3,384 (38%)</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1,346 (15%)</w:t>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2,018 (23%)</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392 (4.4%)</w:t>
            </w:r>
          </w:p>
        </w:tc>
      </w:tr>
      <w:tr>
        <w:trPr>
          <w:trHeight w:val="26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Accès facile à un soutien financier en cas de besoin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2,181 (24%)</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3,208 (36%)</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1,030 (12%)</w:t>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2,129 (24%)</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402 (4.5%)</w:t>
            </w:r>
          </w:p>
        </w:tc>
      </w:tr>
      <w:tr>
        <w:trPr>
          <w:trHeight w:val="2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Peut satisfaire ses besoins essentiels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1,518 (17%)</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3,136 (35%)</w:t>
            </w:r>
          </w:p>
        </w:tc>
      </w:tr>
      <w:tr>
        <w:trPr>
          <w:trHeight w:val="29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1,428 (16%)</w:t>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2,308 (26%)</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560 (6.3%)</w:t>
            </w:r>
          </w:p>
        </w:tc>
      </w:tr>
      <w:tr>
        <w:trPr>
          <w:trHeight w:val="29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Peut compter sur l’aide d’amis ou famille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2,870 (32%)</w:t>
            </w:r>
          </w:p>
        </w:tc>
      </w:tr>
      <w:tr>
        <w:trPr>
          <w:trHeight w:val="29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3,972 (44%)</w:t>
            </w:r>
          </w:p>
        </w:tc>
      </w:tr>
      <w:tr>
        <w:trPr>
          <w:trHeight w:val="29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948 (11%)</w:t>
            </w:r>
          </w:p>
        </w:tc>
      </w:tr>
      <w:tr>
        <w:trPr>
          <w:trHeight w:val="29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968 (11%)</w:t>
            </w:r>
          </w:p>
        </w:tc>
      </w:tr>
      <w:tr>
        <w:trPr>
          <w:trHeight w:val="2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192 (2.1%)</w:t>
            </w:r>
          </w:p>
        </w:tc>
      </w:tr>
      <w:tr>
        <w:trPr>
          <w:trHeight w:val="29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Bénéficie d'un soutien politique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2,815 (31%)</w:t>
            </w:r>
          </w:p>
        </w:tc>
      </w:tr>
      <w:tr>
        <w:trPr>
          <w:trHeight w:val="29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3,318 (37%)</w:t>
            </w:r>
          </w:p>
        </w:tc>
      </w:tr>
      <w:tr>
        <w:trPr>
          <w:trHeight w:val="29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1,206 (13%)</w:t>
            </w:r>
          </w:p>
        </w:tc>
      </w:tr>
      <w:tr>
        <w:trPr>
          <w:trHeight w:val="29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1,307 (15%)</w:t>
            </w:r>
          </w:p>
        </w:tc>
      </w:tr>
      <w:tr>
        <w:trPr>
          <w:trHeight w:val="29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304 (3.4%)</w:t>
            </w:r>
          </w:p>
        </w:tc>
      </w:tr>
      <w:tr>
        <w:trPr>
          <w:trHeight w:val="29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A tiré des leçons des difficultés passées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2,090 (23%)</w:t>
            </w:r>
          </w:p>
        </w:tc>
      </w:tr>
      <w:tr>
        <w:trPr>
          <w:trHeight w:val="29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3,767 (42%)</w:t>
            </w:r>
          </w:p>
        </w:tc>
      </w:tr>
      <w:tr>
        <w:trPr>
          <w:trHeight w:val="29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1,222 (14%)</w:t>
            </w:r>
          </w:p>
        </w:tc>
      </w:tr>
      <w:tr>
        <w:trPr>
          <w:trHeight w:val="29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1,574 (18%)</w:t>
            </w:r>
          </w:p>
        </w:tc>
      </w:tr>
      <w:tr>
        <w:trPr>
          <w:trHeight w:val="294"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297 (3.3%)</w:t>
            </w:r>
          </w:p>
        </w:tc>
      </w:tr>
      <w:tr>
        <w:trPr>
          <w:trHeight w:val="29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Est bien préparé pour faire face aux futurs défis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1,491 (17%)</w:t>
            </w:r>
          </w:p>
        </w:tc>
      </w:tr>
      <w:tr>
        <w:trPr>
          <w:trHeight w:val="294"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3,065 (34%)</w:t>
            </w:r>
          </w:p>
        </w:tc>
      </w:tr>
      <w:tr>
        <w:trPr>
          <w:trHeight w:val="294"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1,489 (17%)</w:t>
            </w:r>
          </w:p>
        </w:tc>
      </w:tr>
      <w:tr>
        <w:trPr>
          <w:trHeight w:val="294"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2,290 (26%)</w:t>
            </w:r>
          </w:p>
        </w:tc>
      </w:tr>
      <w:tr>
        <w:trPr>
          <w:trHeight w:val="294"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563 (6.3%)</w:t>
            </w:r>
          </w:p>
        </w:tc>
      </w:tr>
      <w:tr>
        <w:trPr>
          <w:trHeight w:val="292"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Reçoit des alertes précoces de futurs événements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1,987 (22%)</w:t>
            </w:r>
          </w:p>
        </w:tc>
      </w:tr>
      <w:tr>
        <w:trPr>
          <w:trHeight w:val="294"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2,896 (33%)</w:t>
            </w:r>
          </w:p>
        </w:tc>
      </w:tr>
      <w:tr>
        <w:trPr>
          <w:trHeight w:val="294"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1,183 (13%)</w:t>
            </w:r>
          </w:p>
        </w:tc>
      </w:tr>
      <w:tr>
        <w:trPr>
          <w:trHeight w:val="29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2,190 (25%)</w:t>
            </w:r>
          </w:p>
        </w:tc>
      </w:tr>
      <w:tr>
        <w:trPr>
          <w:trHeight w:val="294" w:hRule="auto"/>
        </w:trPr>
        body60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626 (7.0%)</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n (%)</w:t>
            </w:r>
          </w:p>
        </w:tc>
      </w:tr>
    </w:tbl>
    <w:p>
      <w:pPr>
        <w:pStyle w:val="Corpsdetexte"/>
      </w:pPr>
      <w:r>
        <w:rPr>
          <w:b/>
          <w:bCs/>
        </w:rPr>
        <w:t xml:space="preserve">Analyse des réponses aux 10 sous-énoncés du SERS</w:t>
      </w:r>
    </w:p>
    <w:p>
      <w:pPr>
        <w:pStyle w:val="Corpsdetexte"/>
      </w:pPr>
      <w:r>
        <w:t xml:space="preserve">Les résultats présentés ci-dessus montrent une grande</w:t>
      </w:r>
      <w:r>
        <w:t xml:space="preserve"> </w:t>
      </w:r>
      <w:r>
        <w:rPr>
          <w:b/>
          <w:bCs/>
        </w:rPr>
        <w:t xml:space="preserve">hétérogénéité dans la perception que les ménages ont de leur résilience</w:t>
      </w:r>
      <w:r>
        <w:t xml:space="preserve">. Plusieurs points clés se dégagent :</w:t>
      </w:r>
    </w:p>
    <w:p>
      <w:pPr>
        <w:pStyle w:val="Corpsdetexte"/>
      </w:pPr>
      <w:r>
        <w:rPr>
          <w:b/>
          <w:bCs/>
        </w:rPr>
        <w:t xml:space="preserve">Dimensions perçues positivement</w:t>
      </w:r>
    </w:p>
    <w:p>
      <w:pPr>
        <w:pStyle w:val="Compact"/>
        <w:numPr>
          <w:ilvl w:val="0"/>
          <w:numId w:val="1039"/>
        </w:numPr>
      </w:pPr>
      <w:r>
        <w:rPr>
          <w:b/>
          <w:bCs/>
        </w:rPr>
        <w:t xml:space="preserve">Capacité à rebondir après un choc</w:t>
      </w:r>
      <w:r>
        <w:t xml:space="preserve"> </w:t>
      </w:r>
      <w:r>
        <w:t xml:space="preserve">:</w:t>
      </w:r>
    </w:p>
    <w:p>
      <w:pPr>
        <w:pStyle w:val="Compact"/>
        <w:numPr>
          <w:ilvl w:val="1"/>
          <w:numId w:val="1040"/>
        </w:numPr>
      </w:pPr>
      <w:r>
        <w:t xml:space="preserve">Plus de</w:t>
      </w:r>
      <w:r>
        <w:t xml:space="preserve"> </w:t>
      </w:r>
      <w:r>
        <w:rPr>
          <w:b/>
          <w:bCs/>
        </w:rPr>
        <w:t xml:space="preserve">52 %</w:t>
      </w:r>
      <w:r>
        <w:t xml:space="preserve"> </w:t>
      </w:r>
      <w:r>
        <w:t xml:space="preserve">des ménages se déclarent « d’accord » ou « tout à fait d’accord », ce qui traduit un</w:t>
      </w:r>
      <w:r>
        <w:t xml:space="preserve"> </w:t>
      </w:r>
      <w:r>
        <w:rPr>
          <w:b/>
          <w:bCs/>
        </w:rPr>
        <w:t xml:space="preserve">optimisme psychologique</w:t>
      </w:r>
      <w:r>
        <w:t xml:space="preserve"> </w:t>
      </w:r>
      <w:r>
        <w:t xml:space="preserve">face aux difficultés.</w:t>
      </w:r>
    </w:p>
    <w:p>
      <w:pPr>
        <w:pStyle w:val="Compact"/>
        <w:numPr>
          <w:ilvl w:val="0"/>
          <w:numId w:val="1039"/>
        </w:numPr>
      </w:pPr>
      <w:r>
        <w:rPr>
          <w:b/>
          <w:bCs/>
        </w:rPr>
        <w:t xml:space="preserve">Tirer des leçons des difficultés passées</w:t>
      </w:r>
      <w:r>
        <w:t xml:space="preserve"> </w:t>
      </w:r>
      <w:r>
        <w:t xml:space="preserve">:</w:t>
      </w:r>
    </w:p>
    <w:p>
      <w:pPr>
        <w:pStyle w:val="Compact"/>
        <w:numPr>
          <w:ilvl w:val="1"/>
          <w:numId w:val="1041"/>
        </w:numPr>
      </w:pPr>
      <w:r>
        <w:t xml:space="preserve">Environ</w:t>
      </w:r>
      <w:r>
        <w:t xml:space="preserve"> </w:t>
      </w:r>
      <w:r>
        <w:rPr>
          <w:b/>
          <w:bCs/>
        </w:rPr>
        <w:t xml:space="preserve">60 %</w:t>
      </w:r>
      <w:r>
        <w:t xml:space="preserve"> </w:t>
      </w:r>
      <w:r>
        <w:t xml:space="preserve">des ménages se situent dans les modalités supérieures (modalités 4 et 5), ce qui montre un</w:t>
      </w:r>
      <w:r>
        <w:t xml:space="preserve"> </w:t>
      </w:r>
      <w:r>
        <w:rPr>
          <w:b/>
          <w:bCs/>
        </w:rPr>
        <w:t xml:space="preserve">apprentissage positif</w:t>
      </w:r>
      <w:r>
        <w:t xml:space="preserve"> </w:t>
      </w:r>
      <w:r>
        <w:t xml:space="preserve">après des épisodes difficiles.</w:t>
      </w:r>
    </w:p>
    <w:p>
      <w:pPr>
        <w:pStyle w:val="Compact"/>
        <w:numPr>
          <w:ilvl w:val="0"/>
          <w:numId w:val="1039"/>
        </w:numPr>
      </w:pPr>
      <w:r>
        <w:rPr>
          <w:b/>
          <w:bCs/>
        </w:rPr>
        <w:t xml:space="preserve">Préparation face aux défis futurs</w:t>
      </w:r>
      <w:r>
        <w:t xml:space="preserve"> </w:t>
      </w:r>
      <w:r>
        <w:t xml:space="preserve">:</w:t>
      </w:r>
    </w:p>
    <w:p>
      <w:pPr>
        <w:pStyle w:val="Compact"/>
        <w:numPr>
          <w:ilvl w:val="1"/>
          <w:numId w:val="1042"/>
        </w:numPr>
      </w:pPr>
      <w:r>
        <w:t xml:space="preserve">43 % des répondants se sentent plutôt prêts à faire face aux futurs événements, même si près de</w:t>
      </w:r>
      <w:r>
        <w:t xml:space="preserve"> </w:t>
      </w:r>
      <w:r>
        <w:rPr>
          <w:b/>
          <w:bCs/>
        </w:rPr>
        <w:t xml:space="preserve">30 %</w:t>
      </w:r>
      <w:r>
        <w:t xml:space="preserve"> </w:t>
      </w:r>
      <w:r>
        <w:t xml:space="preserve">se positionnent dans le désaccord ou la neutralité.</w:t>
      </w:r>
    </w:p>
    <w:p>
      <w:pPr>
        <w:pStyle w:val="Compact"/>
        <w:numPr>
          <w:ilvl w:val="0"/>
          <w:numId w:val="1039"/>
        </w:numPr>
      </w:pPr>
      <w:r>
        <w:rPr>
          <w:b/>
          <w:bCs/>
        </w:rPr>
        <w:t xml:space="preserve">Réception d’alertes précoces</w:t>
      </w:r>
      <w:r>
        <w:t xml:space="preserve"> </w:t>
      </w:r>
      <w:r>
        <w:t xml:space="preserve">:</w:t>
      </w:r>
    </w:p>
    <w:p>
      <w:pPr>
        <w:pStyle w:val="Compact"/>
        <w:numPr>
          <w:ilvl w:val="1"/>
          <w:numId w:val="1043"/>
        </w:numPr>
      </w:pPr>
      <w:r>
        <w:t xml:space="preserve">42 % des ménages indiquent recevoir des avertissements en amont, ce qui peut refléter un bon niveau d’</w:t>
      </w:r>
      <w:r>
        <w:rPr>
          <w:b/>
          <w:bCs/>
        </w:rPr>
        <w:t xml:space="preserve">information communautaire</w:t>
      </w:r>
      <w:r>
        <w:t xml:space="preserve">.</w:t>
      </w:r>
    </w:p>
    <w:p>
      <w:pPr>
        <w:pStyle w:val="FirstParagraph"/>
      </w:pPr>
      <w:r>
        <w:rPr>
          <w:b/>
          <w:bCs/>
        </w:rPr>
        <w:t xml:space="preserve">Dimensions perçues comme faibles ou fragiles</w:t>
      </w:r>
    </w:p>
    <w:p>
      <w:pPr>
        <w:pStyle w:val="Compact"/>
        <w:numPr>
          <w:ilvl w:val="0"/>
          <w:numId w:val="1044"/>
        </w:numPr>
      </w:pPr>
      <w:r>
        <w:rPr>
          <w:b/>
          <w:bCs/>
        </w:rPr>
        <w:t xml:space="preserve">Soutien politique</w:t>
      </w:r>
      <w:r>
        <w:t xml:space="preserve"> </w:t>
      </w:r>
      <w:r>
        <w:t xml:space="preserve">:</w:t>
      </w:r>
    </w:p>
    <w:p>
      <w:pPr>
        <w:pStyle w:val="Compact"/>
        <w:numPr>
          <w:ilvl w:val="1"/>
          <w:numId w:val="1045"/>
        </w:numPr>
      </w:pPr>
      <w:r>
        <w:t xml:space="preserve">Plus de</w:t>
      </w:r>
      <w:r>
        <w:t xml:space="preserve"> </w:t>
      </w:r>
      <w:r>
        <w:rPr>
          <w:b/>
          <w:bCs/>
        </w:rPr>
        <w:t xml:space="preserve">80 %</w:t>
      </w:r>
      <w:r>
        <w:t xml:space="preserve"> </w:t>
      </w:r>
      <w:r>
        <w:t xml:space="preserve">des ménages</w:t>
      </w:r>
      <w:r>
        <w:t xml:space="preserve"> </w:t>
      </w:r>
      <w:r>
        <w:rPr>
          <w:b/>
          <w:bCs/>
        </w:rPr>
        <w:t xml:space="preserve">ne sont pas d’accord ou restent neutres</w:t>
      </w:r>
      <w:r>
        <w:t xml:space="preserve"> </w:t>
      </w:r>
      <w:r>
        <w:t xml:space="preserve">quant à la perception de bénéficier d’un appui politique. Cela reflète une</w:t>
      </w:r>
      <w:r>
        <w:t xml:space="preserve"> </w:t>
      </w:r>
      <w:r>
        <w:rPr>
          <w:b/>
          <w:bCs/>
        </w:rPr>
        <w:t xml:space="preserve">perte de confiance envers les institutions</w:t>
      </w:r>
      <w:r>
        <w:t xml:space="preserve">.</w:t>
      </w:r>
    </w:p>
    <w:p>
      <w:pPr>
        <w:pStyle w:val="Compact"/>
        <w:numPr>
          <w:ilvl w:val="0"/>
          <w:numId w:val="1044"/>
        </w:numPr>
      </w:pPr>
      <w:r>
        <w:rPr>
          <w:b/>
          <w:bCs/>
        </w:rPr>
        <w:t xml:space="preserve">Accès facile au soutien financier</w:t>
      </w:r>
      <w:r>
        <w:t xml:space="preserve"> </w:t>
      </w:r>
      <w:r>
        <w:t xml:space="preserve">:</w:t>
      </w:r>
    </w:p>
    <w:p>
      <w:pPr>
        <w:pStyle w:val="Compact"/>
        <w:numPr>
          <w:ilvl w:val="1"/>
          <w:numId w:val="1046"/>
        </w:numPr>
      </w:pPr>
      <w:r>
        <w:t xml:space="preserve">72 % des ménages</w:t>
      </w:r>
      <w:r>
        <w:t xml:space="preserve"> </w:t>
      </w:r>
      <w:r>
        <w:rPr>
          <w:b/>
          <w:bCs/>
        </w:rPr>
        <w:t xml:space="preserve">expriment des réserves</w:t>
      </w:r>
      <w:r>
        <w:t xml:space="preserve"> </w:t>
      </w:r>
      <w:r>
        <w:t xml:space="preserve">sur leur capacité à accéder à un soutien économique, ce qui souligne une</w:t>
      </w:r>
      <w:r>
        <w:t xml:space="preserve"> </w:t>
      </w:r>
      <w:r>
        <w:rPr>
          <w:b/>
          <w:bCs/>
        </w:rPr>
        <w:t xml:space="preserve">fragilité structurelle majeure</w:t>
      </w:r>
      <w:r>
        <w:t xml:space="preserve">.</w:t>
      </w:r>
    </w:p>
    <w:p>
      <w:pPr>
        <w:pStyle w:val="Compact"/>
        <w:numPr>
          <w:ilvl w:val="0"/>
          <w:numId w:val="1044"/>
        </w:numPr>
      </w:pPr>
      <w:r>
        <w:rPr>
          <w:b/>
          <w:bCs/>
        </w:rPr>
        <w:t xml:space="preserve">Diversification des sources de revenus</w:t>
      </w:r>
      <w:r>
        <w:t xml:space="preserve"> </w:t>
      </w:r>
      <w:r>
        <w:t xml:space="preserve">:</w:t>
      </w:r>
    </w:p>
    <w:p>
      <w:pPr>
        <w:pStyle w:val="Compact"/>
        <w:numPr>
          <w:ilvl w:val="1"/>
          <w:numId w:val="1047"/>
        </w:numPr>
      </w:pPr>
      <w:r>
        <w:t xml:space="preserve">Près de</w:t>
      </w:r>
      <w:r>
        <w:t xml:space="preserve"> </w:t>
      </w:r>
      <w:r>
        <w:rPr>
          <w:b/>
          <w:bCs/>
        </w:rPr>
        <w:t xml:space="preserve">58 %</w:t>
      </w:r>
      <w:r>
        <w:t xml:space="preserve"> </w:t>
      </w:r>
      <w:r>
        <w:t xml:space="preserve">des ménages déclarent</w:t>
      </w:r>
      <w:r>
        <w:t xml:space="preserve"> </w:t>
      </w:r>
      <w:r>
        <w:rPr>
          <w:b/>
          <w:bCs/>
        </w:rPr>
        <w:t xml:space="preserve">ne pas disposer de revenus diversifiés</w:t>
      </w:r>
      <w:r>
        <w:t xml:space="preserve">, rendant leur situation économique plus vulnérable en cas de choc.</w:t>
      </w:r>
    </w:p>
    <w:p>
      <w:pPr>
        <w:pStyle w:val="Compact"/>
        <w:numPr>
          <w:ilvl w:val="0"/>
          <w:numId w:val="1044"/>
        </w:numPr>
      </w:pPr>
      <w:r>
        <w:rPr>
          <w:b/>
          <w:bCs/>
        </w:rPr>
        <w:t xml:space="preserve">Réseaux d’entraide (famille/amis)</w:t>
      </w:r>
      <w:r>
        <w:t xml:space="preserve"> </w:t>
      </w:r>
      <w:r>
        <w:t xml:space="preserve">:</w:t>
      </w:r>
    </w:p>
    <w:p>
      <w:pPr>
        <w:pStyle w:val="Compact"/>
        <w:numPr>
          <w:ilvl w:val="1"/>
          <w:numId w:val="1048"/>
        </w:numPr>
      </w:pPr>
      <w:r>
        <w:t xml:space="preserve">Bien que 32 % des répondants y croient, une majorité relative (44 %)</w:t>
      </w:r>
      <w:r>
        <w:t xml:space="preserve"> </w:t>
      </w:r>
      <w:r>
        <w:rPr>
          <w:b/>
          <w:bCs/>
        </w:rPr>
        <w:t xml:space="preserve">ne se sentent pas entourés</w:t>
      </w:r>
      <w:r>
        <w:t xml:space="preserve">, indiquant une</w:t>
      </w:r>
      <w:r>
        <w:t xml:space="preserve"> </w:t>
      </w:r>
      <w:r>
        <w:rPr>
          <w:b/>
          <w:bCs/>
        </w:rPr>
        <w:t xml:space="preserve">cohésion sociale inégalement perçue</w:t>
      </w:r>
      <w:r>
        <w:t xml:space="preserve">.</w:t>
      </w:r>
    </w:p>
    <w:bookmarkEnd w:id="53"/>
    <w:bookmarkStart w:id="54" w:name="calculer-le-sers."/>
    <w:p>
      <w:pPr>
        <w:pStyle w:val="Titre2"/>
      </w:pPr>
      <w:r>
        <w:t xml:space="preserve">Calculer le SERS.</w:t>
      </w:r>
    </w:p>
    <w:p>
      <w:pPr>
        <w:pStyle w:val="FirstParagraph"/>
      </w:pPr>
      <w:r>
        <w:t xml:space="preserve">Le</w:t>
      </w:r>
      <w:r>
        <w:t xml:space="preserve"> </w:t>
      </w:r>
      <w:r>
        <w:rPr>
          <w:b/>
          <w:bCs/>
        </w:rPr>
        <w:t xml:space="preserve">SERS (Score de Résilience)</w:t>
      </w:r>
      <w:r>
        <w:t xml:space="preserve"> </w:t>
      </w:r>
      <w:r>
        <w:t xml:space="preserve">est un indicateur composite fondé sur 10 sous-énoncés mesurant la perception qu’ont les ménages de leur propre capacité à faire face aux chocs. Chaque sous-énoncé est noté de 1 (pas du tout d’accord) à 5 (tout à fait d’accord), selon une échelle de Likert. Le score brut (non pondéré) est obtenu en sommant les réponses aux 10 items, puis il est</w:t>
      </w:r>
      <w:r>
        <w:t xml:space="preserve"> </w:t>
      </w:r>
      <w:r>
        <w:rPr>
          <w:b/>
          <w:bCs/>
        </w:rPr>
        <w:t xml:space="preserve">normalisé entre 0 et 100</w:t>
      </w:r>
      <w:r>
        <w:t xml:space="preserve"> </w:t>
      </w:r>
      <w:r>
        <w:t xml:space="preserve">selon la formule min-max :</w:t>
      </w:r>
    </w:p>
    <w:p>
      <w:pPr>
        <w:pStyle w:val="Corpsdetexte"/>
      </w:pPr>
      <m:oMathPara>
        <m:oMathParaPr>
          <m:jc m:val="center"/>
        </m:oMathParaPr>
        <m:oMath>
          <m:r>
            <m:rPr>
              <m:nor/>
              <m:sty m:val="p"/>
            </m:rPr>
            <m:t>SERS normalisé</m:t>
          </m:r>
          <m:r>
            <m:rPr>
              <m:sty m:val="p"/>
            </m:rPr>
            <m:t>=</m:t>
          </m:r>
          <m:f>
            <m:fPr>
              <m:type m:val="bar"/>
            </m:fPr>
            <m:num>
              <m:d>
                <m:dPr>
                  <m:begChr m:val="("/>
                  <m:endChr m:val=")"/>
                  <m:sepChr m:val=""/>
                  <m:grow/>
                </m:dPr>
                <m:e>
                  <m:r>
                    <m:rPr>
                      <m:nor/>
                      <m:sty m:val="p"/>
                    </m:rPr>
                    <m:t>SERS brut</m:t>
                  </m:r>
                  <m:r>
                    <m:rPr>
                      <m:sty m:val="p"/>
                    </m:rPr>
                    <m:t>−</m:t>
                  </m:r>
                  <m:r>
                    <m:t>10</m:t>
                  </m:r>
                </m:e>
              </m:d>
            </m:num>
            <m:den>
              <m:d>
                <m:dPr>
                  <m:begChr m:val="("/>
                  <m:endChr m:val=")"/>
                  <m:sepChr m:val=""/>
                  <m:grow/>
                </m:dPr>
                <m:e>
                  <m:r>
                    <m:t>50</m:t>
                  </m:r>
                  <m:r>
                    <m:rPr>
                      <m:sty m:val="p"/>
                    </m:rPr>
                    <m:t>−</m:t>
                  </m:r>
                  <m:r>
                    <m:t>10</m:t>
                  </m:r>
                </m:e>
              </m:d>
            </m:den>
          </m:f>
          <m:r>
            <m:rPr>
              <m:sty m:val="p"/>
            </m:rPr>
            <m:t>×</m:t>
          </m:r>
          <m:r>
            <m:t>100</m:t>
          </m:r>
        </m:oMath>
      </m:oMathPara>
    </w:p>
    <w:p>
      <w:pPr>
        <w:pStyle w:val="FirstParagraph"/>
      </w:pPr>
      <w:r>
        <w:t xml:space="preserve">Une fois le score obtenu, une</w:t>
      </w:r>
      <w:r>
        <w:t xml:space="preserve"> </w:t>
      </w:r>
      <w:r>
        <w:rPr>
          <w:b/>
          <w:bCs/>
        </w:rPr>
        <w:t xml:space="preserve">catégorisation en trois groupes</w:t>
      </w:r>
      <w:r>
        <w:t xml:space="preserve"> </w:t>
      </w:r>
      <w:r>
        <w:t xml:space="preserve">permet d’en faciliter l’interprétation :</w:t>
      </w:r>
      <w:r>
        <w:t xml:space="preserve"> </w:t>
      </w:r>
      <w:r>
        <w:t xml:space="preserve">-</w:t>
      </w:r>
      <w:r>
        <w:t xml:space="preserve"> </w:t>
      </w:r>
      <w:r>
        <w:rPr>
          <w:b/>
          <w:bCs/>
        </w:rPr>
        <w:t xml:space="preserve">Faible résilience</w:t>
      </w:r>
      <w:r>
        <w:t xml:space="preserve"> </w:t>
      </w:r>
      <w:r>
        <w:t xml:space="preserve">: SERS &lt; 33</w:t>
      </w:r>
      <w:r>
        <w:t xml:space="preserve"> </w:t>
      </w:r>
      <w:r>
        <w:t xml:space="preserve">-</w:t>
      </w:r>
      <w:r>
        <w:t xml:space="preserve"> </w:t>
      </w:r>
      <w:r>
        <w:rPr>
          <w:b/>
          <w:bCs/>
        </w:rPr>
        <w:t xml:space="preserve">Résilience moyenne</w:t>
      </w:r>
      <w:r>
        <w:t xml:space="preserve"> </w:t>
      </w:r>
      <w:r>
        <w:t xml:space="preserve">: 33 ≤ SERS &lt; 66</w:t>
      </w:r>
      <w:r>
        <w:t xml:space="preserve"> </w:t>
      </w:r>
      <w:r>
        <w:t xml:space="preserve">-</w:t>
      </w:r>
      <w:r>
        <w:t xml:space="preserve"> </w:t>
      </w:r>
      <w:r>
        <w:rPr>
          <w:b/>
          <w:bCs/>
        </w:rPr>
        <w:t xml:space="preserve">Bonne résilience</w:t>
      </w:r>
      <w:r>
        <w:t xml:space="preserve"> </w:t>
      </w:r>
      <w:r>
        <w:t xml:space="preserve">: SERS ≥ 66</w:t>
      </w:r>
    </w:p>
    <w:p>
      <w:pPr>
        <w:pStyle w:val="Corpsdetexte"/>
      </w:pPr>
      <w:r>
        <w:t xml:space="preserve">Cette catégorisation permet d’évaluer le degré de résilience perçue dans les territoires et d’identifier les zones vulnérables.</w:t>
      </w:r>
    </w:p>
    <w:bookmarkEnd w:id="54"/>
    <w:bookmarkStart w:id="55" w:name="représentation-spatiale-sers"/>
    <w:p>
      <w:pPr>
        <w:pStyle w:val="Titre2"/>
      </w:pPr>
      <w:r>
        <w:t xml:space="preserve">Représentation spatiale SERS</w:t>
      </w:r>
    </w:p>
    <w:p>
      <w:pPr>
        <w:pStyle w:val="FirstParagraph"/>
      </w:pPr>
      <w:r>
        <w:t xml:space="preserve">Deux cartes suivantes illustrent la</w:t>
      </w:r>
      <w:r>
        <w:t xml:space="preserve"> </w:t>
      </w:r>
      <w:r>
        <w:rPr>
          <w:b/>
          <w:bCs/>
        </w:rPr>
        <w:t xml:space="preserve">catégorie dominante du SERS</w:t>
      </w:r>
      <w:r>
        <w:t xml:space="preserve"> </w:t>
      </w:r>
      <w:r>
        <w:t xml:space="preserve">dans chaque région et département. Elles permettent de visualiser les zones géographiques où les ménages perçoivent une faible capacité à surmonter les difficultés :</w:t>
      </w:r>
    </w:p>
    <w:p>
      <w:pPr>
        <w:jc w:val="center"/>
        <w:pStyle w:val="Normal"/>
      </w:pPr>
      <w:r>
        <w:rPr/>
        <w:drawing>
          <wp:inline distT="0" distB="0" distL="0" distR="0">
            <wp:extent cx="9144000" cy="64008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35"/>
                    <a:stretch>
                      <a:fillRect/>
                    </a:stretch>
                  </pic:blipFill>
                  <pic:spPr bwMode="auto">
                    <a:xfrm>
                      <a:off x="0" y="0"/>
                      <a:ext cx="127000" cy="88900"/>
                    </a:xfrm>
                    <a:prstGeom prst="rect">
                      <a:avLst/>
                    </a:prstGeom>
                    <a:noFill/>
                  </pic:spPr>
                </pic:pic>
              </a:graphicData>
            </a:graphic>
          </wp:inline>
        </w:drawing>
      </w:r>
    </w:p>
    <w:p>
      <w:pPr>
        <w:jc w:val="center"/>
        <w:pStyle w:val="Normal"/>
      </w:pPr>
      <w:r>
        <w:rPr/>
        <w:drawing>
          <wp:inline distT="0" distB="0" distL="0" distR="0">
            <wp:extent cx="9144000" cy="64008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36"/>
                    <a:stretch>
                      <a:fillRect/>
                    </a:stretch>
                  </pic:blipFill>
                  <pic:spPr bwMode="auto">
                    <a:xfrm>
                      <a:off x="0" y="0"/>
                      <a:ext cx="127000" cy="88900"/>
                    </a:xfrm>
                    <a:prstGeom prst="rect">
                      <a:avLst/>
                    </a:prstGeom>
                    <a:noFill/>
                  </pic:spPr>
                </pic:pic>
              </a:graphicData>
            </a:graphic>
          </wp:inline>
        </w:drawing>
      </w:r>
    </w:p>
    <w:p>
      <w:pPr>
        <w:pStyle w:val="Corpsdetexte"/>
      </w:pPr>
      <w:r>
        <w:t xml:space="preserve">Sur la carte par région, on observe que</w:t>
      </w:r>
      <w:r>
        <w:t xml:space="preserve"> </w:t>
      </w:r>
      <w:r>
        <w:rPr>
          <w:b/>
          <w:bCs/>
        </w:rPr>
        <w:t xml:space="preserve">toutes les régions renseignées sont dominées par la catégorie</w:t>
      </w:r>
      <w:r>
        <w:rPr>
          <w:b/>
          <w:bCs/>
        </w:rPr>
        <w:t xml:space="preserve"> </w:t>
      </w:r>
      <w:r>
        <w:rPr>
          <w:b/>
          <w:bCs/>
        </w:rPr>
        <w:t xml:space="preserve">“</w:t>
      </w:r>
      <w:r>
        <w:rPr>
          <w:b/>
          <w:bCs/>
        </w:rPr>
        <w:t xml:space="preserve">Faible</w:t>
      </w:r>
      <w:r>
        <w:rPr>
          <w:b/>
          <w:bCs/>
        </w:rPr>
        <w:t xml:space="preserve">”</w:t>
      </w:r>
      <w:r>
        <w:t xml:space="preserve">, ce qui reflète une</w:t>
      </w:r>
      <w:r>
        <w:t xml:space="preserve"> </w:t>
      </w:r>
      <w:r>
        <w:rPr>
          <w:b/>
          <w:bCs/>
        </w:rPr>
        <w:t xml:space="preserve">perception générale très faible de résilience</w:t>
      </w:r>
      <w:r>
        <w:t xml:space="preserve"> </w:t>
      </w:r>
      <w:r>
        <w:t xml:space="preserve">dans la population. Certaines régions apparaissent en</w:t>
      </w:r>
      <w:r>
        <w:t xml:space="preserve"> </w:t>
      </w:r>
      <w:r>
        <w:rPr>
          <w:b/>
          <w:bCs/>
        </w:rPr>
        <w:t xml:space="preserve">gris</w:t>
      </w:r>
      <w:r>
        <w:t xml:space="preserve"> </w:t>
      </w:r>
      <w:r>
        <w:t xml:space="preserve">(NA), ce qui peut s’expliquer par l’absence ou l’insuffisance de données dans ces zones. Cette uniformité dans la faiblesse perçue est préoccupante et souligne une vulnérabilité collective face aux chocs économiques, climatiques ou sociaux.</w:t>
      </w:r>
    </w:p>
    <w:p>
      <w:pPr>
        <w:pStyle w:val="Corpsdetexte"/>
      </w:pPr>
      <w:r>
        <w:t xml:space="preserve">L’analyse à l’échelle des départements révèle davantage de</w:t>
      </w:r>
      <w:r>
        <w:t xml:space="preserve"> </w:t>
      </w:r>
      <w:r>
        <w:rPr>
          <w:b/>
          <w:bCs/>
        </w:rPr>
        <w:t xml:space="preserve">variabilité territoriale</w:t>
      </w:r>
      <w:r>
        <w:t xml:space="preserve">. Bien que la majorité des départements restent dominés par une résilience perçue comme</w:t>
      </w:r>
      <w:r>
        <w:t xml:space="preserve"> </w:t>
      </w:r>
      <w:r>
        <w:rPr>
          <w:b/>
          <w:bCs/>
        </w:rPr>
        <w:t xml:space="preserve">faible</w:t>
      </w:r>
      <w:r>
        <w:t xml:space="preserve">, certains départements en zones périphériques ou frontalières ne présentent pas de données disponibles (NA). Le passage à cette échelle permet d’identifier des</w:t>
      </w:r>
      <w:r>
        <w:t xml:space="preserve"> </w:t>
      </w:r>
      <w:r>
        <w:rPr>
          <w:b/>
          <w:bCs/>
        </w:rPr>
        <w:t xml:space="preserve">poches de fragilité plus fines</w:t>
      </w:r>
      <w:r>
        <w:t xml:space="preserve"> </w:t>
      </w:r>
      <w:r>
        <w:t xml:space="preserve">et des disparités internes aux régions.</w:t>
      </w:r>
    </w:p>
    <w:bookmarkEnd w:id="55"/>
    <w:bookmarkEnd w:id="56"/>
    <w:bookmarkStart w:id="61" w:name="Xe68221218a91fcc458e7ec437554bc4960635b6"/>
    <w:p>
      <w:pPr>
        <w:pStyle w:val="Titre1"/>
      </w:pPr>
      <w:r>
        <w:t xml:space="preserve">Régime alimentaire minimum acceptable (MAD):</w:t>
      </w:r>
    </w:p>
    <w:bookmarkStart w:id="57" w:name="X81c8e40cf9cfdf1b5918a53da88f5a4a8d3992c"/>
    <w:p>
      <w:pPr>
        <w:pStyle w:val="Titre2"/>
      </w:pPr>
      <w:r>
        <w:t xml:space="preserve">a) Creer une variable qui renseigne le nombre de groupes d’aliments consommé par un enfant</w:t>
      </w:r>
    </w:p>
    <w:p>
      <w:pPr>
        <w:pStyle w:val="FirstParagraph"/>
      </w:pPr>
      <w:r>
        <w:t xml:space="preserve">L’un des indicateurs clés du régime alimentaire minimum acceptable (MAD) consiste à mesurer la diversité alimentaire chez les enfants âgés de 6 à 23 mois. Cela passe par le</w:t>
      </w:r>
      <w:r>
        <w:t xml:space="preserve"> </w:t>
      </w:r>
      <w:r>
        <w:rPr>
          <w:b/>
          <w:bCs/>
        </w:rPr>
        <w:t xml:space="preserve">comptage du nombre de groupes alimentaires distincts consommés</w:t>
      </w:r>
      <w:r>
        <w:t xml:space="preserve"> </w:t>
      </w:r>
      <w:r>
        <w:t xml:space="preserve">la veille de l’enquête.</w:t>
      </w:r>
    </w:p>
    <w:p>
      <w:pPr>
        <w:pStyle w:val="Corpsdetexte"/>
      </w:pPr>
      <w:r>
        <w:t xml:space="preserve">Les données collectées dans</w:t>
      </w:r>
      <w:r>
        <w:t xml:space="preserve"> </w:t>
      </w:r>
      <w:r>
        <w:rPr>
          <w:rStyle w:val="VerbatimChar"/>
        </w:rPr>
        <w:t xml:space="preserve">base_mad</w:t>
      </w:r>
      <w:r>
        <w:t xml:space="preserve"> </w:t>
      </w:r>
      <w:r>
        <w:t xml:space="preserve">comprennent une série de variables binaires (0 = non consommé, 1 = consommé, NA = ne sait pas) correspondant à différents groupes d’aliments (produits d’origine animale, végétale, féculents, etc.). Ces variables ont déjà été nettoyées, notamment avec le</w:t>
      </w:r>
      <w:r>
        <w:t xml:space="preserve"> </w:t>
      </w:r>
      <w:r>
        <w:rPr>
          <w:b/>
          <w:bCs/>
        </w:rPr>
        <w:t xml:space="preserve">retrait des codes</w:t>
      </w:r>
      <w:r>
        <w:rPr>
          <w:b/>
          <w:bCs/>
        </w:rPr>
        <w:t xml:space="preserve"> </w:t>
      </w:r>
      <w:r>
        <w:rPr>
          <w:b/>
          <w:bCs/>
        </w:rPr>
        <w:t xml:space="preserve">“</w:t>
      </w:r>
      <w:r>
        <w:rPr>
          <w:b/>
          <w:bCs/>
        </w:rPr>
        <w:t xml:space="preserve">888</w:t>
      </w:r>
      <w:r>
        <w:rPr>
          <w:b/>
          <w:bCs/>
        </w:rPr>
        <w:t xml:space="preserve">”</w:t>
      </w:r>
      <w:r>
        <w:rPr>
          <w:b/>
          <w:bCs/>
        </w:rPr>
        <w:t xml:space="preserve"> </w:t>
      </w:r>
      <w:r>
        <w:rPr>
          <w:b/>
          <w:bCs/>
        </w:rPr>
        <w:t xml:space="preserve">remplacés par des valeurs manquantes</w:t>
      </w:r>
      <w:r>
        <w:rPr>
          <w:b/>
          <w:bCs/>
        </w:rPr>
        <w:t xml:space="preserve"> </w:t>
      </w:r>
      <w:r>
        <w:rPr>
          <w:rStyle w:val="VerbatimChar"/>
          <w:b/>
          <w:bCs/>
        </w:rPr>
        <w:t xml:space="preserve">NA</w:t>
      </w:r>
      <w:r>
        <w:t xml:space="preserve">.</w:t>
      </w:r>
    </w:p>
    <w:p>
      <w:pPr>
        <w:pStyle w:val="Corpsdetexte"/>
      </w:pPr>
      <w:r>
        <w:t xml:space="preserve">Nous créons ici une nouvelle variable,</w:t>
      </w:r>
      <w:r>
        <w:t xml:space="preserve"> </w:t>
      </w:r>
      <w:r>
        <w:rPr>
          <w:rStyle w:val="VerbatimChar"/>
        </w:rPr>
        <w:t xml:space="preserve">nb_groupes_alim</w:t>
      </w:r>
      <w:r>
        <w:t xml:space="preserve">, qui comptabilise, pour chaque enfant, le</w:t>
      </w:r>
      <w:r>
        <w:t xml:space="preserve"> </w:t>
      </w:r>
      <w:r>
        <w:rPr>
          <w:b/>
          <w:bCs/>
        </w:rPr>
        <w:t xml:space="preserve">nombre de groupes d’aliments pour lesquels la réponse est</w:t>
      </w:r>
      <w:r>
        <w:rPr>
          <w:b/>
          <w:bCs/>
        </w:rPr>
        <w:t xml:space="preserve"> </w:t>
      </w:r>
      <w:r>
        <w:rPr>
          <w:b/>
          <w:bCs/>
        </w:rPr>
        <w:t xml:space="preserve">“</w:t>
      </w:r>
      <w:r>
        <w:rPr>
          <w:b/>
          <w:bCs/>
        </w:rPr>
        <w:t xml:space="preserve">Oui</w:t>
      </w:r>
      <w:r>
        <w:rPr>
          <w:b/>
          <w:bCs/>
        </w:rPr>
        <w:t xml:space="preserve">”</w:t>
      </w:r>
      <w:r>
        <w:t xml:space="preserve"> </w:t>
      </w:r>
      <w:r>
        <w:t xml:space="preserve">(valeur 1). Ce score est essentiel pour évaluer la diversité alimentaire individuelle et sera combiné par la suite avec d’autres dimensions (fréquence des repas, allaitement) dans le calcul du MAD.</w:t>
      </w:r>
    </w:p>
    <w:p>
      <w:pPr>
        <w:pStyle w:val="SourceCode"/>
      </w:pPr>
      <w:r>
        <w:rPr>
          <w:rStyle w:val="VerbatimChar"/>
        </w:rPr>
        <w:t xml:space="preserve">##    Min. 1st Qu.  Median    Mean 3rd Qu.    Max. </w:t>
      </w:r>
      <w:r>
        <w:br/>
      </w:r>
      <w:r>
        <w:rPr>
          <w:rStyle w:val="VerbatimChar"/>
        </w:rPr>
        <w:t xml:space="preserve">##   0.000   1.000   2.000   3.474   5.000  16.000</w:t>
      </w:r>
    </w:p>
    <w:bookmarkEnd w:id="57"/>
    <w:bookmarkStart w:id="58" w:name="X2a14ffa93bd24e4340695a16d8fb3dd0bf567f2"/>
    <w:p>
      <w:pPr>
        <w:pStyle w:val="Titre2"/>
      </w:pPr>
      <w:r>
        <w:t xml:space="preserve">Créer une variable DDM qui indique si l’enfant a consommé au moins cinq groupes d’aliments</w:t>
      </w:r>
    </w:p>
    <w:p>
      <w:pPr>
        <w:pStyle w:val="FirstParagraph"/>
      </w:pPr>
      <w:r>
        <w:t xml:space="preserve">Selon les normes du Programme Alimentaire Mondial (PAM) et de l’UNICEF :</w:t>
      </w:r>
      <w:r>
        <w:t xml:space="preserve"> </w:t>
      </w:r>
      <w:r>
        <w:t xml:space="preserve">- Un enfant de 6 à 23 mois satisfait à la</w:t>
      </w:r>
      <w:r>
        <w:t xml:space="preserve"> </w:t>
      </w:r>
      <w:r>
        <w:rPr>
          <w:b/>
          <w:bCs/>
        </w:rPr>
        <w:t xml:space="preserve">DDM</w:t>
      </w:r>
      <w:r>
        <w:t xml:space="preserve"> </w:t>
      </w:r>
      <w:r>
        <w:t xml:space="preserve">s’il a consommé</w:t>
      </w:r>
      <w:r>
        <w:t xml:space="preserve"> </w:t>
      </w:r>
      <w:r>
        <w:rPr>
          <w:b/>
          <w:bCs/>
        </w:rPr>
        <w:t xml:space="preserve">au moins cinq (5) groupes alimentaires différents</w:t>
      </w:r>
      <w:r>
        <w:t xml:space="preserve"> </w:t>
      </w:r>
      <w:r>
        <w:t xml:space="preserve">parmi les groupes pertinents.</w:t>
      </w:r>
    </w:p>
    <w:p>
      <w:pPr>
        <w:pStyle w:val="Corpsdetexte"/>
      </w:pPr>
      <w:r>
        <w:t xml:space="preserve">Nous utilisons ici la variable</w:t>
      </w:r>
      <w:r>
        <w:t xml:space="preserve"> </w:t>
      </w:r>
      <w:r>
        <w:rPr>
          <w:rStyle w:val="VerbatimChar"/>
        </w:rPr>
        <w:t xml:space="preserve">nb_groupes_alim</w:t>
      </w:r>
      <w:r>
        <w:t xml:space="preserve">, préalablement calculée, pour construire une variable binaire</w:t>
      </w:r>
      <w:r>
        <w:t xml:space="preserve"> </w:t>
      </w:r>
      <w:r>
        <w:rPr>
          <w:rStyle w:val="VerbatimChar"/>
        </w:rPr>
        <w:t xml:space="preserve">ddm</w:t>
      </w:r>
      <w:r>
        <w:t xml:space="preserve"> </w:t>
      </w:r>
      <w:r>
        <w:t xml:space="preserve">:</w:t>
      </w:r>
      <w:r>
        <w:t xml:space="preserve"> </w:t>
      </w:r>
      <w:r>
        <w:t xml:space="preserve">-</w:t>
      </w:r>
      <w:r>
        <w:t xml:space="preserve"> </w:t>
      </w:r>
      <w:r>
        <w:rPr>
          <w:rStyle w:val="VerbatimChar"/>
        </w:rPr>
        <w:t xml:space="preserve">1</w:t>
      </w:r>
      <w:r>
        <w:t xml:space="preserve"> </w:t>
      </w:r>
      <w:r>
        <w:t xml:space="preserve">: si l’enfant a consommé</w:t>
      </w:r>
      <w:r>
        <w:t xml:space="preserve"> </w:t>
      </w:r>
      <w:r>
        <w:rPr>
          <w:b/>
          <w:bCs/>
        </w:rPr>
        <w:t xml:space="preserve">≥ 5</w:t>
      </w:r>
      <w:r>
        <w:t xml:space="preserve"> </w:t>
      </w:r>
      <w:r>
        <w:t xml:space="preserve">groupes</w:t>
      </w:r>
      <w:r>
        <w:t xml:space="preserve"> </w:t>
      </w:r>
      <w:r>
        <w:t xml:space="preserve">-</w:t>
      </w:r>
      <w:r>
        <w:t xml:space="preserve"> </w:t>
      </w:r>
      <w:r>
        <w:rPr>
          <w:rStyle w:val="VerbatimChar"/>
        </w:rPr>
        <w:t xml:space="preserve">0</w:t>
      </w:r>
      <w:r>
        <w:t xml:space="preserve"> </w:t>
      </w:r>
      <w:r>
        <w:t xml:space="preserve">: sinon</w:t>
      </w:r>
      <w:r>
        <w:t xml:space="preserve"> </w:t>
      </w:r>
      <w:r>
        <w:t xml:space="preserve">-</w:t>
      </w:r>
      <w:r>
        <w:t xml:space="preserve"> </w:t>
      </w:r>
      <w:r>
        <w:rPr>
          <w:rStyle w:val="VerbatimChar"/>
        </w:rPr>
        <w:t xml:space="preserve">NA</w:t>
      </w:r>
      <w:r>
        <w:t xml:space="preserve"> </w:t>
      </w:r>
      <w:r>
        <w:t xml:space="preserve">: si aucune information n’est disponible (cas de données manquantes)</w:t>
      </w:r>
    </w:p>
    <w:p>
      <w:pPr>
        <w:pStyle w:val="SourceCode"/>
      </w:pPr>
      <w:r>
        <w:rPr>
          <w:rStyle w:val="VerbatimChar"/>
        </w:rPr>
        <w:t xml:space="preserve">## </w:t>
      </w:r>
      <w:r>
        <w:br/>
      </w:r>
      <w:r>
        <w:rPr>
          <w:rStyle w:val="VerbatimChar"/>
        </w:rPr>
        <w:t xml:space="preserve">##    0    1 &lt;NA&gt; </w:t>
      </w:r>
      <w:r>
        <w:br/>
      </w:r>
      <w:r>
        <w:rPr>
          <w:rStyle w:val="VerbatimChar"/>
        </w:rPr>
        <w:t xml:space="preserve">## 1607  599    0</w:t>
      </w:r>
    </w:p>
    <w:bookmarkEnd w:id="58"/>
    <w:bookmarkStart w:id="59" w:name="X3788f584bd112007ef9c46a0d5883459392be59"/>
    <w:p>
      <w:pPr>
        <w:pStyle w:val="Titre2"/>
      </w:pPr>
      <w:r>
        <w:t xml:space="preserve">Proportion d’enfants âgés de 6 à 23 mois bénéficiant d’un régime alimentaire minimum acceptable</w:t>
      </w:r>
    </w:p>
    <w:p>
      <w:pPr>
        <w:pStyle w:val="FirstParagraph"/>
      </w:pPr>
      <w:r>
        <w:t xml:space="preserve">Le</w:t>
      </w:r>
      <w:r>
        <w:t xml:space="preserve"> </w:t>
      </w:r>
      <w:r>
        <w:rPr>
          <w:b/>
          <w:bCs/>
        </w:rPr>
        <w:t xml:space="preserve">MAD (Minimum Acceptable Diet)</w:t>
      </w:r>
      <w:r>
        <w:t xml:space="preserve"> </w:t>
      </w:r>
      <w:r>
        <w:t xml:space="preserve">est un indicateur composite mesurant la qualité minimale de l’alimentation d’un enfant de 6 à 23 mois. Il est atteint uniquement si</w:t>
      </w:r>
      <w:r>
        <w:t xml:space="preserve"> </w:t>
      </w:r>
      <w:r>
        <w:rPr>
          <w:b/>
          <w:bCs/>
        </w:rPr>
        <w:t xml:space="preserve">trois conditions</w:t>
      </w:r>
      <w:r>
        <w:t xml:space="preserve"> </w:t>
      </w:r>
      <w:r>
        <w:t xml:space="preserve">sont satisfaites :</w:t>
      </w:r>
    </w:p>
    <w:p>
      <w:pPr>
        <w:pStyle w:val="Compact"/>
        <w:numPr>
          <w:ilvl w:val="0"/>
          <w:numId w:val="1049"/>
        </w:numPr>
      </w:pPr>
      <w:r>
        <w:rPr>
          <w:b/>
          <w:bCs/>
        </w:rPr>
        <w:t xml:space="preserve">L’enfant est allaité</w:t>
      </w:r>
      <w:r>
        <w:t xml:space="preserve">, ou a reçu du lait de croissance (</w:t>
      </w:r>
      <w:r>
        <w:rPr>
          <w:rStyle w:val="VerbatimChar"/>
        </w:rPr>
        <w:t xml:space="preserve">PCIYCBreastF == 1</w:t>
      </w:r>
      <w:r>
        <w:t xml:space="preserve"> </w:t>
      </w:r>
      <w:r>
        <w:t xml:space="preserve">ou</w:t>
      </w:r>
      <w:r>
        <w:t xml:space="preserve"> </w:t>
      </w:r>
      <w:r>
        <w:rPr>
          <w:rStyle w:val="VerbatimChar"/>
        </w:rPr>
        <w:t xml:space="preserve">EverBreastF == 1</w:t>
      </w:r>
      <w:r>
        <w:t xml:space="preserve">)</w:t>
      </w:r>
    </w:p>
    <w:p>
      <w:pPr>
        <w:pStyle w:val="Compact"/>
        <w:numPr>
          <w:ilvl w:val="0"/>
          <w:numId w:val="1049"/>
        </w:numPr>
      </w:pPr>
      <w:r>
        <w:rPr>
          <w:b/>
          <w:bCs/>
        </w:rPr>
        <w:t xml:space="preserve">Il a reçu au moins 5 groupes alimentaires différents</w:t>
      </w:r>
      <w:r>
        <w:t xml:space="preserve"> </w:t>
      </w:r>
      <w:r>
        <w:t xml:space="preserve">(</w:t>
      </w:r>
      <w:r>
        <w:rPr>
          <w:rStyle w:val="VerbatimChar"/>
        </w:rPr>
        <w:t xml:space="preserve">ddm == 1</w:t>
      </w:r>
      <w:r>
        <w:t xml:space="preserve">)</w:t>
      </w:r>
    </w:p>
    <w:p>
      <w:pPr>
        <w:pStyle w:val="Compact"/>
        <w:numPr>
          <w:ilvl w:val="0"/>
          <w:numId w:val="1049"/>
        </w:numPr>
      </w:pPr>
      <w:r>
        <w:rPr>
          <w:b/>
          <w:bCs/>
        </w:rPr>
        <w:t xml:space="preserve">Il a consommé une fréquence minimale de repas</w:t>
      </w:r>
      <w:r>
        <w:t xml:space="preserve"> </w:t>
      </w:r>
      <w:r>
        <w:t xml:space="preserve">adaptée à son âge (</w:t>
      </w:r>
      <w:r>
        <w:rPr>
          <w:rStyle w:val="VerbatimChar"/>
        </w:rPr>
        <w:t xml:space="preserve">mmf == 1</w:t>
      </w:r>
      <w:r>
        <w:t xml:space="preserve">) ← (à créer ensuite si pas encore fait)</w:t>
      </w:r>
    </w:p>
    <w:p>
      <w:pPr>
        <w:pStyle w:val="FirstParagraph"/>
      </w:pPr>
      <w:r>
        <w:t xml:space="preserve">Dans cette sous-question, nous mesurons la proportion d’enfants ayant un régime</w:t>
      </w:r>
      <w:r>
        <w:t xml:space="preserve"> </w:t>
      </w:r>
      <w:r>
        <w:rPr>
          <w:b/>
          <w:bCs/>
        </w:rPr>
        <w:t xml:space="preserve">globalement acceptable</w:t>
      </w:r>
      <w:r>
        <w:t xml:space="preserve">, c’est-à-dire satisfaisant à ces trois critères.</w:t>
      </w:r>
    </w:p>
    <w:p>
      <w:pPr>
        <w:pStyle w:val="SourceCode"/>
      </w:pPr>
      <w:r>
        <w:rPr>
          <w:rStyle w:val="VerbatimChar"/>
        </w:rPr>
        <w:t xml:space="preserve">## # A tibble: 1 × 1</w:t>
      </w:r>
      <w:r>
        <w:br/>
      </w:r>
      <w:r>
        <w:rPr>
          <w:rStyle w:val="VerbatimChar"/>
        </w:rPr>
        <w:t xml:space="preserve">##   proportion_mad</w:t>
      </w:r>
      <w:r>
        <w:br/>
      </w:r>
      <w:r>
        <w:rPr>
          <w:rStyle w:val="VerbatimChar"/>
        </w:rPr>
        <w:t xml:space="preserve">##            &lt;dbl&gt;</w:t>
      </w:r>
      <w:r>
        <w:br/>
      </w:r>
      <w:r>
        <w:rPr>
          <w:rStyle w:val="VerbatimChar"/>
        </w:rPr>
        <w:t xml:space="preserve">## 1          0.112</w:t>
      </w:r>
    </w:p>
    <w:p>
      <w:pPr>
        <w:pStyle w:val="FirstParagraph"/>
      </w:pPr>
      <w:r>
        <w:t xml:space="preserve">Le résultat indique que seule une minorité d’enfants de 6 à 23 mois bénéficie d’un régime alimentaire répondant aux standards minimaux en termes de diversité et de fréquence. Cela implique que près de 9 enfants sur 10 dans cette tranche d’âge sont potentiellement exposés à des risques de malnutrition ou de carences nutritionnelles.</w:t>
      </w:r>
    </w:p>
    <w:bookmarkEnd w:id="59"/>
    <w:bookmarkStart w:id="60" w:name="statistiques-descriptives-suivant-sexe"/>
    <w:p>
      <w:pPr>
        <w:pStyle w:val="Titre2"/>
      </w:pPr>
      <w:r>
        <w:t xml:space="preserve">Statistiques descriptives suivant sexe</w:t>
      </w:r>
    </w:p>
    <w:p>
      <w:pPr>
        <w:pStyle w:val="FirstParagraph"/>
      </w:pPr>
      <w:r>
        <w:t xml:space="preserve">Ce tableau permet d’évaluer les</w:t>
      </w:r>
      <w:r>
        <w:t xml:space="preserve"> </w:t>
      </w:r>
      <w:r>
        <w:rPr>
          <w:b/>
          <w:bCs/>
        </w:rPr>
        <w:t xml:space="preserve">différences dans l’accès à un régime alimentaire minimum acceptable</w:t>
      </w:r>
      <w:r>
        <w:t xml:space="preserve"> </w:t>
      </w:r>
      <w:r>
        <w:t xml:space="preserve">selon :</w:t>
      </w:r>
    </w:p>
    <w:p>
      <w:pPr>
        <w:pStyle w:val="Compact"/>
        <w:numPr>
          <w:ilvl w:val="0"/>
          <w:numId w:val="1050"/>
        </w:numPr>
      </w:pPr>
      <w:r>
        <w:rPr>
          <w:b/>
          <w:bCs/>
        </w:rPr>
        <w:t xml:space="preserve">Le sexe du chef de ménage</w:t>
      </w:r>
      <w:r>
        <w:t xml:space="preserve"> </w:t>
      </w:r>
      <w:r>
        <w:t xml:space="preserve">: on peut observer si les enfants vivant dans des ménages dirigés par des femmes bénéficient autant que ceux dirigés par des hommes.</w:t>
      </w:r>
    </w:p>
    <w:p>
      <w:pPr>
        <w:pStyle w:val="Compact"/>
        <w:numPr>
          <w:ilvl w:val="0"/>
          <w:numId w:val="1050"/>
        </w:numPr>
      </w:pPr>
      <w:r>
        <w:rPr>
          <w:b/>
          <w:bCs/>
        </w:rPr>
        <w:t xml:space="preserve">L’année d’enquête</w:t>
      </w:r>
      <w:r>
        <w:t xml:space="preserve"> </w:t>
      </w:r>
      <w:r>
        <w:t xml:space="preserve">(si disponible dans</w:t>
      </w:r>
      <w:r>
        <w:t xml:space="preserve"> </w:t>
      </w:r>
      <w:r>
        <w:rPr>
          <w:rStyle w:val="VerbatimChar"/>
        </w:rPr>
        <w:t xml:space="preserve">YEAR</w:t>
      </w:r>
      <w:r>
        <w:t xml:space="preserve">) : permet d’étudier l’évolution du MAD dans le temps.</w:t>
      </w:r>
    </w:p>
    <w:p xmlns:w14="http://schemas.microsoft.com/office/word/2010/wordml">
      <w:pPr>
        <w:pStyle w:val="TableCaption"/>
        <w:jc w:val="center"/>
        <w:keepNext/>
      </w:pPr>
      <w:r>
        <w:t xml:space="preserve">Proportion d’enfants ayant un régime MAD selon le sexe du chef de ménage et l’année</w:t>
      </w:r>
    </w:p>
    <w:tbl xmlns:w14="http://schemas.microsoft.com/office/word/2010/wordml">
      <w:tblPr>
        <w:tblLayout w:type="autofit"/>
        <w:jc w:val="center"/>
        <w:tblW w:type="pct" w:w="0"/>
        <w:tblLook w:firstRow="1" w:lastRow="0" w:firstColumn="0" w:lastColumn="0" w:noHBand="0" w:noVBand="1"/>
      </w:tblPr>
      <w:tr>
        <w:trPr>
          <w:trHeight w:val="26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2022</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2023</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NA</w:t>
            </w:r>
          </w:p>
        </w:tc>
      </w:tr>
      <w:tr>
        <w:trPr>
          <w:trHeight w:val="37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Femme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372</w:t>
            </w:r>
            <w:r>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Homme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445</w:t>
            </w:r>
            <w:r>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Femme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393</w:t>
            </w:r>
            <w:r>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Homme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607</w:t>
            </w:r>
            <w:r>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Femme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0</w:t>
            </w:r>
            <w:r>
              <w:rPr>
                <w:rFonts w:ascii="Arial" w:hAnsi="Arial" w:eastAsia="Arial" w:cs="Arial"/>
                <w:i w:val="false"/>
                <w:b w:val="false"/>
                <w:u w:val="none"/>
                <w:vertAlign w:val="superscript"/>
                <w:sz w:val="16"/>
                <w:szCs w:val="16"/>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Homme</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0</w:t>
            </w:r>
            <w:r>
              <w:rPr>
                <w:rFonts w:ascii="Arial" w:hAnsi="Arial" w:eastAsia="Arial" w:cs="Arial"/>
                <w:i w:val="false"/>
                <w:b w:val="false"/>
                <w:u w:val="none"/>
                <w:vertAlign w:val="superscript"/>
                <w:sz w:val="16"/>
                <w:szCs w:val="16"/>
                <w:color w:val="000000"/>
              </w:rPr>
              <w:t xml:space="preserve">2</w:t>
            </w:r>
          </w:p>
        </w:tc>
      </w:tr>
      <w:tr>
        <w:trPr>
          <w:trHeight w:val="29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A un régime MAD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NA (NA, 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NA (NA, NA)</w:t>
            </w:r>
          </w:p>
        </w:tc>
      </w:tr>
      <w:tr>
        <w:trPr>
          <w:trHeight w:val="29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345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401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514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294"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 (7.3%)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44 (9.9%)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93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n (%)</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2</w:t>
            </w:r>
            <w:r>
              <w:rPr>
                <w:rFonts w:ascii="Arial" w:hAnsi="Arial" w:eastAsia="Arial" w:cs="Arial"/>
                <w:i w:val="false"/>
                <w:b w:val="false"/>
                <w:u w:val="none"/>
                <w:sz w:val="16"/>
                <w:szCs w:val="16"/>
                <w:color w:val="000000"/>
              </w:rPr>
              <w:t xml:space="preserve">Median (Q1, Q3)</w:t>
            </w:r>
          </w:p>
        </w:tc>
      </w:tr>
    </w:tbl>
    <w:p>
      <w:pPr>
        <w:pStyle w:val="FirstParagraph"/>
      </w:pPr>
      <w:r>
        <w:t xml:space="preserve">Le tableau ci-dessus présente la proportion d’enfants âgés de 6 à 23 mois ayant bénéficié d’un régime alimentaire minimum acceptable (MAD), selon deux dimensions : l’année de l’enquête (2022 ou 2023) et le sexe du chef de ménage (homme ou femme).</w:t>
      </w:r>
    </w:p>
    <w:p>
      <w:pPr>
        <w:pStyle w:val="Corpsdetexte"/>
      </w:pPr>
      <w:r>
        <w:rPr>
          <w:b/>
          <w:bCs/>
        </w:rPr>
        <w:t xml:space="preserve">Constats principaux :</w:t>
      </w:r>
    </w:p>
    <w:p>
      <w:pPr>
        <w:pStyle w:val="Compact"/>
        <w:numPr>
          <w:ilvl w:val="0"/>
          <w:numId w:val="1051"/>
        </w:numPr>
      </w:pPr>
      <w:r>
        <w:rPr>
          <w:b/>
          <w:bCs/>
        </w:rPr>
        <w:t xml:space="preserve">En 2022</w:t>
      </w:r>
      <w:r>
        <w:t xml:space="preserve"> </w:t>
      </w:r>
      <w:r>
        <w:t xml:space="preserve">:</w:t>
      </w:r>
    </w:p>
    <w:p>
      <w:pPr>
        <w:pStyle w:val="Compact"/>
        <w:numPr>
          <w:ilvl w:val="1"/>
          <w:numId w:val="1052"/>
        </w:numPr>
      </w:pPr>
      <w:r>
        <w:t xml:space="preserve">Les enfants issus de ménages dirigés par des</w:t>
      </w:r>
      <w:r>
        <w:t xml:space="preserve"> </w:t>
      </w:r>
      <w:r>
        <w:rPr>
          <w:b/>
          <w:bCs/>
        </w:rPr>
        <w:t xml:space="preserve">femmes</w:t>
      </w:r>
      <w:r>
        <w:t xml:space="preserve"> </w:t>
      </w:r>
      <w:r>
        <w:t xml:space="preserve">sont</w:t>
      </w:r>
      <w:r>
        <w:t xml:space="preserve"> </w:t>
      </w:r>
      <w:r>
        <w:rPr>
          <w:b/>
          <w:bCs/>
        </w:rPr>
        <w:t xml:space="preserve">7,3 %</w:t>
      </w:r>
      <w:r>
        <w:t xml:space="preserve"> </w:t>
      </w:r>
      <w:r>
        <w:t xml:space="preserve">à avoir reçu un régime alimentaire MAD.</w:t>
      </w:r>
    </w:p>
    <w:p>
      <w:pPr>
        <w:pStyle w:val="Compact"/>
        <w:numPr>
          <w:ilvl w:val="1"/>
          <w:numId w:val="1052"/>
        </w:numPr>
      </w:pPr>
      <w:r>
        <w:t xml:space="preserve">Ce taux est légèrement plus élevé dans les ménages dirigés par des</w:t>
      </w:r>
      <w:r>
        <w:t xml:space="preserve"> </w:t>
      </w:r>
      <w:r>
        <w:rPr>
          <w:b/>
          <w:bCs/>
        </w:rPr>
        <w:t xml:space="preserve">hommes</w:t>
      </w:r>
      <w:r>
        <w:t xml:space="preserve">, avec</w:t>
      </w:r>
      <w:r>
        <w:t xml:space="preserve"> </w:t>
      </w:r>
      <w:r>
        <w:rPr>
          <w:b/>
          <w:bCs/>
        </w:rPr>
        <w:t xml:space="preserve">9,9 %</w:t>
      </w:r>
      <w:r>
        <w:t xml:space="preserve">.</w:t>
      </w:r>
    </w:p>
    <w:p>
      <w:pPr>
        <w:pStyle w:val="Compact"/>
        <w:numPr>
          <w:ilvl w:val="1"/>
          <w:numId w:val="1052"/>
        </w:numPr>
      </w:pPr>
      <w:r>
        <w:t xml:space="preserve">Cela suggère une différence de pratiques alimentaires en défaveur des ménages dirigés par des femmes cette année-là.</w:t>
      </w:r>
    </w:p>
    <w:p>
      <w:pPr>
        <w:pStyle w:val="Compact"/>
        <w:numPr>
          <w:ilvl w:val="0"/>
          <w:numId w:val="1051"/>
        </w:numPr>
      </w:pPr>
      <w:r>
        <w:rPr>
          <w:b/>
          <w:bCs/>
        </w:rPr>
        <w:t xml:space="preserve">En 2023</w:t>
      </w:r>
      <w:r>
        <w:t xml:space="preserve"> </w:t>
      </w:r>
      <w:r>
        <w:t xml:space="preserve">:</w:t>
      </w:r>
    </w:p>
    <w:p>
      <w:pPr>
        <w:pStyle w:val="Compact"/>
        <w:numPr>
          <w:ilvl w:val="1"/>
          <w:numId w:val="1053"/>
        </w:numPr>
      </w:pPr>
      <w:r>
        <w:t xml:space="preserve">L’accès au MAD a augmenté pour les deux groupes :</w:t>
      </w:r>
    </w:p>
    <w:p>
      <w:pPr>
        <w:pStyle w:val="Compact"/>
        <w:numPr>
          <w:ilvl w:val="2"/>
          <w:numId w:val="1054"/>
        </w:numPr>
      </w:pPr>
      <w:r>
        <w:rPr>
          <w:b/>
          <w:bCs/>
        </w:rPr>
        <w:t xml:space="preserve">14 %</w:t>
      </w:r>
      <w:r>
        <w:t xml:space="preserve"> </w:t>
      </w:r>
      <w:r>
        <w:t xml:space="preserve">chez les enfants dans les ménages dirigés par des femmes.</w:t>
      </w:r>
    </w:p>
    <w:p>
      <w:pPr>
        <w:pStyle w:val="Compact"/>
        <w:numPr>
          <w:ilvl w:val="2"/>
          <w:numId w:val="1054"/>
        </w:numPr>
      </w:pPr>
      <w:r>
        <w:rPr>
          <w:b/>
          <w:bCs/>
        </w:rPr>
        <w:t xml:space="preserve">15 %</w:t>
      </w:r>
      <w:r>
        <w:t xml:space="preserve"> </w:t>
      </w:r>
      <w:r>
        <w:t xml:space="preserve">chez ceux dans les ménages dirigés par des hommes.</w:t>
      </w:r>
    </w:p>
    <w:p>
      <w:pPr>
        <w:pStyle w:val="Compact"/>
        <w:numPr>
          <w:ilvl w:val="1"/>
          <w:numId w:val="1053"/>
        </w:numPr>
      </w:pPr>
      <w:r>
        <w:t xml:space="preserve">L’écart entre les sexes semble s’être atténué par rapport à l’année précédente, et les deux groupes atteignent des niveaux similaires.</w:t>
      </w:r>
    </w:p>
    <w:p>
      <w:pPr>
        <w:pStyle w:val="FirstParagraph"/>
      </w:pPr>
      <w:r>
        <w:rPr>
          <w:b/>
          <w:bCs/>
        </w:rPr>
        <w:t xml:space="preserve">Analyse transversale :</w:t>
      </w:r>
    </w:p>
    <w:p>
      <w:pPr>
        <w:pStyle w:val="Compact"/>
        <w:numPr>
          <w:ilvl w:val="0"/>
          <w:numId w:val="1055"/>
        </w:numPr>
      </w:pPr>
      <w:r>
        <w:t xml:space="preserve">Une</w:t>
      </w:r>
      <w:r>
        <w:t xml:space="preserve"> </w:t>
      </w:r>
      <w:r>
        <w:rPr>
          <w:b/>
          <w:bCs/>
        </w:rPr>
        <w:t xml:space="preserve">amélioration globale</w:t>
      </w:r>
      <w:r>
        <w:t xml:space="preserve"> </w:t>
      </w:r>
      <w:r>
        <w:t xml:space="preserve">est observée entre 2022 et 2023 : la proportion d’enfants bénéficiant d’un régime MAD passe de</w:t>
      </w:r>
      <w:r>
        <w:t xml:space="preserve"> </w:t>
      </w:r>
      <w:r>
        <w:rPr>
          <w:b/>
          <w:bCs/>
        </w:rPr>
        <w:t xml:space="preserve">8,7 % à 14,6 %</w:t>
      </w:r>
      <w:r>
        <w:t xml:space="preserve"> </w:t>
      </w:r>
      <w:r>
        <w:t xml:space="preserve">en moyenne.</w:t>
      </w:r>
    </w:p>
    <w:p>
      <w:pPr>
        <w:pStyle w:val="Compact"/>
        <w:numPr>
          <w:ilvl w:val="0"/>
          <w:numId w:val="1055"/>
        </w:numPr>
      </w:pPr>
      <w:r>
        <w:t xml:space="preserve">Toutefois, les niveaux</w:t>
      </w:r>
      <w:r>
        <w:t xml:space="preserve"> </w:t>
      </w:r>
      <w:r>
        <w:rPr>
          <w:b/>
          <w:bCs/>
        </w:rPr>
        <w:t xml:space="preserve">restent très faibles</w:t>
      </w:r>
      <w:r>
        <w:t xml:space="preserve">, loin des standards nutritionnels recommandés, ce qui indique une situation préoccupante en matière de diversité alimentaire des jeunes enfants.</w:t>
      </w:r>
    </w:p>
    <w:p>
      <w:pPr>
        <w:pStyle w:val="FirstParagraph"/>
      </w:pPr>
      <w:r>
        <w:rPr>
          <w:b/>
          <w:bCs/>
        </w:rPr>
        <w:t xml:space="preserve">Interprétation :</w:t>
      </w:r>
    </w:p>
    <w:p>
      <w:pPr>
        <w:pStyle w:val="Corpsdetexte"/>
      </w:pPr>
      <w:r>
        <w:t xml:space="preserve">Ces résultats soulignent la nécessité de renforcer les</w:t>
      </w:r>
      <w:r>
        <w:t xml:space="preserve"> </w:t>
      </w:r>
      <w:r>
        <w:rPr>
          <w:b/>
          <w:bCs/>
        </w:rPr>
        <w:t xml:space="preserve">interventions en nutrition infantile</w:t>
      </w:r>
      <w:r>
        <w:t xml:space="preserve">, en particulier dans les ménages vulnérables. Il serait également pertinent d’étudier plus en profondeur les déterminants de ces différences selon le sexe du chef de ménage : accès aux ressources, pratiques culturelles, niveau d’instruction, etc.</w:t>
      </w:r>
    </w:p>
    <w:bookmarkEnd w:id="60"/>
    <w:bookmarkEnd w:id="61"/>
    <w:sectPr w:rsidR="000B73CD" w:rsidSect="002D28BF">
      <w:footerReference r:id="rId10" w:type="default"/>
      <w:pgSz w:h="15840" w:w="12240"/>
      <w:pgMar w:bottom="1440" w:footer="720" w:gutter="0" w:header="720" w:left="1440" w:right="1440" w:top="1440"/>
      <w:pgBorders w:display="firstPage" w:offsetFrom="page">
        <w:top w:color="4F81BD" w:space="24" w:sz="18" w:themeColor="accent1" w:val="single"/>
        <w:left w:color="4F81BD" w:space="24" w:sz="18" w:themeColor="accent1" w:val="single"/>
        <w:bottom w:color="4F81BD" w:space="24" w:sz="18" w:themeColor="accent1" w:val="single"/>
        <w:right w:color="4F81BD" w:space="24" w:sz="18" w:themeColor="accent1" w:val="single"/>
      </w:pgBorders>
      <w:pgNumType w:fmt="lowerRoman" w:start="1"/>
      <w:cols w:space="720"/>
      <w:docGrid w:linePitch="36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167296"/>
      <w:docPartObj>
        <w:docPartGallery w:val="Page Numbers (Bottom of Page)"/>
        <w:docPartUnique/>
      </w:docPartObj>
    </w:sdtPr>
    <w:sdtContent>
      <w:p w14:paraId="60D6C185" w14:textId="57954325" w:rsidR="002D28BF" w:rsidRDefault="002D28BF">
        <w:pPr>
          <w:pStyle w:val="Pieddepage"/>
          <w:jc w:val="center"/>
        </w:pPr>
        <w:r>
          <w:fldChar w:fldCharType="begin"/>
        </w:r>
        <w:r>
          <w:instrText>PAGE   \* MERGEFORMAT</w:instrText>
        </w:r>
        <w:r>
          <w:fldChar w:fldCharType="separate"/>
        </w:r>
        <w:r>
          <w:rPr>
            <w:lang w:val="fr-CA"/>
          </w:rPr>
          <w:t>2</w:t>
        </w:r>
        <w:r>
          <w:fldChar w:fldCharType="end"/>
        </w:r>
      </w:p>
    </w:sdtContent>
  </w:sdt>
  <w:p w14:paraId="062DD141" w14:textId="77777777" w:rsidR="002D28BF" w:rsidRDefault="002D28BF">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5E75" w14:textId="77777777" w:rsidR="003F3638" w:rsidRDefault="003F363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1">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2">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4">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5">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6">
    <w:nsid w:val="02B751F6"/>
    <w:multiLevelType w:val="multilevel"/>
    <w:tmpl w:val="7C7AC4FC"/>
    <w:styleLink w:val="Style1"/>
    <w:lvl w:ilvl="0">
      <w:start w:val="1"/>
      <w:numFmt w:val="none"/>
      <w:lvlText w:val=""/>
      <w:lvlJc w:val="left"/>
      <w:pPr>
        <w:ind w:hanging="360" w:left="720"/>
      </w:pPr>
      <w:rPr>
        <w:rFonts w:hint="default"/>
      </w:rPr>
    </w:lvl>
    <w:lvl w:ilvl="1">
      <w:start w:val="1"/>
      <w:numFmt w:val="decimal"/>
      <w:lvlText w:val="%2."/>
      <w:lvlJc w:val="left"/>
      <w:pPr>
        <w:ind w:hanging="360" w:left="1440"/>
      </w:pPr>
      <w:rPr>
        <w:rFonts w:hint="default"/>
      </w:rPr>
    </w:lvl>
    <w:lvl w:ilvl="2">
      <w:start w:val="1"/>
      <w:numFmt w:val="decimal"/>
      <w:lvlText w:val="%3.1."/>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7">
    <w:nsid w:val="07450884"/>
    <w:multiLevelType w:val="hybridMultilevel"/>
    <w:tmpl w:val="D6784C66"/>
    <w:lvl w:ilvl="0" w:tplc="41801540">
      <w:start w:val="1"/>
      <w:numFmt w:val="bullet"/>
      <w:lvlText w:val="•"/>
      <w:lvlJc w:val="left"/>
      <w:pPr>
        <w:ind w:hanging="360" w:left="720"/>
      </w:pPr>
      <w:rPr>
        <w:rFonts w:ascii="Arial" w:cs="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07AA45FE"/>
    <w:multiLevelType w:val="hybridMultilevel"/>
    <w:tmpl w:val="7C02DB12"/>
    <w:lvl w:ilvl="0" w:tplc="280C0001">
      <w:start w:val="1"/>
      <w:numFmt w:val="bullet"/>
      <w:lvlText w:val=""/>
      <w:lvlJc w:val="left"/>
      <w:pPr>
        <w:ind w:hanging="360" w:left="720"/>
      </w:pPr>
      <w:rPr>
        <w:rFonts w:ascii="Symbol" w:hAnsi="Symbol" w:hint="default"/>
      </w:rPr>
    </w:lvl>
    <w:lvl w:ilvl="1" w:tentative="1" w:tplc="280C0003">
      <w:start w:val="1"/>
      <w:numFmt w:val="bullet"/>
      <w:lvlText w:val="o"/>
      <w:lvlJc w:val="left"/>
      <w:pPr>
        <w:ind w:hanging="360" w:left="1440"/>
      </w:pPr>
      <w:rPr>
        <w:rFonts w:ascii="Courier New" w:cs="Courier New" w:hAnsi="Courier New" w:hint="default"/>
      </w:rPr>
    </w:lvl>
    <w:lvl w:ilvl="2" w:tentative="1" w:tplc="280C0005">
      <w:start w:val="1"/>
      <w:numFmt w:val="bullet"/>
      <w:lvlText w:val=""/>
      <w:lvlJc w:val="left"/>
      <w:pPr>
        <w:ind w:hanging="360" w:left="2160"/>
      </w:pPr>
      <w:rPr>
        <w:rFonts w:ascii="Wingdings" w:hAnsi="Wingdings" w:hint="default"/>
      </w:rPr>
    </w:lvl>
    <w:lvl w:ilvl="3" w:tentative="1" w:tplc="280C0001">
      <w:start w:val="1"/>
      <w:numFmt w:val="bullet"/>
      <w:lvlText w:val=""/>
      <w:lvlJc w:val="left"/>
      <w:pPr>
        <w:ind w:hanging="360" w:left="2880"/>
      </w:pPr>
      <w:rPr>
        <w:rFonts w:ascii="Symbol" w:hAnsi="Symbol" w:hint="default"/>
      </w:rPr>
    </w:lvl>
    <w:lvl w:ilvl="4" w:tentative="1" w:tplc="280C0003">
      <w:start w:val="1"/>
      <w:numFmt w:val="bullet"/>
      <w:lvlText w:val="o"/>
      <w:lvlJc w:val="left"/>
      <w:pPr>
        <w:ind w:hanging="360" w:left="3600"/>
      </w:pPr>
      <w:rPr>
        <w:rFonts w:ascii="Courier New" w:cs="Courier New" w:hAnsi="Courier New" w:hint="default"/>
      </w:rPr>
    </w:lvl>
    <w:lvl w:ilvl="5" w:tentative="1" w:tplc="280C0005">
      <w:start w:val="1"/>
      <w:numFmt w:val="bullet"/>
      <w:lvlText w:val=""/>
      <w:lvlJc w:val="left"/>
      <w:pPr>
        <w:ind w:hanging="360" w:left="4320"/>
      </w:pPr>
      <w:rPr>
        <w:rFonts w:ascii="Wingdings" w:hAnsi="Wingdings" w:hint="default"/>
      </w:rPr>
    </w:lvl>
    <w:lvl w:ilvl="6" w:tentative="1" w:tplc="280C0001">
      <w:start w:val="1"/>
      <w:numFmt w:val="bullet"/>
      <w:lvlText w:val=""/>
      <w:lvlJc w:val="left"/>
      <w:pPr>
        <w:ind w:hanging="360" w:left="5040"/>
      </w:pPr>
      <w:rPr>
        <w:rFonts w:ascii="Symbol" w:hAnsi="Symbol" w:hint="default"/>
      </w:rPr>
    </w:lvl>
    <w:lvl w:ilvl="7" w:tentative="1" w:tplc="280C0003">
      <w:start w:val="1"/>
      <w:numFmt w:val="bullet"/>
      <w:lvlText w:val="o"/>
      <w:lvlJc w:val="left"/>
      <w:pPr>
        <w:ind w:hanging="360" w:left="5760"/>
      </w:pPr>
      <w:rPr>
        <w:rFonts w:ascii="Courier New" w:cs="Courier New" w:hAnsi="Courier New" w:hint="default"/>
      </w:rPr>
    </w:lvl>
    <w:lvl w:ilvl="8" w:tentative="1" w:tplc="280C0005">
      <w:start w:val="1"/>
      <w:numFmt w:val="bullet"/>
      <w:lvlText w:val=""/>
      <w:lvlJc w:val="left"/>
      <w:pPr>
        <w:ind w:hanging="360" w:left="6480"/>
      </w:pPr>
      <w:rPr>
        <w:rFonts w:ascii="Wingdings" w:hAnsi="Wingdings" w:hint="default"/>
      </w:rPr>
    </w:lvl>
  </w:abstractNum>
  <w:abstractNum w15:restartNumberingAfterBreak="0" w:abstractNumId="9">
    <w:nsid w:val="0C7B6E87"/>
    <w:multiLevelType w:val="hybridMultilevel"/>
    <w:tmpl w:val="1CC06E12"/>
    <w:lvl w:ilvl="0" w:tplc="41801540">
      <w:start w:val="1"/>
      <w:numFmt w:val="bullet"/>
      <w:lvlText w:val="•"/>
      <w:lvlJc w:val="left"/>
      <w:pPr>
        <w:ind w:hanging="360" w:left="720"/>
      </w:pPr>
      <w:rPr>
        <w:rFonts w:ascii="Arial" w:cs="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11BF7C5A"/>
    <w:multiLevelType w:val="hybridMultilevel"/>
    <w:tmpl w:val="E86E7C4A"/>
    <w:lvl w:ilvl="0" w:tplc="280C0001">
      <w:start w:val="1"/>
      <w:numFmt w:val="bullet"/>
      <w:lvlText w:val=""/>
      <w:lvlJc w:val="left"/>
      <w:pPr>
        <w:ind w:hanging="360" w:left="720"/>
      </w:pPr>
      <w:rPr>
        <w:rFonts w:ascii="Symbol" w:hAnsi="Symbol" w:hint="default"/>
      </w:rPr>
    </w:lvl>
    <w:lvl w:ilvl="1" w:tentative="1" w:tplc="280C0003">
      <w:start w:val="1"/>
      <w:numFmt w:val="bullet"/>
      <w:lvlText w:val="o"/>
      <w:lvlJc w:val="left"/>
      <w:pPr>
        <w:ind w:hanging="360" w:left="1440"/>
      </w:pPr>
      <w:rPr>
        <w:rFonts w:ascii="Courier New" w:cs="Courier New" w:hAnsi="Courier New" w:hint="default"/>
      </w:rPr>
    </w:lvl>
    <w:lvl w:ilvl="2" w:tentative="1" w:tplc="280C0005">
      <w:start w:val="1"/>
      <w:numFmt w:val="bullet"/>
      <w:lvlText w:val=""/>
      <w:lvlJc w:val="left"/>
      <w:pPr>
        <w:ind w:hanging="360" w:left="2160"/>
      </w:pPr>
      <w:rPr>
        <w:rFonts w:ascii="Wingdings" w:hAnsi="Wingdings" w:hint="default"/>
      </w:rPr>
    </w:lvl>
    <w:lvl w:ilvl="3" w:tentative="1" w:tplc="280C0001">
      <w:start w:val="1"/>
      <w:numFmt w:val="bullet"/>
      <w:lvlText w:val=""/>
      <w:lvlJc w:val="left"/>
      <w:pPr>
        <w:ind w:hanging="360" w:left="2880"/>
      </w:pPr>
      <w:rPr>
        <w:rFonts w:ascii="Symbol" w:hAnsi="Symbol" w:hint="default"/>
      </w:rPr>
    </w:lvl>
    <w:lvl w:ilvl="4" w:tentative="1" w:tplc="280C0003">
      <w:start w:val="1"/>
      <w:numFmt w:val="bullet"/>
      <w:lvlText w:val="o"/>
      <w:lvlJc w:val="left"/>
      <w:pPr>
        <w:ind w:hanging="360" w:left="3600"/>
      </w:pPr>
      <w:rPr>
        <w:rFonts w:ascii="Courier New" w:cs="Courier New" w:hAnsi="Courier New" w:hint="default"/>
      </w:rPr>
    </w:lvl>
    <w:lvl w:ilvl="5" w:tentative="1" w:tplc="280C0005">
      <w:start w:val="1"/>
      <w:numFmt w:val="bullet"/>
      <w:lvlText w:val=""/>
      <w:lvlJc w:val="left"/>
      <w:pPr>
        <w:ind w:hanging="360" w:left="4320"/>
      </w:pPr>
      <w:rPr>
        <w:rFonts w:ascii="Wingdings" w:hAnsi="Wingdings" w:hint="default"/>
      </w:rPr>
    </w:lvl>
    <w:lvl w:ilvl="6" w:tentative="1" w:tplc="280C0001">
      <w:start w:val="1"/>
      <w:numFmt w:val="bullet"/>
      <w:lvlText w:val=""/>
      <w:lvlJc w:val="left"/>
      <w:pPr>
        <w:ind w:hanging="360" w:left="5040"/>
      </w:pPr>
      <w:rPr>
        <w:rFonts w:ascii="Symbol" w:hAnsi="Symbol" w:hint="default"/>
      </w:rPr>
    </w:lvl>
    <w:lvl w:ilvl="7" w:tentative="1" w:tplc="280C0003">
      <w:start w:val="1"/>
      <w:numFmt w:val="bullet"/>
      <w:lvlText w:val="o"/>
      <w:lvlJc w:val="left"/>
      <w:pPr>
        <w:ind w:hanging="360" w:left="5760"/>
      </w:pPr>
      <w:rPr>
        <w:rFonts w:ascii="Courier New" w:cs="Courier New" w:hAnsi="Courier New" w:hint="default"/>
      </w:rPr>
    </w:lvl>
    <w:lvl w:ilvl="8" w:tentative="1" w:tplc="280C0005">
      <w:start w:val="1"/>
      <w:numFmt w:val="bullet"/>
      <w:lvlText w:val=""/>
      <w:lvlJc w:val="left"/>
      <w:pPr>
        <w:ind w:hanging="360" w:left="6480"/>
      </w:pPr>
      <w:rPr>
        <w:rFonts w:ascii="Wingdings" w:hAnsi="Wingdings" w:hint="default"/>
      </w:rPr>
    </w:lvl>
  </w:abstractNum>
  <w:abstractNum w15:restartNumberingAfterBreak="0" w:abstractNumId="11">
    <w:nsid w:val="147F7477"/>
    <w:multiLevelType w:val="hybridMultilevel"/>
    <w:tmpl w:val="D890CC1C"/>
    <w:lvl w:ilvl="0" w:tplc="41801540">
      <w:start w:val="1"/>
      <w:numFmt w:val="bullet"/>
      <w:lvlText w:val="•"/>
      <w:lvlJc w:val="left"/>
      <w:pPr>
        <w:ind w:hanging="360" w:left="720"/>
      </w:pPr>
      <w:rPr>
        <w:rFonts w:ascii="Arial" w:cs="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2">
    <w:nsid w:val="1D811956"/>
    <w:multiLevelType w:val="hybridMultilevel"/>
    <w:tmpl w:val="72DCE592"/>
    <w:lvl w:ilvl="0" w:tplc="41801540">
      <w:start w:val="1"/>
      <w:numFmt w:val="bullet"/>
      <w:lvlText w:val="•"/>
      <w:lvlJc w:val="left"/>
      <w:pPr>
        <w:ind w:hanging="360" w:left="720"/>
      </w:pPr>
      <w:rPr>
        <w:rFonts w:ascii="Arial" w:cs="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3">
    <w:nsid w:val="21D35894"/>
    <w:multiLevelType w:val="hybridMultilevel"/>
    <w:tmpl w:val="CA8270B4"/>
    <w:lvl w:ilvl="0" w:tplc="41801540">
      <w:start w:val="1"/>
      <w:numFmt w:val="bullet"/>
      <w:lvlText w:val="•"/>
      <w:lvlJc w:val="left"/>
      <w:pPr>
        <w:ind w:hanging="360" w:left="720"/>
      </w:pPr>
      <w:rPr>
        <w:rFonts w:ascii="Arial" w:cs="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4">
    <w:nsid w:val="231C1EC9"/>
    <w:multiLevelType w:val="hybridMultilevel"/>
    <w:tmpl w:val="6B02C220"/>
    <w:lvl w:ilvl="0" w:tplc="280C0001">
      <w:start w:val="1"/>
      <w:numFmt w:val="bullet"/>
      <w:lvlText w:val=""/>
      <w:lvlJc w:val="left"/>
      <w:pPr>
        <w:ind w:hanging="360" w:left="720"/>
      </w:pPr>
      <w:rPr>
        <w:rFonts w:ascii="Symbol" w:hAnsi="Symbol" w:hint="default"/>
      </w:rPr>
    </w:lvl>
    <w:lvl w:ilvl="1" w:tentative="1" w:tplc="280C0003">
      <w:start w:val="1"/>
      <w:numFmt w:val="bullet"/>
      <w:lvlText w:val="o"/>
      <w:lvlJc w:val="left"/>
      <w:pPr>
        <w:ind w:hanging="360" w:left="1440"/>
      </w:pPr>
      <w:rPr>
        <w:rFonts w:ascii="Courier New" w:cs="Courier New" w:hAnsi="Courier New" w:hint="default"/>
      </w:rPr>
    </w:lvl>
    <w:lvl w:ilvl="2" w:tentative="1" w:tplc="280C0005">
      <w:start w:val="1"/>
      <w:numFmt w:val="bullet"/>
      <w:lvlText w:val=""/>
      <w:lvlJc w:val="left"/>
      <w:pPr>
        <w:ind w:hanging="360" w:left="2160"/>
      </w:pPr>
      <w:rPr>
        <w:rFonts w:ascii="Wingdings" w:hAnsi="Wingdings" w:hint="default"/>
      </w:rPr>
    </w:lvl>
    <w:lvl w:ilvl="3" w:tentative="1" w:tplc="280C0001">
      <w:start w:val="1"/>
      <w:numFmt w:val="bullet"/>
      <w:lvlText w:val=""/>
      <w:lvlJc w:val="left"/>
      <w:pPr>
        <w:ind w:hanging="360" w:left="2880"/>
      </w:pPr>
      <w:rPr>
        <w:rFonts w:ascii="Symbol" w:hAnsi="Symbol" w:hint="default"/>
      </w:rPr>
    </w:lvl>
    <w:lvl w:ilvl="4" w:tentative="1" w:tplc="280C0003">
      <w:start w:val="1"/>
      <w:numFmt w:val="bullet"/>
      <w:lvlText w:val="o"/>
      <w:lvlJc w:val="left"/>
      <w:pPr>
        <w:ind w:hanging="360" w:left="3600"/>
      </w:pPr>
      <w:rPr>
        <w:rFonts w:ascii="Courier New" w:cs="Courier New" w:hAnsi="Courier New" w:hint="default"/>
      </w:rPr>
    </w:lvl>
    <w:lvl w:ilvl="5" w:tentative="1" w:tplc="280C0005">
      <w:start w:val="1"/>
      <w:numFmt w:val="bullet"/>
      <w:lvlText w:val=""/>
      <w:lvlJc w:val="left"/>
      <w:pPr>
        <w:ind w:hanging="360" w:left="4320"/>
      </w:pPr>
      <w:rPr>
        <w:rFonts w:ascii="Wingdings" w:hAnsi="Wingdings" w:hint="default"/>
      </w:rPr>
    </w:lvl>
    <w:lvl w:ilvl="6" w:tentative="1" w:tplc="280C0001">
      <w:start w:val="1"/>
      <w:numFmt w:val="bullet"/>
      <w:lvlText w:val=""/>
      <w:lvlJc w:val="left"/>
      <w:pPr>
        <w:ind w:hanging="360" w:left="5040"/>
      </w:pPr>
      <w:rPr>
        <w:rFonts w:ascii="Symbol" w:hAnsi="Symbol" w:hint="default"/>
      </w:rPr>
    </w:lvl>
    <w:lvl w:ilvl="7" w:tentative="1" w:tplc="280C0003">
      <w:start w:val="1"/>
      <w:numFmt w:val="bullet"/>
      <w:lvlText w:val="o"/>
      <w:lvlJc w:val="left"/>
      <w:pPr>
        <w:ind w:hanging="360" w:left="5760"/>
      </w:pPr>
      <w:rPr>
        <w:rFonts w:ascii="Courier New" w:cs="Courier New" w:hAnsi="Courier New" w:hint="default"/>
      </w:rPr>
    </w:lvl>
    <w:lvl w:ilvl="8" w:tentative="1" w:tplc="280C0005">
      <w:start w:val="1"/>
      <w:numFmt w:val="bullet"/>
      <w:lvlText w:val=""/>
      <w:lvlJc w:val="left"/>
      <w:pPr>
        <w:ind w:hanging="360" w:left="6480"/>
      </w:pPr>
      <w:rPr>
        <w:rFonts w:ascii="Wingdings" w:hAnsi="Wingdings" w:hint="default"/>
      </w:rPr>
    </w:lvl>
  </w:abstractNum>
  <w:abstractNum w15:restartNumberingAfterBreak="0" w:abstractNumId="15">
    <w:nsid w:val="266A607C"/>
    <w:multiLevelType w:val="hybridMultilevel"/>
    <w:tmpl w:val="2C1A24FE"/>
    <w:lvl w:ilvl="0" w:tplc="280C0001">
      <w:start w:val="1"/>
      <w:numFmt w:val="bullet"/>
      <w:lvlText w:val=""/>
      <w:lvlJc w:val="left"/>
      <w:pPr>
        <w:ind w:hanging="360" w:left="778"/>
      </w:pPr>
      <w:rPr>
        <w:rFonts w:ascii="Symbol" w:hAnsi="Symbol" w:hint="default"/>
      </w:rPr>
    </w:lvl>
    <w:lvl w:ilvl="1" w:tentative="1" w:tplc="280C0003">
      <w:start w:val="1"/>
      <w:numFmt w:val="bullet"/>
      <w:lvlText w:val="o"/>
      <w:lvlJc w:val="left"/>
      <w:pPr>
        <w:ind w:hanging="360" w:left="1498"/>
      </w:pPr>
      <w:rPr>
        <w:rFonts w:ascii="Courier New" w:cs="Courier New" w:hAnsi="Courier New" w:hint="default"/>
      </w:rPr>
    </w:lvl>
    <w:lvl w:ilvl="2" w:tentative="1" w:tplc="280C0005">
      <w:start w:val="1"/>
      <w:numFmt w:val="bullet"/>
      <w:lvlText w:val=""/>
      <w:lvlJc w:val="left"/>
      <w:pPr>
        <w:ind w:hanging="360" w:left="2218"/>
      </w:pPr>
      <w:rPr>
        <w:rFonts w:ascii="Wingdings" w:hAnsi="Wingdings" w:hint="default"/>
      </w:rPr>
    </w:lvl>
    <w:lvl w:ilvl="3" w:tentative="1" w:tplc="280C0001">
      <w:start w:val="1"/>
      <w:numFmt w:val="bullet"/>
      <w:lvlText w:val=""/>
      <w:lvlJc w:val="left"/>
      <w:pPr>
        <w:ind w:hanging="360" w:left="2938"/>
      </w:pPr>
      <w:rPr>
        <w:rFonts w:ascii="Symbol" w:hAnsi="Symbol" w:hint="default"/>
      </w:rPr>
    </w:lvl>
    <w:lvl w:ilvl="4" w:tentative="1" w:tplc="280C0003">
      <w:start w:val="1"/>
      <w:numFmt w:val="bullet"/>
      <w:lvlText w:val="o"/>
      <w:lvlJc w:val="left"/>
      <w:pPr>
        <w:ind w:hanging="360" w:left="3658"/>
      </w:pPr>
      <w:rPr>
        <w:rFonts w:ascii="Courier New" w:cs="Courier New" w:hAnsi="Courier New" w:hint="default"/>
      </w:rPr>
    </w:lvl>
    <w:lvl w:ilvl="5" w:tentative="1" w:tplc="280C0005">
      <w:start w:val="1"/>
      <w:numFmt w:val="bullet"/>
      <w:lvlText w:val=""/>
      <w:lvlJc w:val="left"/>
      <w:pPr>
        <w:ind w:hanging="360" w:left="4378"/>
      </w:pPr>
      <w:rPr>
        <w:rFonts w:ascii="Wingdings" w:hAnsi="Wingdings" w:hint="default"/>
      </w:rPr>
    </w:lvl>
    <w:lvl w:ilvl="6" w:tentative="1" w:tplc="280C0001">
      <w:start w:val="1"/>
      <w:numFmt w:val="bullet"/>
      <w:lvlText w:val=""/>
      <w:lvlJc w:val="left"/>
      <w:pPr>
        <w:ind w:hanging="360" w:left="5098"/>
      </w:pPr>
      <w:rPr>
        <w:rFonts w:ascii="Symbol" w:hAnsi="Symbol" w:hint="default"/>
      </w:rPr>
    </w:lvl>
    <w:lvl w:ilvl="7" w:tentative="1" w:tplc="280C0003">
      <w:start w:val="1"/>
      <w:numFmt w:val="bullet"/>
      <w:lvlText w:val="o"/>
      <w:lvlJc w:val="left"/>
      <w:pPr>
        <w:ind w:hanging="360" w:left="5818"/>
      </w:pPr>
      <w:rPr>
        <w:rFonts w:ascii="Courier New" w:cs="Courier New" w:hAnsi="Courier New" w:hint="default"/>
      </w:rPr>
    </w:lvl>
    <w:lvl w:ilvl="8" w:tentative="1" w:tplc="280C0005">
      <w:start w:val="1"/>
      <w:numFmt w:val="bullet"/>
      <w:lvlText w:val=""/>
      <w:lvlJc w:val="left"/>
      <w:pPr>
        <w:ind w:hanging="360" w:left="6538"/>
      </w:pPr>
      <w:rPr>
        <w:rFonts w:ascii="Wingdings" w:hAnsi="Wingdings" w:hint="default"/>
      </w:rPr>
    </w:lvl>
  </w:abstractNum>
  <w:abstractNum w15:restartNumberingAfterBreak="0" w:abstractNumId="16">
    <w:nsid w:val="31597310"/>
    <w:multiLevelType w:val="hybridMultilevel"/>
    <w:tmpl w:val="D2B02202"/>
    <w:lvl w:ilvl="0" w:tplc="41801540">
      <w:start w:val="1"/>
      <w:numFmt w:val="bullet"/>
      <w:lvlText w:val="•"/>
      <w:lvlJc w:val="left"/>
      <w:pPr>
        <w:ind w:hanging="360" w:left="775"/>
      </w:pPr>
      <w:rPr>
        <w:rFonts w:ascii="Arial" w:cs="Times New Roman" w:hAnsi="Arial" w:hint="default"/>
      </w:rPr>
    </w:lvl>
    <w:lvl w:ilvl="1" w:tplc="040C0003">
      <w:start w:val="1"/>
      <w:numFmt w:val="bullet"/>
      <w:lvlText w:val="o"/>
      <w:lvlJc w:val="left"/>
      <w:pPr>
        <w:ind w:hanging="360" w:left="1495"/>
      </w:pPr>
      <w:rPr>
        <w:rFonts w:ascii="Courier New" w:cs="Courier New" w:hAnsi="Courier New" w:hint="default"/>
      </w:rPr>
    </w:lvl>
    <w:lvl w:ilvl="2" w:tplc="040C0005">
      <w:start w:val="1"/>
      <w:numFmt w:val="bullet"/>
      <w:lvlText w:val=""/>
      <w:lvlJc w:val="left"/>
      <w:pPr>
        <w:ind w:hanging="360" w:left="2215"/>
      </w:pPr>
      <w:rPr>
        <w:rFonts w:ascii="Wingdings" w:hAnsi="Wingdings" w:hint="default"/>
      </w:rPr>
    </w:lvl>
    <w:lvl w:ilvl="3" w:tplc="040C0001">
      <w:start w:val="1"/>
      <w:numFmt w:val="bullet"/>
      <w:lvlText w:val=""/>
      <w:lvlJc w:val="left"/>
      <w:pPr>
        <w:ind w:hanging="360" w:left="2935"/>
      </w:pPr>
      <w:rPr>
        <w:rFonts w:ascii="Symbol" w:hAnsi="Symbol" w:hint="default"/>
      </w:rPr>
    </w:lvl>
    <w:lvl w:ilvl="4" w:tplc="040C0003">
      <w:start w:val="1"/>
      <w:numFmt w:val="bullet"/>
      <w:lvlText w:val="o"/>
      <w:lvlJc w:val="left"/>
      <w:pPr>
        <w:ind w:hanging="360" w:left="3655"/>
      </w:pPr>
      <w:rPr>
        <w:rFonts w:ascii="Courier New" w:cs="Courier New" w:hAnsi="Courier New" w:hint="default"/>
      </w:rPr>
    </w:lvl>
    <w:lvl w:ilvl="5" w:tplc="040C0005">
      <w:start w:val="1"/>
      <w:numFmt w:val="bullet"/>
      <w:lvlText w:val=""/>
      <w:lvlJc w:val="left"/>
      <w:pPr>
        <w:ind w:hanging="360" w:left="4375"/>
      </w:pPr>
      <w:rPr>
        <w:rFonts w:ascii="Wingdings" w:hAnsi="Wingdings" w:hint="default"/>
      </w:rPr>
    </w:lvl>
    <w:lvl w:ilvl="6" w:tplc="040C0001">
      <w:start w:val="1"/>
      <w:numFmt w:val="bullet"/>
      <w:lvlText w:val=""/>
      <w:lvlJc w:val="left"/>
      <w:pPr>
        <w:ind w:hanging="360" w:left="5095"/>
      </w:pPr>
      <w:rPr>
        <w:rFonts w:ascii="Symbol" w:hAnsi="Symbol" w:hint="default"/>
      </w:rPr>
    </w:lvl>
    <w:lvl w:ilvl="7" w:tplc="040C0003">
      <w:start w:val="1"/>
      <w:numFmt w:val="bullet"/>
      <w:lvlText w:val="o"/>
      <w:lvlJc w:val="left"/>
      <w:pPr>
        <w:ind w:hanging="360" w:left="5815"/>
      </w:pPr>
      <w:rPr>
        <w:rFonts w:ascii="Courier New" w:cs="Courier New" w:hAnsi="Courier New" w:hint="default"/>
      </w:rPr>
    </w:lvl>
    <w:lvl w:ilvl="8" w:tplc="040C0005">
      <w:start w:val="1"/>
      <w:numFmt w:val="bullet"/>
      <w:lvlText w:val=""/>
      <w:lvlJc w:val="left"/>
      <w:pPr>
        <w:ind w:hanging="360" w:left="6535"/>
      </w:pPr>
      <w:rPr>
        <w:rFonts w:ascii="Wingdings" w:hAnsi="Wingdings" w:hint="default"/>
      </w:rPr>
    </w:lvl>
  </w:abstractNum>
  <w:abstractNum w15:restartNumberingAfterBreak="0" w:abstractNumId="17">
    <w:nsid w:val="35275068"/>
    <w:multiLevelType w:val="multilevel"/>
    <w:tmpl w:val="E32CC2AC"/>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8">
    <w:nsid w:val="3F446606"/>
    <w:multiLevelType w:val="hybridMultilevel"/>
    <w:tmpl w:val="2A1E3E52"/>
    <w:lvl w:ilvl="0" w:tplc="280C0001">
      <w:start w:val="1"/>
      <w:numFmt w:val="bullet"/>
      <w:lvlText w:val=""/>
      <w:lvlJc w:val="left"/>
      <w:pPr>
        <w:ind w:hanging="360" w:left="772"/>
      </w:pPr>
      <w:rPr>
        <w:rFonts w:ascii="Symbol" w:hAnsi="Symbol" w:hint="default"/>
      </w:rPr>
    </w:lvl>
    <w:lvl w:ilvl="1" w:tentative="1" w:tplc="280C0003">
      <w:start w:val="1"/>
      <w:numFmt w:val="bullet"/>
      <w:lvlText w:val="o"/>
      <w:lvlJc w:val="left"/>
      <w:pPr>
        <w:ind w:hanging="360" w:left="1492"/>
      </w:pPr>
      <w:rPr>
        <w:rFonts w:ascii="Courier New" w:cs="Courier New" w:hAnsi="Courier New" w:hint="default"/>
      </w:rPr>
    </w:lvl>
    <w:lvl w:ilvl="2" w:tentative="1" w:tplc="280C0005">
      <w:start w:val="1"/>
      <w:numFmt w:val="bullet"/>
      <w:lvlText w:val=""/>
      <w:lvlJc w:val="left"/>
      <w:pPr>
        <w:ind w:hanging="360" w:left="2212"/>
      </w:pPr>
      <w:rPr>
        <w:rFonts w:ascii="Wingdings" w:hAnsi="Wingdings" w:hint="default"/>
      </w:rPr>
    </w:lvl>
    <w:lvl w:ilvl="3" w:tentative="1" w:tplc="280C0001">
      <w:start w:val="1"/>
      <w:numFmt w:val="bullet"/>
      <w:lvlText w:val=""/>
      <w:lvlJc w:val="left"/>
      <w:pPr>
        <w:ind w:hanging="360" w:left="2932"/>
      </w:pPr>
      <w:rPr>
        <w:rFonts w:ascii="Symbol" w:hAnsi="Symbol" w:hint="default"/>
      </w:rPr>
    </w:lvl>
    <w:lvl w:ilvl="4" w:tentative="1" w:tplc="280C0003">
      <w:start w:val="1"/>
      <w:numFmt w:val="bullet"/>
      <w:lvlText w:val="o"/>
      <w:lvlJc w:val="left"/>
      <w:pPr>
        <w:ind w:hanging="360" w:left="3652"/>
      </w:pPr>
      <w:rPr>
        <w:rFonts w:ascii="Courier New" w:cs="Courier New" w:hAnsi="Courier New" w:hint="default"/>
      </w:rPr>
    </w:lvl>
    <w:lvl w:ilvl="5" w:tentative="1" w:tplc="280C0005">
      <w:start w:val="1"/>
      <w:numFmt w:val="bullet"/>
      <w:lvlText w:val=""/>
      <w:lvlJc w:val="left"/>
      <w:pPr>
        <w:ind w:hanging="360" w:left="4372"/>
      </w:pPr>
      <w:rPr>
        <w:rFonts w:ascii="Wingdings" w:hAnsi="Wingdings" w:hint="default"/>
      </w:rPr>
    </w:lvl>
    <w:lvl w:ilvl="6" w:tentative="1" w:tplc="280C0001">
      <w:start w:val="1"/>
      <w:numFmt w:val="bullet"/>
      <w:lvlText w:val=""/>
      <w:lvlJc w:val="left"/>
      <w:pPr>
        <w:ind w:hanging="360" w:left="5092"/>
      </w:pPr>
      <w:rPr>
        <w:rFonts w:ascii="Symbol" w:hAnsi="Symbol" w:hint="default"/>
      </w:rPr>
    </w:lvl>
    <w:lvl w:ilvl="7" w:tentative="1" w:tplc="280C0003">
      <w:start w:val="1"/>
      <w:numFmt w:val="bullet"/>
      <w:lvlText w:val="o"/>
      <w:lvlJc w:val="left"/>
      <w:pPr>
        <w:ind w:hanging="360" w:left="5812"/>
      </w:pPr>
      <w:rPr>
        <w:rFonts w:ascii="Courier New" w:cs="Courier New" w:hAnsi="Courier New" w:hint="default"/>
      </w:rPr>
    </w:lvl>
    <w:lvl w:ilvl="8" w:tentative="1" w:tplc="280C0005">
      <w:start w:val="1"/>
      <w:numFmt w:val="bullet"/>
      <w:lvlText w:val=""/>
      <w:lvlJc w:val="left"/>
      <w:pPr>
        <w:ind w:hanging="360" w:left="6532"/>
      </w:pPr>
      <w:rPr>
        <w:rFonts w:ascii="Wingdings" w:hAnsi="Wingdings" w:hint="default"/>
      </w:rPr>
    </w:lvl>
  </w:abstractNum>
  <w:abstractNum w15:restartNumberingAfterBreak="0" w:abstractNumId="19">
    <w:nsid w:val="47ED03A5"/>
    <w:multiLevelType w:val="multilevel"/>
    <w:tmpl w:val="F1A03B08"/>
    <w:lvl w:ilvl="0">
      <w:start w:val="3"/>
      <w:numFmt w:val="decimal"/>
      <w:lvlText w:val="%1"/>
      <w:lvlJc w:val="left"/>
      <w:pPr>
        <w:ind w:hanging="360" w:left="360"/>
      </w:pPr>
      <w:rPr>
        <w:rFonts w:hint="default"/>
      </w:rPr>
    </w:lvl>
    <w:lvl w:ilvl="1">
      <w:start w:val="1"/>
      <w:numFmt w:val="decimal"/>
      <w:pStyle w:val="Titre3"/>
      <w:lvlText w:val="%1.%2"/>
      <w:lvlJc w:val="left"/>
      <w:pPr>
        <w:ind w:hanging="360" w:left="108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800" w:left="6840"/>
      </w:pPr>
      <w:rPr>
        <w:rFonts w:hint="default"/>
      </w:rPr>
    </w:lvl>
    <w:lvl w:ilvl="8">
      <w:start w:val="1"/>
      <w:numFmt w:val="decimal"/>
      <w:lvlText w:val="%1.%2.%3.%4.%5.%6.%7.%8.%9"/>
      <w:lvlJc w:val="left"/>
      <w:pPr>
        <w:ind w:hanging="2160" w:left="7920"/>
      </w:pPr>
      <w:rPr>
        <w:rFonts w:hint="default"/>
      </w:rPr>
    </w:lvl>
  </w:abstractNum>
  <w:abstractNum w15:restartNumberingAfterBreak="0" w:abstractNumId="20">
    <w:nsid w:val="4D0030E9"/>
    <w:multiLevelType w:val="hybridMultilevel"/>
    <w:tmpl w:val="4AFAE4FA"/>
    <w:lvl w:ilvl="0" w:tplc="280C0001">
      <w:start w:val="1"/>
      <w:numFmt w:val="bullet"/>
      <w:lvlText w:val=""/>
      <w:lvlJc w:val="left"/>
      <w:pPr>
        <w:ind w:hanging="360" w:left="778"/>
      </w:pPr>
      <w:rPr>
        <w:rFonts w:ascii="Symbol" w:hAnsi="Symbol" w:hint="default"/>
      </w:rPr>
    </w:lvl>
    <w:lvl w:ilvl="1" w:tentative="1" w:tplc="280C0003">
      <w:start w:val="1"/>
      <w:numFmt w:val="bullet"/>
      <w:lvlText w:val="o"/>
      <w:lvlJc w:val="left"/>
      <w:pPr>
        <w:ind w:hanging="360" w:left="1498"/>
      </w:pPr>
      <w:rPr>
        <w:rFonts w:ascii="Courier New" w:cs="Courier New" w:hAnsi="Courier New" w:hint="default"/>
      </w:rPr>
    </w:lvl>
    <w:lvl w:ilvl="2" w:tentative="1" w:tplc="280C0005">
      <w:start w:val="1"/>
      <w:numFmt w:val="bullet"/>
      <w:lvlText w:val=""/>
      <w:lvlJc w:val="left"/>
      <w:pPr>
        <w:ind w:hanging="360" w:left="2218"/>
      </w:pPr>
      <w:rPr>
        <w:rFonts w:ascii="Wingdings" w:hAnsi="Wingdings" w:hint="default"/>
      </w:rPr>
    </w:lvl>
    <w:lvl w:ilvl="3" w:tentative="1" w:tplc="280C0001">
      <w:start w:val="1"/>
      <w:numFmt w:val="bullet"/>
      <w:lvlText w:val=""/>
      <w:lvlJc w:val="left"/>
      <w:pPr>
        <w:ind w:hanging="360" w:left="2938"/>
      </w:pPr>
      <w:rPr>
        <w:rFonts w:ascii="Symbol" w:hAnsi="Symbol" w:hint="default"/>
      </w:rPr>
    </w:lvl>
    <w:lvl w:ilvl="4" w:tentative="1" w:tplc="280C0003">
      <w:start w:val="1"/>
      <w:numFmt w:val="bullet"/>
      <w:lvlText w:val="o"/>
      <w:lvlJc w:val="left"/>
      <w:pPr>
        <w:ind w:hanging="360" w:left="3658"/>
      </w:pPr>
      <w:rPr>
        <w:rFonts w:ascii="Courier New" w:cs="Courier New" w:hAnsi="Courier New" w:hint="default"/>
      </w:rPr>
    </w:lvl>
    <w:lvl w:ilvl="5" w:tentative="1" w:tplc="280C0005">
      <w:start w:val="1"/>
      <w:numFmt w:val="bullet"/>
      <w:lvlText w:val=""/>
      <w:lvlJc w:val="left"/>
      <w:pPr>
        <w:ind w:hanging="360" w:left="4378"/>
      </w:pPr>
      <w:rPr>
        <w:rFonts w:ascii="Wingdings" w:hAnsi="Wingdings" w:hint="default"/>
      </w:rPr>
    </w:lvl>
    <w:lvl w:ilvl="6" w:tentative="1" w:tplc="280C0001">
      <w:start w:val="1"/>
      <w:numFmt w:val="bullet"/>
      <w:lvlText w:val=""/>
      <w:lvlJc w:val="left"/>
      <w:pPr>
        <w:ind w:hanging="360" w:left="5098"/>
      </w:pPr>
      <w:rPr>
        <w:rFonts w:ascii="Symbol" w:hAnsi="Symbol" w:hint="default"/>
      </w:rPr>
    </w:lvl>
    <w:lvl w:ilvl="7" w:tentative="1" w:tplc="280C0003">
      <w:start w:val="1"/>
      <w:numFmt w:val="bullet"/>
      <w:lvlText w:val="o"/>
      <w:lvlJc w:val="left"/>
      <w:pPr>
        <w:ind w:hanging="360" w:left="5818"/>
      </w:pPr>
      <w:rPr>
        <w:rFonts w:ascii="Courier New" w:cs="Courier New" w:hAnsi="Courier New" w:hint="default"/>
      </w:rPr>
    </w:lvl>
    <w:lvl w:ilvl="8" w:tentative="1" w:tplc="280C0005">
      <w:start w:val="1"/>
      <w:numFmt w:val="bullet"/>
      <w:lvlText w:val=""/>
      <w:lvlJc w:val="left"/>
      <w:pPr>
        <w:ind w:hanging="360" w:left="6538"/>
      </w:pPr>
      <w:rPr>
        <w:rFonts w:ascii="Wingdings" w:hAnsi="Wingdings" w:hint="default"/>
      </w:rPr>
    </w:lvl>
  </w:abstractNum>
  <w:abstractNum w15:restartNumberingAfterBreak="0" w:abstractNumId="21">
    <w:nsid w:val="4DFC0D72"/>
    <w:multiLevelType w:val="hybridMultilevel"/>
    <w:tmpl w:val="E91C5894"/>
    <w:lvl w:ilvl="0" w:tplc="DEF643D6">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2">
    <w:nsid w:val="5277698F"/>
    <w:multiLevelType w:val="hybridMultilevel"/>
    <w:tmpl w:val="07D863DC"/>
    <w:lvl w:ilvl="0" w:tplc="41801540">
      <w:start w:val="1"/>
      <w:numFmt w:val="bullet"/>
      <w:lvlText w:val="•"/>
      <w:lvlJc w:val="left"/>
      <w:pPr>
        <w:ind w:hanging="360" w:left="720"/>
      </w:pPr>
      <w:rPr>
        <w:rFonts w:ascii="Arial" w:cs="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3">
    <w:nsid w:val="59DB75EB"/>
    <w:multiLevelType w:val="multilevel"/>
    <w:tmpl w:val="D72E84A8"/>
    <w:lvl w:ilvl="0">
      <w:start w:val="1"/>
      <w:numFmt w:val="none"/>
      <w:pStyle w:val="Titre1"/>
      <w:lvlText w:val=""/>
      <w:lvlJc w:val="left"/>
      <w:pPr>
        <w:ind w:hanging="432" w:left="432"/>
      </w:pPr>
      <w:rPr>
        <w:rFonts w:hint="default"/>
      </w:rPr>
    </w:lvl>
    <w:lvl w:ilvl="1">
      <w:start w:val="1"/>
      <w:numFmt w:val="decimal"/>
      <w:pStyle w:val="Titre2"/>
      <w:isLgl/>
      <w:lvlText w:val="%1%2."/>
      <w:lvlJc w:val="left"/>
      <w:pPr>
        <w:ind w:hanging="576" w:left="1853"/>
      </w:pPr>
      <w:rPr>
        <w:rFonts w:hint="default"/>
      </w:rPr>
    </w:lvl>
    <w:lvl w:ilvl="2">
      <w:start w:val="1"/>
      <w:numFmt w:val="decimal"/>
      <w:lvlText w:val="%2.%3%1."/>
      <w:lvlJc w:val="left"/>
      <w:pPr>
        <w:ind w:hanging="720" w:left="4690"/>
      </w:pPr>
      <w:rPr>
        <w:rFonts w:hint="default"/>
      </w:rPr>
    </w:lvl>
    <w:lvl w:ilvl="3">
      <w:start w:val="1"/>
      <w:numFmt w:val="none"/>
      <w:lvlText w:val="%2.%3.1."/>
      <w:lvlJc w:val="left"/>
      <w:pPr>
        <w:ind w:hanging="851" w:left="851"/>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4">
    <w:nsid w:val="5B36035C"/>
    <w:multiLevelType w:val="hybridMultilevel"/>
    <w:tmpl w:val="61D47034"/>
    <w:lvl w:ilvl="0" w:tplc="280C0009">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5">
    <w:nsid w:val="5C6B50E2"/>
    <w:multiLevelType w:val="hybridMultilevel"/>
    <w:tmpl w:val="EE70E678"/>
    <w:lvl w:ilvl="0" w:tplc="280C0001">
      <w:start w:val="1"/>
      <w:numFmt w:val="bullet"/>
      <w:lvlText w:val=""/>
      <w:lvlJc w:val="left"/>
      <w:pPr>
        <w:ind w:hanging="360" w:left="775"/>
      </w:pPr>
      <w:rPr>
        <w:rFonts w:ascii="Symbol" w:hAnsi="Symbol" w:hint="default"/>
      </w:rPr>
    </w:lvl>
    <w:lvl w:ilvl="1" w:tentative="1" w:tplc="280C0003">
      <w:start w:val="1"/>
      <w:numFmt w:val="bullet"/>
      <w:lvlText w:val="o"/>
      <w:lvlJc w:val="left"/>
      <w:pPr>
        <w:ind w:hanging="360" w:left="1495"/>
      </w:pPr>
      <w:rPr>
        <w:rFonts w:ascii="Courier New" w:cs="Courier New" w:hAnsi="Courier New" w:hint="default"/>
      </w:rPr>
    </w:lvl>
    <w:lvl w:ilvl="2" w:tentative="1" w:tplc="280C0005">
      <w:start w:val="1"/>
      <w:numFmt w:val="bullet"/>
      <w:lvlText w:val=""/>
      <w:lvlJc w:val="left"/>
      <w:pPr>
        <w:ind w:hanging="360" w:left="2215"/>
      </w:pPr>
      <w:rPr>
        <w:rFonts w:ascii="Wingdings" w:hAnsi="Wingdings" w:hint="default"/>
      </w:rPr>
    </w:lvl>
    <w:lvl w:ilvl="3" w:tentative="1" w:tplc="280C0001">
      <w:start w:val="1"/>
      <w:numFmt w:val="bullet"/>
      <w:lvlText w:val=""/>
      <w:lvlJc w:val="left"/>
      <w:pPr>
        <w:ind w:hanging="360" w:left="2935"/>
      </w:pPr>
      <w:rPr>
        <w:rFonts w:ascii="Symbol" w:hAnsi="Symbol" w:hint="default"/>
      </w:rPr>
    </w:lvl>
    <w:lvl w:ilvl="4" w:tentative="1" w:tplc="280C0003">
      <w:start w:val="1"/>
      <w:numFmt w:val="bullet"/>
      <w:lvlText w:val="o"/>
      <w:lvlJc w:val="left"/>
      <w:pPr>
        <w:ind w:hanging="360" w:left="3655"/>
      </w:pPr>
      <w:rPr>
        <w:rFonts w:ascii="Courier New" w:cs="Courier New" w:hAnsi="Courier New" w:hint="default"/>
      </w:rPr>
    </w:lvl>
    <w:lvl w:ilvl="5" w:tentative="1" w:tplc="280C0005">
      <w:start w:val="1"/>
      <w:numFmt w:val="bullet"/>
      <w:lvlText w:val=""/>
      <w:lvlJc w:val="left"/>
      <w:pPr>
        <w:ind w:hanging="360" w:left="4375"/>
      </w:pPr>
      <w:rPr>
        <w:rFonts w:ascii="Wingdings" w:hAnsi="Wingdings" w:hint="default"/>
      </w:rPr>
    </w:lvl>
    <w:lvl w:ilvl="6" w:tentative="1" w:tplc="280C0001">
      <w:start w:val="1"/>
      <w:numFmt w:val="bullet"/>
      <w:lvlText w:val=""/>
      <w:lvlJc w:val="left"/>
      <w:pPr>
        <w:ind w:hanging="360" w:left="5095"/>
      </w:pPr>
      <w:rPr>
        <w:rFonts w:ascii="Symbol" w:hAnsi="Symbol" w:hint="default"/>
      </w:rPr>
    </w:lvl>
    <w:lvl w:ilvl="7" w:tentative="1" w:tplc="280C0003">
      <w:start w:val="1"/>
      <w:numFmt w:val="bullet"/>
      <w:lvlText w:val="o"/>
      <w:lvlJc w:val="left"/>
      <w:pPr>
        <w:ind w:hanging="360" w:left="5815"/>
      </w:pPr>
      <w:rPr>
        <w:rFonts w:ascii="Courier New" w:cs="Courier New" w:hAnsi="Courier New" w:hint="default"/>
      </w:rPr>
    </w:lvl>
    <w:lvl w:ilvl="8" w:tentative="1" w:tplc="280C0005">
      <w:start w:val="1"/>
      <w:numFmt w:val="bullet"/>
      <w:lvlText w:val=""/>
      <w:lvlJc w:val="left"/>
      <w:pPr>
        <w:ind w:hanging="360" w:left="6535"/>
      </w:pPr>
      <w:rPr>
        <w:rFonts w:ascii="Wingdings" w:hAnsi="Wingdings" w:hint="default"/>
      </w:rPr>
    </w:lvl>
  </w:abstractNum>
  <w:abstractNum w15:restartNumberingAfterBreak="0" w:abstractNumId="26">
    <w:nsid w:val="6A4E7B89"/>
    <w:multiLevelType w:val="hybridMultilevel"/>
    <w:tmpl w:val="8EEA34A0"/>
    <w:lvl w:ilvl="0" w:tplc="280C0001">
      <w:start w:val="1"/>
      <w:numFmt w:val="bullet"/>
      <w:lvlText w:val=""/>
      <w:lvlJc w:val="left"/>
      <w:pPr>
        <w:ind w:hanging="360" w:left="720"/>
      </w:pPr>
      <w:rPr>
        <w:rFonts w:ascii="Symbol" w:hAnsi="Symbol" w:hint="default"/>
      </w:rPr>
    </w:lvl>
    <w:lvl w:ilvl="1" w:tentative="1" w:tplc="280C0003">
      <w:start w:val="1"/>
      <w:numFmt w:val="bullet"/>
      <w:lvlText w:val="o"/>
      <w:lvlJc w:val="left"/>
      <w:pPr>
        <w:ind w:hanging="360" w:left="1440"/>
      </w:pPr>
      <w:rPr>
        <w:rFonts w:ascii="Courier New" w:cs="Courier New" w:hAnsi="Courier New" w:hint="default"/>
      </w:rPr>
    </w:lvl>
    <w:lvl w:ilvl="2" w:tentative="1" w:tplc="280C0005">
      <w:start w:val="1"/>
      <w:numFmt w:val="bullet"/>
      <w:lvlText w:val=""/>
      <w:lvlJc w:val="left"/>
      <w:pPr>
        <w:ind w:hanging="360" w:left="2160"/>
      </w:pPr>
      <w:rPr>
        <w:rFonts w:ascii="Wingdings" w:hAnsi="Wingdings" w:hint="default"/>
      </w:rPr>
    </w:lvl>
    <w:lvl w:ilvl="3" w:tentative="1" w:tplc="280C0001">
      <w:start w:val="1"/>
      <w:numFmt w:val="bullet"/>
      <w:lvlText w:val=""/>
      <w:lvlJc w:val="left"/>
      <w:pPr>
        <w:ind w:hanging="360" w:left="2880"/>
      </w:pPr>
      <w:rPr>
        <w:rFonts w:ascii="Symbol" w:hAnsi="Symbol" w:hint="default"/>
      </w:rPr>
    </w:lvl>
    <w:lvl w:ilvl="4" w:tentative="1" w:tplc="280C0003">
      <w:start w:val="1"/>
      <w:numFmt w:val="bullet"/>
      <w:lvlText w:val="o"/>
      <w:lvlJc w:val="left"/>
      <w:pPr>
        <w:ind w:hanging="360" w:left="3600"/>
      </w:pPr>
      <w:rPr>
        <w:rFonts w:ascii="Courier New" w:cs="Courier New" w:hAnsi="Courier New" w:hint="default"/>
      </w:rPr>
    </w:lvl>
    <w:lvl w:ilvl="5" w:tentative="1" w:tplc="280C0005">
      <w:start w:val="1"/>
      <w:numFmt w:val="bullet"/>
      <w:lvlText w:val=""/>
      <w:lvlJc w:val="left"/>
      <w:pPr>
        <w:ind w:hanging="360" w:left="4320"/>
      </w:pPr>
      <w:rPr>
        <w:rFonts w:ascii="Wingdings" w:hAnsi="Wingdings" w:hint="default"/>
      </w:rPr>
    </w:lvl>
    <w:lvl w:ilvl="6" w:tentative="1" w:tplc="280C0001">
      <w:start w:val="1"/>
      <w:numFmt w:val="bullet"/>
      <w:lvlText w:val=""/>
      <w:lvlJc w:val="left"/>
      <w:pPr>
        <w:ind w:hanging="360" w:left="5040"/>
      </w:pPr>
      <w:rPr>
        <w:rFonts w:ascii="Symbol" w:hAnsi="Symbol" w:hint="default"/>
      </w:rPr>
    </w:lvl>
    <w:lvl w:ilvl="7" w:tentative="1" w:tplc="280C0003">
      <w:start w:val="1"/>
      <w:numFmt w:val="bullet"/>
      <w:lvlText w:val="o"/>
      <w:lvlJc w:val="left"/>
      <w:pPr>
        <w:ind w:hanging="360" w:left="5760"/>
      </w:pPr>
      <w:rPr>
        <w:rFonts w:ascii="Courier New" w:cs="Courier New" w:hAnsi="Courier New" w:hint="default"/>
      </w:rPr>
    </w:lvl>
    <w:lvl w:ilvl="8" w:tentative="1" w:tplc="280C0005">
      <w:start w:val="1"/>
      <w:numFmt w:val="bullet"/>
      <w:lvlText w:val=""/>
      <w:lvlJc w:val="left"/>
      <w:pPr>
        <w:ind w:hanging="360" w:left="6480"/>
      </w:pPr>
      <w:rPr>
        <w:rFonts w:ascii="Wingdings" w:hAnsi="Wingdings" w:hint="default"/>
      </w:rPr>
    </w:lvl>
  </w:abstractNum>
  <w:abstractNum w15:restartNumberingAfterBreak="0" w:abstractNumId="27">
    <w:nsid w:val="6BD357D4"/>
    <w:multiLevelType w:val="hybridMultilevel"/>
    <w:tmpl w:val="99863E6A"/>
    <w:lvl w:ilvl="0" w:tplc="280C0019">
      <w:start w:val="1"/>
      <w:numFmt w:val="lowerLetter"/>
      <w:lvlText w:val="%1."/>
      <w:lvlJc w:val="left"/>
      <w:pPr>
        <w:ind w:hanging="360" w:left="720"/>
      </w:pPr>
    </w:lvl>
    <w:lvl w:ilvl="1" w:tentative="1" w:tplc="280C0019">
      <w:start w:val="1"/>
      <w:numFmt w:val="lowerLetter"/>
      <w:lvlText w:val="%2."/>
      <w:lvlJc w:val="left"/>
      <w:pPr>
        <w:ind w:hanging="360" w:left="1440"/>
      </w:pPr>
    </w:lvl>
    <w:lvl w:ilvl="2" w:tentative="1" w:tplc="280C001B">
      <w:start w:val="1"/>
      <w:numFmt w:val="lowerRoman"/>
      <w:lvlText w:val="%3."/>
      <w:lvlJc w:val="right"/>
      <w:pPr>
        <w:ind w:hanging="180" w:left="2160"/>
      </w:pPr>
    </w:lvl>
    <w:lvl w:ilvl="3" w:tentative="1" w:tplc="280C000F">
      <w:start w:val="1"/>
      <w:numFmt w:val="decimal"/>
      <w:lvlText w:val="%4."/>
      <w:lvlJc w:val="left"/>
      <w:pPr>
        <w:ind w:hanging="360" w:left="2880"/>
      </w:pPr>
    </w:lvl>
    <w:lvl w:ilvl="4" w:tentative="1" w:tplc="280C0019">
      <w:start w:val="1"/>
      <w:numFmt w:val="lowerLetter"/>
      <w:lvlText w:val="%5."/>
      <w:lvlJc w:val="left"/>
      <w:pPr>
        <w:ind w:hanging="360" w:left="3600"/>
      </w:pPr>
    </w:lvl>
    <w:lvl w:ilvl="5" w:tentative="1" w:tplc="280C001B">
      <w:start w:val="1"/>
      <w:numFmt w:val="lowerRoman"/>
      <w:lvlText w:val="%6."/>
      <w:lvlJc w:val="right"/>
      <w:pPr>
        <w:ind w:hanging="180" w:left="4320"/>
      </w:pPr>
    </w:lvl>
    <w:lvl w:ilvl="6" w:tentative="1" w:tplc="280C000F">
      <w:start w:val="1"/>
      <w:numFmt w:val="decimal"/>
      <w:lvlText w:val="%7."/>
      <w:lvlJc w:val="left"/>
      <w:pPr>
        <w:ind w:hanging="360" w:left="5040"/>
      </w:pPr>
    </w:lvl>
    <w:lvl w:ilvl="7" w:tentative="1" w:tplc="280C0019">
      <w:start w:val="1"/>
      <w:numFmt w:val="lowerLetter"/>
      <w:lvlText w:val="%8."/>
      <w:lvlJc w:val="left"/>
      <w:pPr>
        <w:ind w:hanging="360" w:left="5760"/>
      </w:pPr>
    </w:lvl>
    <w:lvl w:ilvl="8" w:tentative="1" w:tplc="280C001B">
      <w:start w:val="1"/>
      <w:numFmt w:val="lowerRoman"/>
      <w:lvlText w:val="%9."/>
      <w:lvlJc w:val="right"/>
      <w:pPr>
        <w:ind w:hanging="180" w:left="6480"/>
      </w:pPr>
    </w:lvl>
  </w:abstractNum>
  <w:abstractNum w15:restartNumberingAfterBreak="0" w:abstractNumId="28">
    <w:nsid w:val="71977269"/>
    <w:multiLevelType w:val="multilevel"/>
    <w:tmpl w:val="F4A4D4B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1AA5DD5"/>
    <w:multiLevelType w:val="hybridMultilevel"/>
    <w:tmpl w:val="77EAE77C"/>
    <w:lvl w:ilvl="0" w:tplc="280C0001">
      <w:start w:val="1"/>
      <w:numFmt w:val="bullet"/>
      <w:lvlText w:val=""/>
      <w:lvlJc w:val="left"/>
      <w:pPr>
        <w:ind w:hanging="360" w:left="720"/>
      </w:pPr>
      <w:rPr>
        <w:rFonts w:ascii="Symbol" w:hAnsi="Symbol" w:hint="default"/>
      </w:rPr>
    </w:lvl>
    <w:lvl w:ilvl="1" w:tentative="1" w:tplc="280C0003">
      <w:start w:val="1"/>
      <w:numFmt w:val="bullet"/>
      <w:lvlText w:val="o"/>
      <w:lvlJc w:val="left"/>
      <w:pPr>
        <w:ind w:hanging="360" w:left="1440"/>
      </w:pPr>
      <w:rPr>
        <w:rFonts w:ascii="Courier New" w:cs="Courier New" w:hAnsi="Courier New" w:hint="default"/>
      </w:rPr>
    </w:lvl>
    <w:lvl w:ilvl="2" w:tentative="1" w:tplc="280C0005">
      <w:start w:val="1"/>
      <w:numFmt w:val="bullet"/>
      <w:lvlText w:val=""/>
      <w:lvlJc w:val="left"/>
      <w:pPr>
        <w:ind w:hanging="360" w:left="2160"/>
      </w:pPr>
      <w:rPr>
        <w:rFonts w:ascii="Wingdings" w:hAnsi="Wingdings" w:hint="default"/>
      </w:rPr>
    </w:lvl>
    <w:lvl w:ilvl="3" w:tentative="1" w:tplc="280C0001">
      <w:start w:val="1"/>
      <w:numFmt w:val="bullet"/>
      <w:lvlText w:val=""/>
      <w:lvlJc w:val="left"/>
      <w:pPr>
        <w:ind w:hanging="360" w:left="2880"/>
      </w:pPr>
      <w:rPr>
        <w:rFonts w:ascii="Symbol" w:hAnsi="Symbol" w:hint="default"/>
      </w:rPr>
    </w:lvl>
    <w:lvl w:ilvl="4" w:tentative="1" w:tplc="280C0003">
      <w:start w:val="1"/>
      <w:numFmt w:val="bullet"/>
      <w:lvlText w:val="o"/>
      <w:lvlJc w:val="left"/>
      <w:pPr>
        <w:ind w:hanging="360" w:left="3600"/>
      </w:pPr>
      <w:rPr>
        <w:rFonts w:ascii="Courier New" w:cs="Courier New" w:hAnsi="Courier New" w:hint="default"/>
      </w:rPr>
    </w:lvl>
    <w:lvl w:ilvl="5" w:tentative="1" w:tplc="280C0005">
      <w:start w:val="1"/>
      <w:numFmt w:val="bullet"/>
      <w:lvlText w:val=""/>
      <w:lvlJc w:val="left"/>
      <w:pPr>
        <w:ind w:hanging="360" w:left="4320"/>
      </w:pPr>
      <w:rPr>
        <w:rFonts w:ascii="Wingdings" w:hAnsi="Wingdings" w:hint="default"/>
      </w:rPr>
    </w:lvl>
    <w:lvl w:ilvl="6" w:tentative="1" w:tplc="280C0001">
      <w:start w:val="1"/>
      <w:numFmt w:val="bullet"/>
      <w:lvlText w:val=""/>
      <w:lvlJc w:val="left"/>
      <w:pPr>
        <w:ind w:hanging="360" w:left="5040"/>
      </w:pPr>
      <w:rPr>
        <w:rFonts w:ascii="Symbol" w:hAnsi="Symbol" w:hint="default"/>
      </w:rPr>
    </w:lvl>
    <w:lvl w:ilvl="7" w:tentative="1" w:tplc="280C0003">
      <w:start w:val="1"/>
      <w:numFmt w:val="bullet"/>
      <w:lvlText w:val="o"/>
      <w:lvlJc w:val="left"/>
      <w:pPr>
        <w:ind w:hanging="360" w:left="5760"/>
      </w:pPr>
      <w:rPr>
        <w:rFonts w:ascii="Courier New" w:cs="Courier New" w:hAnsi="Courier New" w:hint="default"/>
      </w:rPr>
    </w:lvl>
    <w:lvl w:ilvl="8" w:tentative="1" w:tplc="280C0005">
      <w:start w:val="1"/>
      <w:numFmt w:val="bullet"/>
      <w:lvlText w:val=""/>
      <w:lvlJc w:val="left"/>
      <w:pPr>
        <w:ind w:hanging="360" w:left="6480"/>
      </w:pPr>
      <w:rPr>
        <w:rFonts w:ascii="Wingdings" w:hAnsi="Wingdings" w:hint="default"/>
      </w:rPr>
    </w:lvl>
  </w:abstractNum>
  <w:abstractNum w15:restartNumberingAfterBreak="0" w:abstractNumId="30">
    <w:nsid w:val="7B7F17C0"/>
    <w:multiLevelType w:val="hybridMultilevel"/>
    <w:tmpl w:val="B1F458E0"/>
    <w:lvl w:ilvl="0" w:tplc="41801540">
      <w:start w:val="1"/>
      <w:numFmt w:val="bullet"/>
      <w:lvlText w:val="•"/>
      <w:lvlJc w:val="left"/>
      <w:pPr>
        <w:ind w:hanging="360" w:left="720"/>
      </w:pPr>
      <w:rPr>
        <w:rFonts w:ascii="Arial" w:cs="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1">
    <w:nsid w:val="7CE372DE"/>
    <w:multiLevelType w:val="hybridMultilevel"/>
    <w:tmpl w:val="C83C207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2">
    <w:nsid w:val="7CEA6250"/>
    <w:multiLevelType w:val="hybridMultilevel"/>
    <w:tmpl w:val="E75669CA"/>
    <w:lvl w:ilvl="0" w:tplc="280C0001">
      <w:start w:val="1"/>
      <w:numFmt w:val="bullet"/>
      <w:lvlText w:val=""/>
      <w:lvlJc w:val="left"/>
      <w:pPr>
        <w:ind w:hanging="360" w:left="720"/>
      </w:pPr>
      <w:rPr>
        <w:rFonts w:ascii="Symbol" w:hAnsi="Symbol" w:hint="default"/>
      </w:rPr>
    </w:lvl>
    <w:lvl w:ilvl="1" w:tentative="1" w:tplc="280C0003">
      <w:start w:val="1"/>
      <w:numFmt w:val="bullet"/>
      <w:lvlText w:val="o"/>
      <w:lvlJc w:val="left"/>
      <w:pPr>
        <w:ind w:hanging="360" w:left="1440"/>
      </w:pPr>
      <w:rPr>
        <w:rFonts w:ascii="Courier New" w:cs="Courier New" w:hAnsi="Courier New" w:hint="default"/>
      </w:rPr>
    </w:lvl>
    <w:lvl w:ilvl="2" w:tentative="1" w:tplc="280C0005">
      <w:start w:val="1"/>
      <w:numFmt w:val="bullet"/>
      <w:lvlText w:val=""/>
      <w:lvlJc w:val="left"/>
      <w:pPr>
        <w:ind w:hanging="360" w:left="2160"/>
      </w:pPr>
      <w:rPr>
        <w:rFonts w:ascii="Wingdings" w:hAnsi="Wingdings" w:hint="default"/>
      </w:rPr>
    </w:lvl>
    <w:lvl w:ilvl="3" w:tentative="1" w:tplc="280C0001">
      <w:start w:val="1"/>
      <w:numFmt w:val="bullet"/>
      <w:lvlText w:val=""/>
      <w:lvlJc w:val="left"/>
      <w:pPr>
        <w:ind w:hanging="360" w:left="2880"/>
      </w:pPr>
      <w:rPr>
        <w:rFonts w:ascii="Symbol" w:hAnsi="Symbol" w:hint="default"/>
      </w:rPr>
    </w:lvl>
    <w:lvl w:ilvl="4" w:tentative="1" w:tplc="280C0003">
      <w:start w:val="1"/>
      <w:numFmt w:val="bullet"/>
      <w:lvlText w:val="o"/>
      <w:lvlJc w:val="left"/>
      <w:pPr>
        <w:ind w:hanging="360" w:left="3600"/>
      </w:pPr>
      <w:rPr>
        <w:rFonts w:ascii="Courier New" w:cs="Courier New" w:hAnsi="Courier New" w:hint="default"/>
      </w:rPr>
    </w:lvl>
    <w:lvl w:ilvl="5" w:tentative="1" w:tplc="280C0005">
      <w:start w:val="1"/>
      <w:numFmt w:val="bullet"/>
      <w:lvlText w:val=""/>
      <w:lvlJc w:val="left"/>
      <w:pPr>
        <w:ind w:hanging="360" w:left="4320"/>
      </w:pPr>
      <w:rPr>
        <w:rFonts w:ascii="Wingdings" w:hAnsi="Wingdings" w:hint="default"/>
      </w:rPr>
    </w:lvl>
    <w:lvl w:ilvl="6" w:tentative="1" w:tplc="280C0001">
      <w:start w:val="1"/>
      <w:numFmt w:val="bullet"/>
      <w:lvlText w:val=""/>
      <w:lvlJc w:val="left"/>
      <w:pPr>
        <w:ind w:hanging="360" w:left="5040"/>
      </w:pPr>
      <w:rPr>
        <w:rFonts w:ascii="Symbol" w:hAnsi="Symbol" w:hint="default"/>
      </w:rPr>
    </w:lvl>
    <w:lvl w:ilvl="7" w:tentative="1" w:tplc="280C0003">
      <w:start w:val="1"/>
      <w:numFmt w:val="bullet"/>
      <w:lvlText w:val="o"/>
      <w:lvlJc w:val="left"/>
      <w:pPr>
        <w:ind w:hanging="360" w:left="5760"/>
      </w:pPr>
      <w:rPr>
        <w:rFonts w:ascii="Courier New" w:cs="Courier New" w:hAnsi="Courier New" w:hint="default"/>
      </w:rPr>
    </w:lvl>
    <w:lvl w:ilvl="8" w:tentative="1" w:tplc="28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141845282" w:numId="1">
    <w:abstractNumId w:val="5"/>
  </w:num>
  <w:num w16cid:durableId="383262957" w:numId="2">
    <w:abstractNumId w:val="3"/>
  </w:num>
  <w:num w16cid:durableId="1006516068" w:numId="3">
    <w:abstractNumId w:val="2"/>
  </w:num>
  <w:num w16cid:durableId="980502190" w:numId="4">
    <w:abstractNumId w:val="4"/>
  </w:num>
  <w:num w16cid:durableId="1313631394" w:numId="5">
    <w:abstractNumId w:val="1"/>
  </w:num>
  <w:num w16cid:durableId="391345068" w:numId="6">
    <w:abstractNumId w:val="0"/>
  </w:num>
  <w:num w16cid:durableId="2044165720" w:numId="7">
    <w:abstractNumId w:val="31"/>
  </w:num>
  <w:num w16cid:durableId="1446192710" w:numId="8">
    <w:abstractNumId w:val="13"/>
  </w:num>
  <w:num w16cid:durableId="1494645878" w:numId="9">
    <w:abstractNumId w:val="22"/>
  </w:num>
  <w:num w16cid:durableId="18360084" w:numId="10">
    <w:abstractNumId w:val="24"/>
  </w:num>
  <w:num w16cid:durableId="1792747611" w:numId="11">
    <w:abstractNumId w:val="16"/>
  </w:num>
  <w:num w16cid:durableId="607470228" w:numId="12">
    <w:abstractNumId w:val="21"/>
  </w:num>
  <w:num w16cid:durableId="985544884" w:numId="13">
    <w:abstractNumId w:val="9"/>
  </w:num>
  <w:num w16cid:durableId="897131110" w:numId="14">
    <w:abstractNumId w:val="12"/>
  </w:num>
  <w:num w16cid:durableId="21129916" w:numId="15">
    <w:abstractNumId w:val="7"/>
  </w:num>
  <w:num w16cid:durableId="1084644738" w:numId="16">
    <w:abstractNumId w:val="30"/>
  </w:num>
  <w:num w16cid:durableId="1000111715" w:numId="17">
    <w:abstractNumId w:val="11"/>
  </w:num>
  <w:num w16cid:durableId="951321438" w:numId="18">
    <w:abstractNumId w:val="17"/>
  </w:num>
  <w:num w16cid:durableId="692343100" w:numId="19">
    <w:abstractNumId w:val="28"/>
  </w:num>
  <w:num w16cid:durableId="81728394" w:numId="20">
    <w:abstractNumId w:val="27"/>
  </w:num>
  <w:num w16cid:durableId="166330836" w:numId="21">
    <w:abstractNumId w:val="18"/>
  </w:num>
  <w:num w16cid:durableId="728964410" w:numId="22">
    <w:abstractNumId w:val="29"/>
  </w:num>
  <w:num w16cid:durableId="1396396848" w:numId="23">
    <w:abstractNumId w:val="14"/>
  </w:num>
  <w:num w16cid:durableId="2030328740" w:numId="24">
    <w:abstractNumId w:val="26"/>
  </w:num>
  <w:num w16cid:durableId="2003195147" w:numId="25">
    <w:abstractNumId w:val="25"/>
  </w:num>
  <w:num w16cid:durableId="1743680994" w:numId="26">
    <w:abstractNumId w:val="15"/>
  </w:num>
  <w:num w16cid:durableId="171842920" w:numId="27">
    <w:abstractNumId w:val="20"/>
  </w:num>
  <w:num w16cid:durableId="42991781" w:numId="28">
    <w:abstractNumId w:val="6"/>
  </w:num>
  <w:num w16cid:durableId="1669481044" w:numId="29">
    <w:abstractNumId w:val="23"/>
  </w:num>
  <w:num w16cid:durableId="1706173395" w:numId="30">
    <w:abstractNumId w:val="8"/>
  </w:num>
  <w:num w16cid:durableId="30808508" w:numId="31">
    <w:abstractNumId w:val="19"/>
  </w:num>
  <w:num w16cid:durableId="73866121" w:numId="32">
    <w:abstractNumId w:val="10"/>
  </w:num>
  <w:num w16cid:durableId="295263227" w:numId="33">
    <w:abstractNumId w:val="3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w="http://schemas.openxmlformats.org/wordprocessingml/2006/main">
  <w:zoom w:percent="115"/>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2" w:uiPriority="42"/>
    <w:lsdException w:name="Plain Table 4" w:uiPriority="44"/>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4299F"/>
    <w:pPr>
      <w:spacing w:after="160" w:line="360" w:lineRule="auto"/>
      <w:jc w:val="both"/>
    </w:pPr>
    <w:rPr>
      <w:rFonts w:ascii="Times New Roman" w:eastAsiaTheme="minorHAnsi" w:hAnsi="Times New Roman"/>
      <w:kern w:val="2"/>
      <w:sz w:val="24"/>
      <w:lang w:val="fr-FR"/>
      <w14:ligatures w14:val="standardContextual"/>
    </w:rPr>
  </w:style>
  <w:style w:styleId="Titre1" w:type="paragraph">
    <w:name w:val="heading 1"/>
    <w:basedOn w:val="Normal"/>
    <w:next w:val="Normal"/>
    <w:link w:val="Titre1Car"/>
    <w:uiPriority w:val="9"/>
    <w:qFormat/>
    <w:rsid w:val="00054903"/>
    <w:pPr>
      <w:keepNext/>
      <w:keepLines/>
      <w:numPr>
        <w:numId w:val="29"/>
      </w:numPr>
      <w:pBdr>
        <w:top w:color="548DD4" w:space="5" w:sz="36" w:themeColor="text2" w:themeTint="99" w:val="single"/>
        <w:bottom w:color="548DD4" w:space="5" w:sz="8" w:themeColor="text2" w:themeTint="99" w:val="single"/>
      </w:pBdr>
      <w:spacing w:after="120" w:before="240"/>
      <w:jc w:val="center"/>
      <w:outlineLvl w:val="0"/>
    </w:pPr>
    <w:rPr>
      <w:rFonts w:ascii="Constantia" w:cstheme="majorBidi" w:eastAsiaTheme="majorEastAsia" w:hAnsi="Constantia"/>
      <w:b/>
      <w:color w:themeColor="accent1" w:val="4F81BD"/>
      <w:sz w:val="40"/>
      <w:szCs w:val="32"/>
    </w:rPr>
  </w:style>
  <w:style w:styleId="Titre2" w:type="paragraph">
    <w:name w:val="heading 2"/>
    <w:basedOn w:val="Normal"/>
    <w:next w:val="Normal"/>
    <w:link w:val="Titre2Car"/>
    <w:uiPriority w:val="9"/>
    <w:unhideWhenUsed/>
    <w:qFormat/>
    <w:rsid w:val="00D60FD8"/>
    <w:pPr>
      <w:keepNext/>
      <w:keepLines/>
      <w:numPr>
        <w:ilvl w:val="1"/>
        <w:numId w:val="29"/>
      </w:numPr>
      <w:spacing w:after="0" w:before="40"/>
      <w:ind w:left="576"/>
      <w:outlineLvl w:val="1"/>
    </w:pPr>
    <w:rPr>
      <w:rFonts w:cstheme="majorBidi" w:eastAsiaTheme="majorEastAsia"/>
      <w:b/>
      <w:color w:themeColor="text1" w:val="000000"/>
      <w:sz w:val="32"/>
      <w:szCs w:val="26"/>
    </w:rPr>
  </w:style>
  <w:style w:styleId="Titre3" w:type="paragraph">
    <w:name w:val="heading 3"/>
    <w:basedOn w:val="Normal"/>
    <w:next w:val="Normal"/>
    <w:link w:val="Titre3Car"/>
    <w:uiPriority w:val="9"/>
    <w:unhideWhenUsed/>
    <w:qFormat/>
    <w:rsid w:val="0003278A"/>
    <w:pPr>
      <w:keepNext/>
      <w:keepLines/>
      <w:numPr>
        <w:ilvl w:val="1"/>
        <w:numId w:val="31"/>
      </w:numPr>
      <w:spacing w:after="0" w:before="40"/>
      <w:outlineLvl w:val="2"/>
    </w:pPr>
    <w:rPr>
      <w:rFonts w:cstheme="majorBidi" w:eastAsiaTheme="majorEastAsia"/>
      <w:b/>
      <w:sz w:val="28"/>
      <w:szCs w:val="24"/>
    </w:rPr>
  </w:style>
  <w:style w:styleId="Titre4" w:type="paragraph">
    <w:name w:val="heading 4"/>
    <w:next w:val="Normal"/>
    <w:link w:val="Titre4Car"/>
    <w:autoRedefine/>
    <w:uiPriority w:val="9"/>
    <w:unhideWhenUsed/>
    <w:qFormat/>
    <w:rsid w:val="00623CA0"/>
    <w:pPr>
      <w:keepNext/>
      <w:keepLines/>
      <w:spacing w:after="120" w:before="40" w:line="259" w:lineRule="auto"/>
      <w:jc w:val="both"/>
      <w:outlineLvl w:val="3"/>
    </w:pPr>
    <w:rPr>
      <w:rFonts w:ascii="Constantia" w:cstheme="majorBidi" w:eastAsiaTheme="majorEastAsia" w:hAnsi="Constantia"/>
      <w:b/>
      <w:iCs/>
      <w:color w:val="00B0F0"/>
      <w:kern w:val="2"/>
      <w:sz w:val="28"/>
      <w:szCs w:val="26"/>
      <w:lang w:val="fr-FR"/>
      <w14:ligatures w14:val="standardContextual"/>
    </w:rPr>
  </w:style>
  <w:style w:styleId="Titre5" w:type="paragraph">
    <w:name w:val="heading 5"/>
    <w:basedOn w:val="Normal"/>
    <w:next w:val="Normal"/>
    <w:link w:val="Titre5Car"/>
    <w:uiPriority w:val="9"/>
    <w:semiHidden/>
    <w:unhideWhenUsed/>
    <w:qFormat/>
    <w:rsid w:val="00623CA0"/>
    <w:pPr>
      <w:keepNext/>
      <w:keepLines/>
      <w:spacing w:after="0" w:before="40"/>
      <w:outlineLvl w:val="4"/>
    </w:pPr>
    <w:rPr>
      <w:rFonts w:asciiTheme="majorHAnsi" w:cstheme="majorBidi" w:eastAsiaTheme="majorEastAsia" w:hAnsiTheme="majorHAnsi"/>
      <w:color w:themeColor="accent1" w:themeShade="BF" w:val="365F91"/>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623CA0"/>
    <w:pPr>
      <w:tabs>
        <w:tab w:pos="4536" w:val="center"/>
        <w:tab w:pos="9072" w:val="right"/>
      </w:tabs>
      <w:spacing w:after="0" w:line="240" w:lineRule="auto"/>
    </w:pPr>
  </w:style>
  <w:style w:customStyle="1" w:styleId="En-tteCar" w:type="character">
    <w:name w:val="En-tête Car"/>
    <w:basedOn w:val="Policepardfaut"/>
    <w:link w:val="En-tte"/>
    <w:uiPriority w:val="99"/>
    <w:rsid w:val="00623CA0"/>
    <w:rPr>
      <w:rFonts w:ascii="Times New Roman" w:eastAsiaTheme="minorHAnsi" w:hAnsi="Times New Roman"/>
      <w:kern w:val="2"/>
      <w:sz w:val="24"/>
      <w:lang w:val="fr-FR"/>
      <w14:ligatures w14:val="standardContextual"/>
    </w:rPr>
  </w:style>
  <w:style w:styleId="Pieddepage" w:type="paragraph">
    <w:name w:val="footer"/>
    <w:basedOn w:val="Normal"/>
    <w:link w:val="PieddepageCar"/>
    <w:uiPriority w:val="99"/>
    <w:unhideWhenUsed/>
    <w:rsid w:val="00623CA0"/>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23CA0"/>
    <w:rPr>
      <w:rFonts w:ascii="Times New Roman" w:eastAsiaTheme="minorHAnsi" w:hAnsi="Times New Roman"/>
      <w:kern w:val="2"/>
      <w:sz w:val="24"/>
      <w:lang w:val="fr-FR"/>
      <w14:ligatures w14:val="standardContextual"/>
    </w:rPr>
  </w:style>
  <w:style w:styleId="Sansinterligne" w:type="paragraph">
    <w:name w:val="No Spacing"/>
    <w:link w:val="SansinterligneCar"/>
    <w:uiPriority w:val="1"/>
    <w:qFormat/>
    <w:rsid w:val="00623CA0"/>
    <w:pPr>
      <w:spacing w:after="0" w:line="240" w:lineRule="auto"/>
    </w:pPr>
    <w:rPr>
      <w:lang w:eastAsia="fr-FR" w:val="fr-FR"/>
      <w14:ligatures w14:val="standardContextual"/>
    </w:rPr>
  </w:style>
  <w:style w:customStyle="1" w:styleId="Titre1Car" w:type="character">
    <w:name w:val="Titre 1 Car"/>
    <w:basedOn w:val="Policepardfaut"/>
    <w:link w:val="Titre1"/>
    <w:uiPriority w:val="9"/>
    <w:rsid w:val="00054903"/>
    <w:rPr>
      <w:rFonts w:ascii="Constantia" w:cstheme="majorBidi" w:eastAsiaTheme="majorEastAsia" w:hAnsi="Constantia"/>
      <w:b/>
      <w:color w:themeColor="accent1" w:val="4F81BD"/>
      <w:kern w:val="2"/>
      <w:sz w:val="40"/>
      <w:szCs w:val="32"/>
      <w:lang w:val="fr-FR"/>
      <w14:ligatures w14:val="standardContextual"/>
    </w:rPr>
  </w:style>
  <w:style w:customStyle="1" w:styleId="Titre2Car" w:type="character">
    <w:name w:val="Titre 2 Car"/>
    <w:basedOn w:val="Policepardfaut"/>
    <w:link w:val="Titre2"/>
    <w:uiPriority w:val="9"/>
    <w:rsid w:val="00D60FD8"/>
    <w:rPr>
      <w:rFonts w:ascii="Times New Roman" w:cstheme="majorBidi" w:eastAsiaTheme="majorEastAsia" w:hAnsi="Times New Roman"/>
      <w:b/>
      <w:color w:themeColor="text1" w:val="000000"/>
      <w:kern w:val="2"/>
      <w:sz w:val="32"/>
      <w:szCs w:val="26"/>
      <w:lang w:val="fr-FR"/>
      <w14:ligatures w14:val="standardContextual"/>
    </w:rPr>
  </w:style>
  <w:style w:customStyle="1" w:styleId="Titre3Car" w:type="character">
    <w:name w:val="Titre 3 Car"/>
    <w:basedOn w:val="Policepardfaut"/>
    <w:link w:val="Titre3"/>
    <w:uiPriority w:val="9"/>
    <w:rsid w:val="0003278A"/>
    <w:rPr>
      <w:rFonts w:ascii="Times New Roman" w:cstheme="majorBidi" w:eastAsiaTheme="majorEastAsia" w:hAnsi="Times New Roman"/>
      <w:b/>
      <w:kern w:val="2"/>
      <w:sz w:val="28"/>
      <w:szCs w:val="24"/>
      <w:lang w:val="fr-FR"/>
      <w14:ligatures w14:val="standardContextual"/>
    </w:rPr>
  </w:style>
  <w:style w:styleId="Titre" w:type="paragraph">
    <w:name w:val="Title"/>
    <w:basedOn w:val="Normal"/>
    <w:next w:val="Normal"/>
    <w:link w:val="TitreC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reCar" w:type="character">
    <w:name w:val="Titre Car"/>
    <w:basedOn w:val="Policepardfaut"/>
    <w:link w:val="Titre"/>
    <w:uiPriority w:val="10"/>
    <w:rsid w:val="00FC693F"/>
    <w:rPr>
      <w:rFonts w:asciiTheme="majorHAnsi" w:cstheme="majorBidi" w:eastAsiaTheme="majorEastAsia" w:hAnsiTheme="majorHAnsi"/>
      <w:color w:themeColor="text2" w:themeShade="BF" w:val="17365D"/>
      <w:spacing w:val="5"/>
      <w:kern w:val="28"/>
      <w:sz w:val="52"/>
      <w:szCs w:val="52"/>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aliases w:val="Table/Figure Heading,Paragraphe de liste1,Bullets,References,Numbered List Paragraph,RM1,List Paragraph,Liste couleur - Accent 11,idées clés,Enumération flèches,List1,List Paragraph nowy,List Paragraph (numbered (a)),figure,Liste 1,R"/>
    <w:basedOn w:val="Normal"/>
    <w:link w:val="ParagraphedelisteCar"/>
    <w:uiPriority w:val="34"/>
    <w:qFormat/>
    <w:rsid w:val="00623CA0"/>
    <w:pPr>
      <w:spacing w:line="256" w:lineRule="auto"/>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4"/>
      </w:numPr>
      <w:contextualSpacing/>
    </w:pPr>
  </w:style>
  <w:style w:styleId="Listenumros2" w:type="paragraph">
    <w:name w:val="List Number 2"/>
    <w:basedOn w:val="Normal"/>
    <w:uiPriority w:val="99"/>
    <w:unhideWhenUsed/>
    <w:rsid w:val="0029639D"/>
    <w:pPr>
      <w:numPr>
        <w:numId w:val="5"/>
      </w:numPr>
      <w:contextualSpacing/>
    </w:pPr>
  </w:style>
  <w:style w:styleId="Listenumros3" w:type="paragraph">
    <w:name w:val="List Number 3"/>
    <w:basedOn w:val="Normal"/>
    <w:uiPriority w:val="99"/>
    <w:unhideWhenUsed/>
    <w:rsid w:val="0029639D"/>
    <w:pPr>
      <w:numPr>
        <w:numId w:val="6"/>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rsid w:val="00623CA0"/>
    <w:rPr>
      <w:rFonts w:ascii="Constantia" w:cstheme="majorBidi" w:eastAsiaTheme="majorEastAsia" w:hAnsi="Constantia"/>
      <w:b/>
      <w:iCs/>
      <w:color w:val="00B0F0"/>
      <w:kern w:val="2"/>
      <w:sz w:val="28"/>
      <w:szCs w:val="26"/>
      <w:lang w:val="fr-FR"/>
      <w14:ligatures w14:val="standardContextual"/>
    </w:rPr>
  </w:style>
  <w:style w:customStyle="1" w:styleId="Titre5Car" w:type="character">
    <w:name w:val="Titre 5 Car"/>
    <w:basedOn w:val="Policepardfaut"/>
    <w:link w:val="Titre5"/>
    <w:uiPriority w:val="9"/>
    <w:semiHidden/>
    <w:rsid w:val="00623CA0"/>
    <w:rPr>
      <w:rFonts w:asciiTheme="majorHAnsi" w:cstheme="majorBidi" w:eastAsiaTheme="majorEastAsia" w:hAnsiTheme="majorHAnsi"/>
      <w:color w:themeColor="accent1" w:themeShade="BF" w:val="365F91"/>
      <w:kern w:val="2"/>
      <w:sz w:val="24"/>
      <w:lang w:val="fr-FR"/>
      <w14:ligatures w14:val="standardContextual"/>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unhideWhenUsed/>
    <w:qFormat/>
    <w:rsid w:val="00623CA0"/>
    <w:pPr>
      <w:spacing w:after="200" w:line="240" w:lineRule="auto"/>
    </w:pPr>
    <w:rPr>
      <w:i/>
      <w:iCs/>
      <w:color w:themeColor="text2" w:val="1F497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AD5B87"/>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unhideWhenUsed/>
    <w:qFormat/>
    <w:rsid w:val="00FC693F"/>
    <w:pPr>
      <w:outlineLvl w:val="9"/>
    </w:pPr>
  </w:style>
  <w:style w:styleId="Grilledutableau" w:type="table">
    <w:name w:val="Table Grid"/>
    <w:basedOn w:val="TableauNormal"/>
    <w:uiPriority w:val="39"/>
    <w:rsid w:val="00623CA0"/>
    <w:pPr>
      <w:spacing w:after="0" w:line="240" w:lineRule="auto"/>
      <w:jc w:val="both"/>
    </w:pPr>
    <w:rPr>
      <w:rFonts w:eastAsiaTheme="minorHAnsi"/>
      <w:kern w:val="2"/>
      <w:lang w:val="fr-FR"/>
      <w14:ligatures w14:val="standardContextu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NormalWeb" w:type="paragraph">
    <w:name w:val="Normal (Web)"/>
    <w:basedOn w:val="Normal"/>
    <w:uiPriority w:val="99"/>
    <w:unhideWhenUsed/>
    <w:rsid w:val="00FB66B0"/>
    <w:pPr>
      <w:spacing w:after="100" w:afterAutospacing="1" w:before="100" w:beforeAutospacing="1" w:line="240" w:lineRule="auto"/>
    </w:pPr>
    <w:rPr>
      <w:rFonts w:cs="Times New Roman" w:eastAsia="Times New Roman"/>
      <w:szCs w:val="24"/>
      <w:lang w:eastAsia="fr-SN" w:val="fr-SN"/>
    </w:rPr>
  </w:style>
  <w:style w:customStyle="1" w:styleId="whitespace-pre-wrap" w:type="paragraph">
    <w:name w:val="whitespace-pre-wrap"/>
    <w:basedOn w:val="Normal"/>
    <w:rsid w:val="009C2AC9"/>
    <w:pPr>
      <w:spacing w:after="100" w:afterAutospacing="1" w:before="100" w:beforeAutospacing="1" w:line="240" w:lineRule="auto"/>
    </w:pPr>
    <w:rPr>
      <w:rFonts w:cs="Times New Roman" w:eastAsia="Times New Roman"/>
      <w:szCs w:val="24"/>
      <w:lang w:eastAsia="fr-SN" w:val="fr-SN"/>
    </w:rPr>
  </w:style>
  <w:style w:customStyle="1" w:styleId="texteCar" w:type="character">
    <w:name w:val="texte Car"/>
    <w:basedOn w:val="Policepardfaut"/>
    <w:link w:val="texte"/>
    <w:locked/>
    <w:rsid w:val="00D46BD9"/>
    <w:rPr>
      <w:rFonts w:ascii="Times New Roman" w:cs="Times New Roman" w:hAnsi="Times New Roman"/>
      <w:color w:themeColor="background2" w:themeShade="1A" w:val="1D1B11"/>
      <w:lang w:val="fr-FR"/>
    </w:rPr>
  </w:style>
  <w:style w:customStyle="1" w:styleId="texte" w:type="paragraph">
    <w:name w:val="texte"/>
    <w:link w:val="texteCar"/>
    <w:qFormat/>
    <w:rsid w:val="00D46BD9"/>
    <w:pPr>
      <w:ind w:firstLine="357"/>
      <w:jc w:val="both"/>
    </w:pPr>
    <w:rPr>
      <w:rFonts w:ascii="Times New Roman" w:cs="Times New Roman" w:hAnsi="Times New Roman"/>
      <w:color w:themeColor="background2" w:themeShade="1A" w:val="1D1B11"/>
      <w:lang w:val="fr-FR"/>
    </w:rPr>
  </w:style>
  <w:style w:customStyle="1" w:styleId="whitespace-normal" w:type="paragraph">
    <w:name w:val="whitespace-normal"/>
    <w:basedOn w:val="Normal"/>
    <w:rsid w:val="00885F12"/>
    <w:pPr>
      <w:spacing w:after="100" w:afterAutospacing="1" w:before="100" w:beforeAutospacing="1" w:line="240" w:lineRule="auto"/>
    </w:pPr>
    <w:rPr>
      <w:rFonts w:cs="Times New Roman" w:eastAsia="Times New Roman"/>
      <w:szCs w:val="24"/>
      <w:lang w:eastAsia="fr-SN" w:val="fr-SN"/>
    </w:rPr>
  </w:style>
  <w:style w:customStyle="1" w:styleId="line-clamp-1" w:type="character">
    <w:name w:val="line-clamp-1"/>
    <w:basedOn w:val="Policepardfaut"/>
    <w:rsid w:val="00D615A0"/>
  </w:style>
  <w:style w:styleId="TM1" w:type="paragraph">
    <w:name w:val="toc 1"/>
    <w:basedOn w:val="Normal"/>
    <w:next w:val="Normal"/>
    <w:autoRedefine/>
    <w:uiPriority w:val="39"/>
    <w:unhideWhenUsed/>
    <w:rsid w:val="00623CA0"/>
    <w:pPr>
      <w:spacing w:after="0" w:before="120"/>
    </w:pPr>
    <w:rPr>
      <w:rFonts w:asciiTheme="minorHAnsi" w:cstheme="minorHAnsi" w:hAnsiTheme="minorHAnsi"/>
      <w:b/>
      <w:bCs/>
      <w:i/>
      <w:iCs/>
      <w:szCs w:val="24"/>
    </w:rPr>
  </w:style>
  <w:style w:styleId="Hyperlien" w:type="character">
    <w:name w:val="Hyperlink"/>
    <w:basedOn w:val="Policepardfaut"/>
    <w:uiPriority w:val="99"/>
    <w:unhideWhenUsed/>
    <w:rsid w:val="00623CA0"/>
    <w:rPr>
      <w:color w:themeColor="hyperlink" w:val="0000FF"/>
      <w:u w:val="single"/>
    </w:rPr>
  </w:style>
  <w:style w:styleId="Tabledesillustrations" w:type="paragraph">
    <w:name w:val="table of figures"/>
    <w:basedOn w:val="Normal"/>
    <w:next w:val="Normal"/>
    <w:uiPriority w:val="99"/>
    <w:unhideWhenUsed/>
    <w:rsid w:val="00623CA0"/>
    <w:pPr>
      <w:spacing w:after="0"/>
    </w:pPr>
    <w:rPr>
      <w:rFonts w:asciiTheme="minorHAnsi" w:cstheme="minorHAnsi" w:hAnsiTheme="minorHAnsi"/>
      <w:i/>
      <w:iCs/>
      <w:sz w:val="20"/>
      <w:szCs w:val="20"/>
    </w:rPr>
  </w:style>
  <w:style w:styleId="Marquedecommentaire" w:type="character">
    <w:name w:val="annotation reference"/>
    <w:basedOn w:val="Policepardfaut"/>
    <w:uiPriority w:val="99"/>
    <w:semiHidden/>
    <w:unhideWhenUsed/>
    <w:rsid w:val="00623CA0"/>
    <w:rPr>
      <w:sz w:val="16"/>
      <w:szCs w:val="16"/>
    </w:rPr>
  </w:style>
  <w:style w:styleId="Commentaire" w:type="paragraph">
    <w:name w:val="annotation text"/>
    <w:basedOn w:val="Normal"/>
    <w:link w:val="CommentaireCar"/>
    <w:uiPriority w:val="99"/>
    <w:unhideWhenUsed/>
    <w:rsid w:val="00623CA0"/>
    <w:pPr>
      <w:spacing w:line="240" w:lineRule="auto"/>
    </w:pPr>
    <w:rPr>
      <w:sz w:val="20"/>
      <w:szCs w:val="20"/>
    </w:rPr>
  </w:style>
  <w:style w:customStyle="1" w:styleId="CommentaireCar" w:type="character">
    <w:name w:val="Commentaire Car"/>
    <w:basedOn w:val="Policepardfaut"/>
    <w:link w:val="Commentaire"/>
    <w:uiPriority w:val="99"/>
    <w:rsid w:val="00623CA0"/>
    <w:rPr>
      <w:rFonts w:ascii="Times New Roman" w:eastAsiaTheme="minorHAnsi" w:hAnsi="Times New Roman"/>
      <w:kern w:val="2"/>
      <w:sz w:val="20"/>
      <w:szCs w:val="20"/>
      <w:lang w:val="fr-FR"/>
      <w14:ligatures w14:val="standardContextual"/>
    </w:rPr>
  </w:style>
  <w:style w:styleId="Objetducommentaire" w:type="paragraph">
    <w:name w:val="annotation subject"/>
    <w:basedOn w:val="Commentaire"/>
    <w:next w:val="Commentaire"/>
    <w:link w:val="ObjetducommentaireCar"/>
    <w:uiPriority w:val="99"/>
    <w:semiHidden/>
    <w:unhideWhenUsed/>
    <w:rsid w:val="00AB0337"/>
    <w:pPr>
      <w:spacing w:after="200"/>
    </w:pPr>
    <w:rPr>
      <w:rFonts w:ascii="Aptos" w:eastAsiaTheme="minorEastAsia" w:hAnsi="Aptos"/>
      <w:b/>
      <w:bCs/>
      <w:kern w:val="0"/>
      <w14:ligatures w14:val="none"/>
    </w:rPr>
  </w:style>
  <w:style w:customStyle="1" w:styleId="ObjetducommentaireCar" w:type="character">
    <w:name w:val="Objet du commentaire Car"/>
    <w:basedOn w:val="CommentaireCar"/>
    <w:link w:val="Objetducommentaire"/>
    <w:uiPriority w:val="99"/>
    <w:semiHidden/>
    <w:rsid w:val="00AB0337"/>
    <w:rPr>
      <w:rFonts w:ascii="Aptos" w:eastAsiaTheme="minorHAnsi" w:hAnsi="Aptos"/>
      <w:b/>
      <w:bCs/>
      <w:kern w:val="2"/>
      <w:sz w:val="20"/>
      <w:szCs w:val="20"/>
      <w:lang w:val="fr-FR"/>
      <w14:ligatures w14:val="standardContextual"/>
    </w:rPr>
  </w:style>
  <w:style w:customStyle="1" w:styleId="Mentionnonrsolue1" w:type="character">
    <w:name w:val="Mention non résolue1"/>
    <w:basedOn w:val="Policepardfaut"/>
    <w:uiPriority w:val="99"/>
    <w:semiHidden/>
    <w:unhideWhenUsed/>
    <w:rsid w:val="002B0A30"/>
    <w:rPr>
      <w:color w:val="605E5C"/>
      <w:shd w:color="auto" w:fill="E1DFDD" w:val="clear"/>
    </w:rPr>
  </w:style>
  <w:style w:styleId="Textedebulles" w:type="paragraph">
    <w:name w:val="Balloon Text"/>
    <w:basedOn w:val="Normal"/>
    <w:link w:val="TextedebullesCar"/>
    <w:uiPriority w:val="99"/>
    <w:semiHidden/>
    <w:unhideWhenUsed/>
    <w:rsid w:val="0076226E"/>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76226E"/>
    <w:rPr>
      <w:rFonts w:ascii="Segoe UI" w:cs="Segoe UI" w:hAnsi="Segoe UI"/>
      <w:sz w:val="18"/>
      <w:szCs w:val="18"/>
      <w:lang w:val="fr-FR"/>
    </w:rPr>
  </w:style>
  <w:style w:styleId="Rvision" w:type="paragraph">
    <w:name w:val="Revision"/>
    <w:hidden/>
    <w:uiPriority w:val="99"/>
    <w:semiHidden/>
    <w:rsid w:val="00F75B20"/>
    <w:pPr>
      <w:spacing w:after="0" w:line="240" w:lineRule="auto"/>
    </w:pPr>
    <w:rPr>
      <w:rFonts w:ascii="Aptos" w:hAnsi="Aptos"/>
      <w:sz w:val="24"/>
      <w:lang w:val="fr-FR"/>
    </w:rPr>
  </w:style>
  <w:style w:styleId="Textedelespacerserv" w:type="character">
    <w:name w:val="Placeholder Text"/>
    <w:basedOn w:val="Policepardfaut"/>
    <w:uiPriority w:val="99"/>
    <w:semiHidden/>
    <w:rsid w:val="00623CA0"/>
    <w:rPr>
      <w:color w:val="808080"/>
    </w:rPr>
  </w:style>
  <w:style w:styleId="Appelnotedebasdep" w:type="character">
    <w:name w:val="footnote reference"/>
    <w:basedOn w:val="Policepardfaut"/>
    <w:uiPriority w:val="99"/>
    <w:semiHidden/>
    <w:unhideWhenUsed/>
    <w:rsid w:val="00623CA0"/>
    <w:rPr>
      <w:vertAlign w:val="superscript"/>
    </w:rPr>
  </w:style>
  <w:style w:customStyle="1" w:styleId="fontstyle01" w:type="character">
    <w:name w:val="fontstyle01"/>
    <w:basedOn w:val="Policepardfaut"/>
    <w:rsid w:val="00623CA0"/>
    <w:rPr>
      <w:rFonts w:ascii="TimesNewRomanPSMT" w:hAnsi="TimesNewRomanPSMT" w:hint="default"/>
      <w:b w:val="0"/>
      <w:bCs w:val="0"/>
      <w:i w:val="0"/>
      <w:iCs w:val="0"/>
      <w:color w:val="000000"/>
      <w:sz w:val="24"/>
      <w:szCs w:val="24"/>
    </w:rPr>
  </w:style>
  <w:style w:customStyle="1" w:styleId="fontstyle21" w:type="character">
    <w:name w:val="fontstyle21"/>
    <w:basedOn w:val="Policepardfaut"/>
    <w:rsid w:val="00623CA0"/>
    <w:rPr>
      <w:rFonts w:ascii="TimesNewRomanPS-BoldMT" w:hAnsi="TimesNewRomanPS-BoldMT" w:hint="default"/>
      <w:b/>
      <w:bCs/>
      <w:i w:val="0"/>
      <w:iCs w:val="0"/>
      <w:color w:val="000000"/>
      <w:sz w:val="24"/>
      <w:szCs w:val="24"/>
    </w:rPr>
  </w:style>
  <w:style w:styleId="Grilledetableauclaire" w:type="table">
    <w:name w:val="Grid Table Light"/>
    <w:basedOn w:val="TableauNormal"/>
    <w:uiPriority w:val="40"/>
    <w:rsid w:val="00623CA0"/>
    <w:pPr>
      <w:spacing w:after="0" w:line="240" w:lineRule="auto"/>
      <w:jc w:val="both"/>
    </w:pPr>
    <w:rPr>
      <w:rFonts w:eastAsiaTheme="minorHAnsi"/>
      <w:kern w:val="2"/>
      <w:lang w:val="fr-FR"/>
      <w14:ligatures w14:val="standardContextual"/>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Mentionnonrsolue" w:type="character">
    <w:name w:val="Unresolved Mention"/>
    <w:basedOn w:val="Policepardfaut"/>
    <w:uiPriority w:val="99"/>
    <w:semiHidden/>
    <w:unhideWhenUsed/>
    <w:rsid w:val="00623CA0"/>
    <w:rPr>
      <w:color w:val="605E5C"/>
      <w:shd w:color="auto" w:fill="E1DFDD" w:val="clear"/>
    </w:rPr>
  </w:style>
  <w:style w:styleId="Notedebasdepage" w:type="paragraph">
    <w:name w:val="footnote text"/>
    <w:basedOn w:val="Normal"/>
    <w:link w:val="NotedebasdepageCar"/>
    <w:uiPriority w:val="99"/>
    <w:semiHidden/>
    <w:unhideWhenUsed/>
    <w:rsid w:val="00623CA0"/>
    <w:pPr>
      <w:spacing w:after="0" w:line="240" w:lineRule="auto"/>
    </w:pPr>
    <w:rPr>
      <w:sz w:val="20"/>
      <w:szCs w:val="20"/>
    </w:rPr>
  </w:style>
  <w:style w:customStyle="1" w:styleId="NotedebasdepageCar" w:type="character">
    <w:name w:val="Note de bas de page Car"/>
    <w:basedOn w:val="Policepardfaut"/>
    <w:link w:val="Notedebasdepage"/>
    <w:uiPriority w:val="99"/>
    <w:semiHidden/>
    <w:rsid w:val="00623CA0"/>
    <w:rPr>
      <w:rFonts w:ascii="Times New Roman" w:eastAsiaTheme="minorHAnsi" w:hAnsi="Times New Roman"/>
      <w:kern w:val="2"/>
      <w:sz w:val="20"/>
      <w:szCs w:val="20"/>
      <w:lang w:val="fr-FR"/>
      <w14:ligatures w14:val="standardContextual"/>
    </w:rPr>
  </w:style>
  <w:style w:styleId="PrformatHTML" w:type="paragraph">
    <w:name w:val="HTML Preformatted"/>
    <w:basedOn w:val="Normal"/>
    <w:link w:val="PrformatHTMLCar"/>
    <w:uiPriority w:val="99"/>
    <w:semiHidden/>
    <w:unhideWhenUsed/>
    <w:rsid w:val="00623CA0"/>
    <w:pPr>
      <w:spacing w:after="0" w:line="240" w:lineRule="auto"/>
    </w:pPr>
    <w:rPr>
      <w:rFonts w:ascii="Consolas" w:hAnsi="Consolas"/>
      <w:sz w:val="20"/>
      <w:szCs w:val="20"/>
    </w:rPr>
  </w:style>
  <w:style w:customStyle="1" w:styleId="PrformatHTMLCar" w:type="character">
    <w:name w:val="Préformaté HTML Car"/>
    <w:basedOn w:val="Policepardfaut"/>
    <w:link w:val="PrformatHTML"/>
    <w:uiPriority w:val="99"/>
    <w:semiHidden/>
    <w:rsid w:val="00623CA0"/>
    <w:rPr>
      <w:rFonts w:ascii="Consolas" w:eastAsiaTheme="minorHAnsi" w:hAnsi="Consolas"/>
      <w:kern w:val="2"/>
      <w:sz w:val="20"/>
      <w:szCs w:val="20"/>
      <w:lang w:val="fr-FR"/>
      <w14:ligatures w14:val="standardContextual"/>
    </w:rPr>
  </w:style>
  <w:style w:customStyle="1" w:styleId="SansinterligneCar" w:type="character">
    <w:name w:val="Sans interligne Car"/>
    <w:basedOn w:val="Policepardfaut"/>
    <w:link w:val="Sansinterligne"/>
    <w:uiPriority w:val="1"/>
    <w:rsid w:val="00623CA0"/>
    <w:rPr>
      <w:lang w:eastAsia="fr-FR" w:val="fr-FR"/>
      <w14:ligatures w14:val="standardContextual"/>
    </w:rPr>
  </w:style>
  <w:style w:customStyle="1" w:styleId="Style1" w:type="numbering">
    <w:name w:val="Style1"/>
    <w:uiPriority w:val="99"/>
    <w:rsid w:val="00623CA0"/>
    <w:pPr>
      <w:numPr>
        <w:numId w:val="28"/>
      </w:numPr>
    </w:pPr>
  </w:style>
  <w:style w:styleId="Tableausimple2" w:type="table">
    <w:name w:val="Plain Table 2"/>
    <w:basedOn w:val="TableauNormal"/>
    <w:uiPriority w:val="42"/>
    <w:rsid w:val="00623CA0"/>
    <w:pPr>
      <w:spacing w:after="0" w:line="240" w:lineRule="auto"/>
      <w:jc w:val="both"/>
    </w:pPr>
    <w:rPr>
      <w:rFonts w:eastAsiaTheme="minorHAnsi"/>
      <w:kern w:val="2"/>
      <w:lang w:val="fr-FR"/>
      <w14:ligatures w14:val="standardContextual"/>
    </w:r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Tableausimple4" w:type="table">
    <w:name w:val="Plain Table 4"/>
    <w:basedOn w:val="TableauNormal"/>
    <w:uiPriority w:val="44"/>
    <w:rsid w:val="00623CA0"/>
    <w:pPr>
      <w:spacing w:after="0" w:line="240" w:lineRule="auto"/>
      <w:jc w:val="both"/>
    </w:pPr>
    <w:rPr>
      <w:rFonts w:eastAsiaTheme="minorHAnsi"/>
      <w:kern w:val="2"/>
      <w:lang w:val="fr-FR"/>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M2" w:type="paragraph">
    <w:name w:val="toc 2"/>
    <w:basedOn w:val="Normal"/>
    <w:next w:val="Normal"/>
    <w:autoRedefine/>
    <w:uiPriority w:val="39"/>
    <w:unhideWhenUsed/>
    <w:rsid w:val="00623CA0"/>
    <w:pPr>
      <w:spacing w:after="0" w:before="120"/>
      <w:ind w:left="240"/>
    </w:pPr>
    <w:rPr>
      <w:rFonts w:asciiTheme="minorHAnsi" w:cstheme="minorHAnsi" w:hAnsiTheme="minorHAnsi"/>
      <w:b/>
      <w:bCs/>
      <w:sz w:val="22"/>
    </w:rPr>
  </w:style>
  <w:style w:styleId="TM3" w:type="paragraph">
    <w:name w:val="toc 3"/>
    <w:basedOn w:val="Normal"/>
    <w:next w:val="Normal"/>
    <w:autoRedefine/>
    <w:uiPriority w:val="39"/>
    <w:unhideWhenUsed/>
    <w:rsid w:val="00623CA0"/>
    <w:pPr>
      <w:spacing w:after="0"/>
      <w:ind w:left="480"/>
    </w:pPr>
    <w:rPr>
      <w:rFonts w:asciiTheme="minorHAnsi" w:cstheme="minorHAnsi" w:hAnsiTheme="minorHAnsi"/>
      <w:sz w:val="20"/>
      <w:szCs w:val="20"/>
    </w:rPr>
  </w:style>
  <w:style w:styleId="TM4" w:type="paragraph">
    <w:name w:val="toc 4"/>
    <w:basedOn w:val="Normal"/>
    <w:next w:val="Normal"/>
    <w:autoRedefine/>
    <w:uiPriority w:val="39"/>
    <w:unhideWhenUsed/>
    <w:rsid w:val="00623CA0"/>
    <w:pPr>
      <w:spacing w:after="0"/>
      <w:ind w:left="720"/>
    </w:pPr>
    <w:rPr>
      <w:rFonts w:asciiTheme="minorHAnsi" w:cstheme="minorHAnsi" w:hAnsiTheme="minorHAnsi"/>
      <w:sz w:val="20"/>
      <w:szCs w:val="20"/>
    </w:rPr>
  </w:style>
  <w:style w:styleId="TM5" w:type="paragraph">
    <w:name w:val="toc 5"/>
    <w:basedOn w:val="Normal"/>
    <w:next w:val="Normal"/>
    <w:autoRedefine/>
    <w:uiPriority w:val="39"/>
    <w:unhideWhenUsed/>
    <w:rsid w:val="00623CA0"/>
    <w:pPr>
      <w:spacing w:after="0"/>
      <w:ind w:left="960"/>
    </w:pPr>
    <w:rPr>
      <w:rFonts w:asciiTheme="minorHAnsi" w:cstheme="minorHAnsi" w:hAnsiTheme="minorHAnsi"/>
      <w:sz w:val="20"/>
      <w:szCs w:val="20"/>
    </w:rPr>
  </w:style>
  <w:style w:styleId="TM6" w:type="paragraph">
    <w:name w:val="toc 6"/>
    <w:basedOn w:val="Normal"/>
    <w:next w:val="Normal"/>
    <w:autoRedefine/>
    <w:uiPriority w:val="39"/>
    <w:unhideWhenUsed/>
    <w:rsid w:val="00623CA0"/>
    <w:pPr>
      <w:spacing w:after="0"/>
      <w:ind w:left="1200"/>
    </w:pPr>
    <w:rPr>
      <w:rFonts w:asciiTheme="minorHAnsi" w:cstheme="minorHAnsi" w:hAnsiTheme="minorHAnsi"/>
      <w:sz w:val="20"/>
      <w:szCs w:val="20"/>
    </w:rPr>
  </w:style>
  <w:style w:styleId="TM7" w:type="paragraph">
    <w:name w:val="toc 7"/>
    <w:basedOn w:val="Normal"/>
    <w:next w:val="Normal"/>
    <w:autoRedefine/>
    <w:uiPriority w:val="39"/>
    <w:unhideWhenUsed/>
    <w:rsid w:val="00623CA0"/>
    <w:pPr>
      <w:spacing w:after="0"/>
      <w:ind w:left="1440"/>
    </w:pPr>
    <w:rPr>
      <w:rFonts w:asciiTheme="minorHAnsi" w:cstheme="minorHAnsi" w:hAnsiTheme="minorHAnsi"/>
      <w:sz w:val="20"/>
      <w:szCs w:val="20"/>
    </w:rPr>
  </w:style>
  <w:style w:styleId="TM8" w:type="paragraph">
    <w:name w:val="toc 8"/>
    <w:basedOn w:val="Normal"/>
    <w:next w:val="Normal"/>
    <w:autoRedefine/>
    <w:uiPriority w:val="39"/>
    <w:unhideWhenUsed/>
    <w:rsid w:val="00623CA0"/>
    <w:pPr>
      <w:spacing w:after="0"/>
      <w:ind w:left="1680"/>
    </w:pPr>
    <w:rPr>
      <w:rFonts w:asciiTheme="minorHAnsi" w:cstheme="minorHAnsi" w:hAnsiTheme="minorHAnsi"/>
      <w:sz w:val="20"/>
      <w:szCs w:val="20"/>
    </w:rPr>
  </w:style>
  <w:style w:styleId="TM9" w:type="paragraph">
    <w:name w:val="toc 9"/>
    <w:basedOn w:val="Normal"/>
    <w:next w:val="Normal"/>
    <w:autoRedefine/>
    <w:uiPriority w:val="39"/>
    <w:unhideWhenUsed/>
    <w:rsid w:val="00623CA0"/>
    <w:pPr>
      <w:spacing w:after="0"/>
      <w:ind w:left="1920"/>
    </w:pPr>
    <w:rPr>
      <w:rFonts w:asciiTheme="minorHAnsi" w:cstheme="minorHAnsi" w:hAnsiTheme="minorHAnsi"/>
      <w:sz w:val="20"/>
      <w:szCs w:val="20"/>
    </w:rPr>
  </w:style>
  <w:style w:customStyle="1" w:styleId="ParagraphedelisteCar" w:type="character">
    <w:name w:val="Paragraphe de liste Car"/>
    <w:aliases w:val="Table/Figure Heading Car,Paragraphe de liste1 Car,Bullets Car,References Car,Numbered List Paragraph Car,RM1 Car,List Paragraph Car,Liste couleur - Accent 11 Car,idées clés Car,Enumération flèches Car,List1 Car,figure Car,R Car"/>
    <w:link w:val="Paragraphedeliste"/>
    <w:uiPriority w:val="34"/>
    <w:qFormat/>
    <w:rsid w:val="00590C92"/>
    <w:rPr>
      <w:rFonts w:ascii="Times New Roman" w:eastAsiaTheme="minorHAnsi" w:hAnsi="Times New Roman"/>
      <w:kern w:val="2"/>
      <w:sz w:val="24"/>
      <w:lang w:val="fr-FR"/>
      <w14:ligatures w14:val="standardContextual"/>
    </w:rPr>
  </w:style>
  <w:style w:type="paragraph" w:customStyle="1" w:styleId="ImageCaption">
    <w:name w:val="Imag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342">
      <w:bodyDiv w:val="1"/>
      <w:marLeft w:val="0"/>
      <w:marRight w:val="0"/>
      <w:marTop w:val="0"/>
      <w:marBottom w:val="0"/>
      <w:divBdr>
        <w:top w:val="none" w:sz="0" w:space="0" w:color="auto"/>
        <w:left w:val="none" w:sz="0" w:space="0" w:color="auto"/>
        <w:bottom w:val="none" w:sz="0" w:space="0" w:color="auto"/>
        <w:right w:val="none" w:sz="0" w:space="0" w:color="auto"/>
      </w:divBdr>
    </w:div>
    <w:div w:id="20741091">
      <w:bodyDiv w:val="1"/>
      <w:marLeft w:val="0"/>
      <w:marRight w:val="0"/>
      <w:marTop w:val="0"/>
      <w:marBottom w:val="0"/>
      <w:divBdr>
        <w:top w:val="none" w:sz="0" w:space="0" w:color="auto"/>
        <w:left w:val="none" w:sz="0" w:space="0" w:color="auto"/>
        <w:bottom w:val="none" w:sz="0" w:space="0" w:color="auto"/>
        <w:right w:val="none" w:sz="0" w:space="0" w:color="auto"/>
      </w:divBdr>
      <w:divsChild>
        <w:div w:id="1089303880">
          <w:marLeft w:val="0"/>
          <w:marRight w:val="0"/>
          <w:marTop w:val="0"/>
          <w:marBottom w:val="0"/>
          <w:divBdr>
            <w:top w:val="none" w:sz="0" w:space="0" w:color="auto"/>
            <w:left w:val="none" w:sz="0" w:space="0" w:color="auto"/>
            <w:bottom w:val="none" w:sz="0" w:space="0" w:color="auto"/>
            <w:right w:val="none" w:sz="0" w:space="0" w:color="auto"/>
          </w:divBdr>
          <w:divsChild>
            <w:div w:id="1020010667">
              <w:marLeft w:val="0"/>
              <w:marRight w:val="0"/>
              <w:marTop w:val="0"/>
              <w:marBottom w:val="0"/>
              <w:divBdr>
                <w:top w:val="none" w:sz="0" w:space="0" w:color="auto"/>
                <w:left w:val="none" w:sz="0" w:space="0" w:color="auto"/>
                <w:bottom w:val="none" w:sz="0" w:space="0" w:color="auto"/>
                <w:right w:val="none" w:sz="0" w:space="0" w:color="auto"/>
              </w:divBdr>
              <w:divsChild>
                <w:div w:id="5116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4927">
      <w:bodyDiv w:val="1"/>
      <w:marLeft w:val="0"/>
      <w:marRight w:val="0"/>
      <w:marTop w:val="0"/>
      <w:marBottom w:val="0"/>
      <w:divBdr>
        <w:top w:val="none" w:sz="0" w:space="0" w:color="auto"/>
        <w:left w:val="none" w:sz="0" w:space="0" w:color="auto"/>
        <w:bottom w:val="none" w:sz="0" w:space="0" w:color="auto"/>
        <w:right w:val="none" w:sz="0" w:space="0" w:color="auto"/>
      </w:divBdr>
    </w:div>
    <w:div w:id="68813658">
      <w:bodyDiv w:val="1"/>
      <w:marLeft w:val="0"/>
      <w:marRight w:val="0"/>
      <w:marTop w:val="0"/>
      <w:marBottom w:val="0"/>
      <w:divBdr>
        <w:top w:val="none" w:sz="0" w:space="0" w:color="auto"/>
        <w:left w:val="none" w:sz="0" w:space="0" w:color="auto"/>
        <w:bottom w:val="none" w:sz="0" w:space="0" w:color="auto"/>
        <w:right w:val="none" w:sz="0" w:space="0" w:color="auto"/>
      </w:divBdr>
    </w:div>
    <w:div w:id="97261480">
      <w:bodyDiv w:val="1"/>
      <w:marLeft w:val="0"/>
      <w:marRight w:val="0"/>
      <w:marTop w:val="0"/>
      <w:marBottom w:val="0"/>
      <w:divBdr>
        <w:top w:val="none" w:sz="0" w:space="0" w:color="auto"/>
        <w:left w:val="none" w:sz="0" w:space="0" w:color="auto"/>
        <w:bottom w:val="none" w:sz="0" w:space="0" w:color="auto"/>
        <w:right w:val="none" w:sz="0" w:space="0" w:color="auto"/>
      </w:divBdr>
    </w:div>
    <w:div w:id="122618022">
      <w:bodyDiv w:val="1"/>
      <w:marLeft w:val="0"/>
      <w:marRight w:val="0"/>
      <w:marTop w:val="0"/>
      <w:marBottom w:val="0"/>
      <w:divBdr>
        <w:top w:val="none" w:sz="0" w:space="0" w:color="auto"/>
        <w:left w:val="none" w:sz="0" w:space="0" w:color="auto"/>
        <w:bottom w:val="none" w:sz="0" w:space="0" w:color="auto"/>
        <w:right w:val="none" w:sz="0" w:space="0" w:color="auto"/>
      </w:divBdr>
      <w:divsChild>
        <w:div w:id="14305160">
          <w:marLeft w:val="0"/>
          <w:marRight w:val="0"/>
          <w:marTop w:val="0"/>
          <w:marBottom w:val="0"/>
          <w:divBdr>
            <w:top w:val="single" w:sz="2" w:space="0" w:color="auto"/>
            <w:left w:val="single" w:sz="2" w:space="4" w:color="auto"/>
            <w:bottom w:val="single" w:sz="2" w:space="0" w:color="auto"/>
            <w:right w:val="single" w:sz="2" w:space="4" w:color="auto"/>
          </w:divBdr>
        </w:div>
        <w:div w:id="1062404763">
          <w:marLeft w:val="0"/>
          <w:marRight w:val="0"/>
          <w:marTop w:val="0"/>
          <w:marBottom w:val="0"/>
          <w:divBdr>
            <w:top w:val="single" w:sz="2" w:space="0" w:color="auto"/>
            <w:left w:val="single" w:sz="2" w:space="4" w:color="auto"/>
            <w:bottom w:val="single" w:sz="2" w:space="0" w:color="auto"/>
            <w:right w:val="single" w:sz="2" w:space="4" w:color="auto"/>
          </w:divBdr>
        </w:div>
        <w:div w:id="1126512444">
          <w:marLeft w:val="0"/>
          <w:marRight w:val="0"/>
          <w:marTop w:val="0"/>
          <w:marBottom w:val="0"/>
          <w:divBdr>
            <w:top w:val="single" w:sz="2" w:space="0" w:color="auto"/>
            <w:left w:val="single" w:sz="2" w:space="4" w:color="auto"/>
            <w:bottom w:val="single" w:sz="2" w:space="0" w:color="auto"/>
            <w:right w:val="single" w:sz="2" w:space="4" w:color="auto"/>
          </w:divBdr>
        </w:div>
        <w:div w:id="1679623478">
          <w:marLeft w:val="0"/>
          <w:marRight w:val="0"/>
          <w:marTop w:val="0"/>
          <w:marBottom w:val="0"/>
          <w:divBdr>
            <w:top w:val="single" w:sz="2" w:space="0" w:color="auto"/>
            <w:left w:val="single" w:sz="2" w:space="4" w:color="auto"/>
            <w:bottom w:val="single" w:sz="2" w:space="0" w:color="auto"/>
            <w:right w:val="single" w:sz="2" w:space="4" w:color="auto"/>
          </w:divBdr>
        </w:div>
      </w:divsChild>
    </w:div>
    <w:div w:id="147523658">
      <w:bodyDiv w:val="1"/>
      <w:marLeft w:val="0"/>
      <w:marRight w:val="0"/>
      <w:marTop w:val="0"/>
      <w:marBottom w:val="0"/>
      <w:divBdr>
        <w:top w:val="none" w:sz="0" w:space="0" w:color="auto"/>
        <w:left w:val="none" w:sz="0" w:space="0" w:color="auto"/>
        <w:bottom w:val="none" w:sz="0" w:space="0" w:color="auto"/>
        <w:right w:val="none" w:sz="0" w:space="0" w:color="auto"/>
      </w:divBdr>
    </w:div>
    <w:div w:id="164170906">
      <w:bodyDiv w:val="1"/>
      <w:marLeft w:val="0"/>
      <w:marRight w:val="0"/>
      <w:marTop w:val="0"/>
      <w:marBottom w:val="0"/>
      <w:divBdr>
        <w:top w:val="none" w:sz="0" w:space="0" w:color="auto"/>
        <w:left w:val="none" w:sz="0" w:space="0" w:color="auto"/>
        <w:bottom w:val="none" w:sz="0" w:space="0" w:color="auto"/>
        <w:right w:val="none" w:sz="0" w:space="0" w:color="auto"/>
      </w:divBdr>
    </w:div>
    <w:div w:id="173303575">
      <w:bodyDiv w:val="1"/>
      <w:marLeft w:val="0"/>
      <w:marRight w:val="0"/>
      <w:marTop w:val="0"/>
      <w:marBottom w:val="0"/>
      <w:divBdr>
        <w:top w:val="none" w:sz="0" w:space="0" w:color="auto"/>
        <w:left w:val="none" w:sz="0" w:space="0" w:color="auto"/>
        <w:bottom w:val="none" w:sz="0" w:space="0" w:color="auto"/>
        <w:right w:val="none" w:sz="0" w:space="0" w:color="auto"/>
      </w:divBdr>
    </w:div>
    <w:div w:id="180897514">
      <w:bodyDiv w:val="1"/>
      <w:marLeft w:val="0"/>
      <w:marRight w:val="0"/>
      <w:marTop w:val="0"/>
      <w:marBottom w:val="0"/>
      <w:divBdr>
        <w:top w:val="none" w:sz="0" w:space="0" w:color="auto"/>
        <w:left w:val="none" w:sz="0" w:space="0" w:color="auto"/>
        <w:bottom w:val="none" w:sz="0" w:space="0" w:color="auto"/>
        <w:right w:val="none" w:sz="0" w:space="0" w:color="auto"/>
      </w:divBdr>
    </w:div>
    <w:div w:id="191579598">
      <w:bodyDiv w:val="1"/>
      <w:marLeft w:val="0"/>
      <w:marRight w:val="0"/>
      <w:marTop w:val="0"/>
      <w:marBottom w:val="0"/>
      <w:divBdr>
        <w:top w:val="none" w:sz="0" w:space="0" w:color="auto"/>
        <w:left w:val="none" w:sz="0" w:space="0" w:color="auto"/>
        <w:bottom w:val="none" w:sz="0" w:space="0" w:color="auto"/>
        <w:right w:val="none" w:sz="0" w:space="0" w:color="auto"/>
      </w:divBdr>
      <w:divsChild>
        <w:div w:id="2000310264">
          <w:marLeft w:val="0"/>
          <w:marRight w:val="0"/>
          <w:marTop w:val="0"/>
          <w:marBottom w:val="0"/>
          <w:divBdr>
            <w:top w:val="none" w:sz="0" w:space="0" w:color="auto"/>
            <w:left w:val="none" w:sz="0" w:space="0" w:color="auto"/>
            <w:bottom w:val="none" w:sz="0" w:space="0" w:color="auto"/>
            <w:right w:val="none" w:sz="0" w:space="0" w:color="auto"/>
          </w:divBdr>
          <w:divsChild>
            <w:div w:id="1165050214">
              <w:marLeft w:val="0"/>
              <w:marRight w:val="0"/>
              <w:marTop w:val="0"/>
              <w:marBottom w:val="0"/>
              <w:divBdr>
                <w:top w:val="none" w:sz="0" w:space="0" w:color="auto"/>
                <w:left w:val="none" w:sz="0" w:space="0" w:color="auto"/>
                <w:bottom w:val="none" w:sz="0" w:space="0" w:color="auto"/>
                <w:right w:val="none" w:sz="0" w:space="0" w:color="auto"/>
              </w:divBdr>
              <w:divsChild>
                <w:div w:id="309022283">
                  <w:marLeft w:val="0"/>
                  <w:marRight w:val="0"/>
                  <w:marTop w:val="0"/>
                  <w:marBottom w:val="0"/>
                  <w:divBdr>
                    <w:top w:val="none" w:sz="0" w:space="0" w:color="auto"/>
                    <w:left w:val="none" w:sz="0" w:space="0" w:color="auto"/>
                    <w:bottom w:val="none" w:sz="0" w:space="0" w:color="auto"/>
                    <w:right w:val="none" w:sz="0" w:space="0" w:color="auto"/>
                  </w:divBdr>
                  <w:divsChild>
                    <w:div w:id="1005017545">
                      <w:marLeft w:val="0"/>
                      <w:marRight w:val="0"/>
                      <w:marTop w:val="0"/>
                      <w:marBottom w:val="0"/>
                      <w:divBdr>
                        <w:top w:val="none" w:sz="0" w:space="0" w:color="auto"/>
                        <w:left w:val="none" w:sz="0" w:space="0" w:color="auto"/>
                        <w:bottom w:val="none" w:sz="0" w:space="0" w:color="auto"/>
                        <w:right w:val="none" w:sz="0" w:space="0" w:color="auto"/>
                      </w:divBdr>
                      <w:divsChild>
                        <w:div w:id="1946185037">
                          <w:marLeft w:val="0"/>
                          <w:marRight w:val="0"/>
                          <w:marTop w:val="0"/>
                          <w:marBottom w:val="0"/>
                          <w:divBdr>
                            <w:top w:val="none" w:sz="0" w:space="0" w:color="auto"/>
                            <w:left w:val="none" w:sz="0" w:space="0" w:color="auto"/>
                            <w:bottom w:val="none" w:sz="0" w:space="0" w:color="auto"/>
                            <w:right w:val="none" w:sz="0" w:space="0" w:color="auto"/>
                          </w:divBdr>
                          <w:divsChild>
                            <w:div w:id="5389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9099">
      <w:bodyDiv w:val="1"/>
      <w:marLeft w:val="0"/>
      <w:marRight w:val="0"/>
      <w:marTop w:val="0"/>
      <w:marBottom w:val="0"/>
      <w:divBdr>
        <w:top w:val="none" w:sz="0" w:space="0" w:color="auto"/>
        <w:left w:val="none" w:sz="0" w:space="0" w:color="auto"/>
        <w:bottom w:val="none" w:sz="0" w:space="0" w:color="auto"/>
        <w:right w:val="none" w:sz="0" w:space="0" w:color="auto"/>
      </w:divBdr>
    </w:div>
    <w:div w:id="203834630">
      <w:bodyDiv w:val="1"/>
      <w:marLeft w:val="0"/>
      <w:marRight w:val="0"/>
      <w:marTop w:val="0"/>
      <w:marBottom w:val="0"/>
      <w:divBdr>
        <w:top w:val="none" w:sz="0" w:space="0" w:color="auto"/>
        <w:left w:val="none" w:sz="0" w:space="0" w:color="auto"/>
        <w:bottom w:val="none" w:sz="0" w:space="0" w:color="auto"/>
        <w:right w:val="none" w:sz="0" w:space="0" w:color="auto"/>
      </w:divBdr>
    </w:div>
    <w:div w:id="215317500">
      <w:bodyDiv w:val="1"/>
      <w:marLeft w:val="0"/>
      <w:marRight w:val="0"/>
      <w:marTop w:val="0"/>
      <w:marBottom w:val="0"/>
      <w:divBdr>
        <w:top w:val="none" w:sz="0" w:space="0" w:color="auto"/>
        <w:left w:val="none" w:sz="0" w:space="0" w:color="auto"/>
        <w:bottom w:val="none" w:sz="0" w:space="0" w:color="auto"/>
        <w:right w:val="none" w:sz="0" w:space="0" w:color="auto"/>
      </w:divBdr>
    </w:div>
    <w:div w:id="228805321">
      <w:bodyDiv w:val="1"/>
      <w:marLeft w:val="0"/>
      <w:marRight w:val="0"/>
      <w:marTop w:val="0"/>
      <w:marBottom w:val="0"/>
      <w:divBdr>
        <w:top w:val="none" w:sz="0" w:space="0" w:color="auto"/>
        <w:left w:val="none" w:sz="0" w:space="0" w:color="auto"/>
        <w:bottom w:val="none" w:sz="0" w:space="0" w:color="auto"/>
        <w:right w:val="none" w:sz="0" w:space="0" w:color="auto"/>
      </w:divBdr>
    </w:div>
    <w:div w:id="231425794">
      <w:bodyDiv w:val="1"/>
      <w:marLeft w:val="0"/>
      <w:marRight w:val="0"/>
      <w:marTop w:val="0"/>
      <w:marBottom w:val="0"/>
      <w:divBdr>
        <w:top w:val="none" w:sz="0" w:space="0" w:color="auto"/>
        <w:left w:val="none" w:sz="0" w:space="0" w:color="auto"/>
        <w:bottom w:val="none" w:sz="0" w:space="0" w:color="auto"/>
        <w:right w:val="none" w:sz="0" w:space="0" w:color="auto"/>
      </w:divBdr>
    </w:div>
    <w:div w:id="235630851">
      <w:bodyDiv w:val="1"/>
      <w:marLeft w:val="0"/>
      <w:marRight w:val="0"/>
      <w:marTop w:val="0"/>
      <w:marBottom w:val="0"/>
      <w:divBdr>
        <w:top w:val="none" w:sz="0" w:space="0" w:color="auto"/>
        <w:left w:val="none" w:sz="0" w:space="0" w:color="auto"/>
        <w:bottom w:val="none" w:sz="0" w:space="0" w:color="auto"/>
        <w:right w:val="none" w:sz="0" w:space="0" w:color="auto"/>
      </w:divBdr>
    </w:div>
    <w:div w:id="245384710">
      <w:bodyDiv w:val="1"/>
      <w:marLeft w:val="0"/>
      <w:marRight w:val="0"/>
      <w:marTop w:val="0"/>
      <w:marBottom w:val="0"/>
      <w:divBdr>
        <w:top w:val="none" w:sz="0" w:space="0" w:color="auto"/>
        <w:left w:val="none" w:sz="0" w:space="0" w:color="auto"/>
        <w:bottom w:val="none" w:sz="0" w:space="0" w:color="auto"/>
        <w:right w:val="none" w:sz="0" w:space="0" w:color="auto"/>
      </w:divBdr>
    </w:div>
    <w:div w:id="279649096">
      <w:bodyDiv w:val="1"/>
      <w:marLeft w:val="0"/>
      <w:marRight w:val="0"/>
      <w:marTop w:val="0"/>
      <w:marBottom w:val="0"/>
      <w:divBdr>
        <w:top w:val="none" w:sz="0" w:space="0" w:color="auto"/>
        <w:left w:val="none" w:sz="0" w:space="0" w:color="auto"/>
        <w:bottom w:val="none" w:sz="0" w:space="0" w:color="auto"/>
        <w:right w:val="none" w:sz="0" w:space="0" w:color="auto"/>
      </w:divBdr>
    </w:div>
    <w:div w:id="301349937">
      <w:bodyDiv w:val="1"/>
      <w:marLeft w:val="0"/>
      <w:marRight w:val="0"/>
      <w:marTop w:val="0"/>
      <w:marBottom w:val="0"/>
      <w:divBdr>
        <w:top w:val="none" w:sz="0" w:space="0" w:color="auto"/>
        <w:left w:val="none" w:sz="0" w:space="0" w:color="auto"/>
        <w:bottom w:val="none" w:sz="0" w:space="0" w:color="auto"/>
        <w:right w:val="none" w:sz="0" w:space="0" w:color="auto"/>
      </w:divBdr>
    </w:div>
    <w:div w:id="332495493">
      <w:bodyDiv w:val="1"/>
      <w:marLeft w:val="0"/>
      <w:marRight w:val="0"/>
      <w:marTop w:val="0"/>
      <w:marBottom w:val="0"/>
      <w:divBdr>
        <w:top w:val="none" w:sz="0" w:space="0" w:color="auto"/>
        <w:left w:val="none" w:sz="0" w:space="0" w:color="auto"/>
        <w:bottom w:val="none" w:sz="0" w:space="0" w:color="auto"/>
        <w:right w:val="none" w:sz="0" w:space="0" w:color="auto"/>
      </w:divBdr>
    </w:div>
    <w:div w:id="362747781">
      <w:bodyDiv w:val="1"/>
      <w:marLeft w:val="0"/>
      <w:marRight w:val="0"/>
      <w:marTop w:val="0"/>
      <w:marBottom w:val="0"/>
      <w:divBdr>
        <w:top w:val="none" w:sz="0" w:space="0" w:color="auto"/>
        <w:left w:val="none" w:sz="0" w:space="0" w:color="auto"/>
        <w:bottom w:val="none" w:sz="0" w:space="0" w:color="auto"/>
        <w:right w:val="none" w:sz="0" w:space="0" w:color="auto"/>
      </w:divBdr>
    </w:div>
    <w:div w:id="365451321">
      <w:bodyDiv w:val="1"/>
      <w:marLeft w:val="0"/>
      <w:marRight w:val="0"/>
      <w:marTop w:val="0"/>
      <w:marBottom w:val="0"/>
      <w:divBdr>
        <w:top w:val="none" w:sz="0" w:space="0" w:color="auto"/>
        <w:left w:val="none" w:sz="0" w:space="0" w:color="auto"/>
        <w:bottom w:val="none" w:sz="0" w:space="0" w:color="auto"/>
        <w:right w:val="none" w:sz="0" w:space="0" w:color="auto"/>
      </w:divBdr>
    </w:div>
    <w:div w:id="379788135">
      <w:bodyDiv w:val="1"/>
      <w:marLeft w:val="0"/>
      <w:marRight w:val="0"/>
      <w:marTop w:val="0"/>
      <w:marBottom w:val="0"/>
      <w:divBdr>
        <w:top w:val="none" w:sz="0" w:space="0" w:color="auto"/>
        <w:left w:val="none" w:sz="0" w:space="0" w:color="auto"/>
        <w:bottom w:val="none" w:sz="0" w:space="0" w:color="auto"/>
        <w:right w:val="none" w:sz="0" w:space="0" w:color="auto"/>
      </w:divBdr>
    </w:div>
    <w:div w:id="386537581">
      <w:bodyDiv w:val="1"/>
      <w:marLeft w:val="0"/>
      <w:marRight w:val="0"/>
      <w:marTop w:val="0"/>
      <w:marBottom w:val="0"/>
      <w:divBdr>
        <w:top w:val="none" w:sz="0" w:space="0" w:color="auto"/>
        <w:left w:val="none" w:sz="0" w:space="0" w:color="auto"/>
        <w:bottom w:val="none" w:sz="0" w:space="0" w:color="auto"/>
        <w:right w:val="none" w:sz="0" w:space="0" w:color="auto"/>
      </w:divBdr>
    </w:div>
    <w:div w:id="432433700">
      <w:bodyDiv w:val="1"/>
      <w:marLeft w:val="0"/>
      <w:marRight w:val="0"/>
      <w:marTop w:val="0"/>
      <w:marBottom w:val="0"/>
      <w:divBdr>
        <w:top w:val="none" w:sz="0" w:space="0" w:color="auto"/>
        <w:left w:val="none" w:sz="0" w:space="0" w:color="auto"/>
        <w:bottom w:val="none" w:sz="0" w:space="0" w:color="auto"/>
        <w:right w:val="none" w:sz="0" w:space="0" w:color="auto"/>
      </w:divBdr>
    </w:div>
    <w:div w:id="469250282">
      <w:bodyDiv w:val="1"/>
      <w:marLeft w:val="0"/>
      <w:marRight w:val="0"/>
      <w:marTop w:val="0"/>
      <w:marBottom w:val="0"/>
      <w:divBdr>
        <w:top w:val="none" w:sz="0" w:space="0" w:color="auto"/>
        <w:left w:val="none" w:sz="0" w:space="0" w:color="auto"/>
        <w:bottom w:val="none" w:sz="0" w:space="0" w:color="auto"/>
        <w:right w:val="none" w:sz="0" w:space="0" w:color="auto"/>
      </w:divBdr>
      <w:divsChild>
        <w:div w:id="1567913032">
          <w:marLeft w:val="0"/>
          <w:marRight w:val="0"/>
          <w:marTop w:val="0"/>
          <w:marBottom w:val="0"/>
          <w:divBdr>
            <w:top w:val="single" w:sz="2" w:space="0" w:color="auto"/>
            <w:left w:val="single" w:sz="2" w:space="4" w:color="auto"/>
            <w:bottom w:val="single" w:sz="2" w:space="0" w:color="auto"/>
            <w:right w:val="single" w:sz="2" w:space="4" w:color="auto"/>
          </w:divBdr>
        </w:div>
      </w:divsChild>
    </w:div>
    <w:div w:id="507330777">
      <w:bodyDiv w:val="1"/>
      <w:marLeft w:val="0"/>
      <w:marRight w:val="0"/>
      <w:marTop w:val="0"/>
      <w:marBottom w:val="0"/>
      <w:divBdr>
        <w:top w:val="none" w:sz="0" w:space="0" w:color="auto"/>
        <w:left w:val="none" w:sz="0" w:space="0" w:color="auto"/>
        <w:bottom w:val="none" w:sz="0" w:space="0" w:color="auto"/>
        <w:right w:val="none" w:sz="0" w:space="0" w:color="auto"/>
      </w:divBdr>
    </w:div>
    <w:div w:id="523254466">
      <w:bodyDiv w:val="1"/>
      <w:marLeft w:val="0"/>
      <w:marRight w:val="0"/>
      <w:marTop w:val="0"/>
      <w:marBottom w:val="0"/>
      <w:divBdr>
        <w:top w:val="none" w:sz="0" w:space="0" w:color="auto"/>
        <w:left w:val="none" w:sz="0" w:space="0" w:color="auto"/>
        <w:bottom w:val="none" w:sz="0" w:space="0" w:color="auto"/>
        <w:right w:val="none" w:sz="0" w:space="0" w:color="auto"/>
      </w:divBdr>
    </w:div>
    <w:div w:id="526408217">
      <w:bodyDiv w:val="1"/>
      <w:marLeft w:val="0"/>
      <w:marRight w:val="0"/>
      <w:marTop w:val="0"/>
      <w:marBottom w:val="0"/>
      <w:divBdr>
        <w:top w:val="none" w:sz="0" w:space="0" w:color="auto"/>
        <w:left w:val="none" w:sz="0" w:space="0" w:color="auto"/>
        <w:bottom w:val="none" w:sz="0" w:space="0" w:color="auto"/>
        <w:right w:val="none" w:sz="0" w:space="0" w:color="auto"/>
      </w:divBdr>
    </w:div>
    <w:div w:id="526450992">
      <w:bodyDiv w:val="1"/>
      <w:marLeft w:val="0"/>
      <w:marRight w:val="0"/>
      <w:marTop w:val="0"/>
      <w:marBottom w:val="0"/>
      <w:divBdr>
        <w:top w:val="none" w:sz="0" w:space="0" w:color="auto"/>
        <w:left w:val="none" w:sz="0" w:space="0" w:color="auto"/>
        <w:bottom w:val="none" w:sz="0" w:space="0" w:color="auto"/>
        <w:right w:val="none" w:sz="0" w:space="0" w:color="auto"/>
      </w:divBdr>
    </w:div>
    <w:div w:id="531503632">
      <w:bodyDiv w:val="1"/>
      <w:marLeft w:val="0"/>
      <w:marRight w:val="0"/>
      <w:marTop w:val="0"/>
      <w:marBottom w:val="0"/>
      <w:divBdr>
        <w:top w:val="none" w:sz="0" w:space="0" w:color="auto"/>
        <w:left w:val="none" w:sz="0" w:space="0" w:color="auto"/>
        <w:bottom w:val="none" w:sz="0" w:space="0" w:color="auto"/>
        <w:right w:val="none" w:sz="0" w:space="0" w:color="auto"/>
      </w:divBdr>
    </w:div>
    <w:div w:id="543249612">
      <w:bodyDiv w:val="1"/>
      <w:marLeft w:val="0"/>
      <w:marRight w:val="0"/>
      <w:marTop w:val="0"/>
      <w:marBottom w:val="0"/>
      <w:divBdr>
        <w:top w:val="none" w:sz="0" w:space="0" w:color="auto"/>
        <w:left w:val="none" w:sz="0" w:space="0" w:color="auto"/>
        <w:bottom w:val="none" w:sz="0" w:space="0" w:color="auto"/>
        <w:right w:val="none" w:sz="0" w:space="0" w:color="auto"/>
      </w:divBdr>
    </w:div>
    <w:div w:id="550380957">
      <w:bodyDiv w:val="1"/>
      <w:marLeft w:val="0"/>
      <w:marRight w:val="0"/>
      <w:marTop w:val="0"/>
      <w:marBottom w:val="0"/>
      <w:divBdr>
        <w:top w:val="none" w:sz="0" w:space="0" w:color="auto"/>
        <w:left w:val="none" w:sz="0" w:space="0" w:color="auto"/>
        <w:bottom w:val="none" w:sz="0" w:space="0" w:color="auto"/>
        <w:right w:val="none" w:sz="0" w:space="0" w:color="auto"/>
      </w:divBdr>
    </w:div>
    <w:div w:id="552617234">
      <w:bodyDiv w:val="1"/>
      <w:marLeft w:val="0"/>
      <w:marRight w:val="0"/>
      <w:marTop w:val="0"/>
      <w:marBottom w:val="0"/>
      <w:divBdr>
        <w:top w:val="none" w:sz="0" w:space="0" w:color="auto"/>
        <w:left w:val="none" w:sz="0" w:space="0" w:color="auto"/>
        <w:bottom w:val="none" w:sz="0" w:space="0" w:color="auto"/>
        <w:right w:val="none" w:sz="0" w:space="0" w:color="auto"/>
      </w:divBdr>
    </w:div>
    <w:div w:id="572009396">
      <w:bodyDiv w:val="1"/>
      <w:marLeft w:val="0"/>
      <w:marRight w:val="0"/>
      <w:marTop w:val="0"/>
      <w:marBottom w:val="0"/>
      <w:divBdr>
        <w:top w:val="none" w:sz="0" w:space="0" w:color="auto"/>
        <w:left w:val="none" w:sz="0" w:space="0" w:color="auto"/>
        <w:bottom w:val="none" w:sz="0" w:space="0" w:color="auto"/>
        <w:right w:val="none" w:sz="0" w:space="0" w:color="auto"/>
      </w:divBdr>
      <w:divsChild>
        <w:div w:id="910773319">
          <w:marLeft w:val="0"/>
          <w:marRight w:val="0"/>
          <w:marTop w:val="0"/>
          <w:marBottom w:val="0"/>
          <w:divBdr>
            <w:top w:val="none" w:sz="0" w:space="0" w:color="auto"/>
            <w:left w:val="none" w:sz="0" w:space="0" w:color="auto"/>
            <w:bottom w:val="none" w:sz="0" w:space="0" w:color="auto"/>
            <w:right w:val="none" w:sz="0" w:space="0" w:color="auto"/>
          </w:divBdr>
          <w:divsChild>
            <w:div w:id="840660128">
              <w:marLeft w:val="0"/>
              <w:marRight w:val="0"/>
              <w:marTop w:val="0"/>
              <w:marBottom w:val="0"/>
              <w:divBdr>
                <w:top w:val="none" w:sz="0" w:space="0" w:color="auto"/>
                <w:left w:val="none" w:sz="0" w:space="0" w:color="auto"/>
                <w:bottom w:val="none" w:sz="0" w:space="0" w:color="auto"/>
                <w:right w:val="none" w:sz="0" w:space="0" w:color="auto"/>
              </w:divBdr>
              <w:divsChild>
                <w:div w:id="1393504654">
                  <w:marLeft w:val="0"/>
                  <w:marRight w:val="0"/>
                  <w:marTop w:val="0"/>
                  <w:marBottom w:val="0"/>
                  <w:divBdr>
                    <w:top w:val="none" w:sz="0" w:space="0" w:color="auto"/>
                    <w:left w:val="none" w:sz="0" w:space="0" w:color="auto"/>
                    <w:bottom w:val="none" w:sz="0" w:space="0" w:color="auto"/>
                    <w:right w:val="none" w:sz="0" w:space="0" w:color="auto"/>
                  </w:divBdr>
                  <w:divsChild>
                    <w:div w:id="19603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3952">
          <w:marLeft w:val="0"/>
          <w:marRight w:val="0"/>
          <w:marTop w:val="0"/>
          <w:marBottom w:val="0"/>
          <w:divBdr>
            <w:top w:val="none" w:sz="0" w:space="0" w:color="auto"/>
            <w:left w:val="none" w:sz="0" w:space="0" w:color="auto"/>
            <w:bottom w:val="none" w:sz="0" w:space="0" w:color="auto"/>
            <w:right w:val="none" w:sz="0" w:space="0" w:color="auto"/>
          </w:divBdr>
          <w:divsChild>
            <w:div w:id="1407144728">
              <w:marLeft w:val="0"/>
              <w:marRight w:val="0"/>
              <w:marTop w:val="0"/>
              <w:marBottom w:val="0"/>
              <w:divBdr>
                <w:top w:val="none" w:sz="0" w:space="0" w:color="auto"/>
                <w:left w:val="none" w:sz="0" w:space="0" w:color="auto"/>
                <w:bottom w:val="none" w:sz="0" w:space="0" w:color="auto"/>
                <w:right w:val="none" w:sz="0" w:space="0" w:color="auto"/>
              </w:divBdr>
              <w:divsChild>
                <w:div w:id="855117660">
                  <w:marLeft w:val="0"/>
                  <w:marRight w:val="0"/>
                  <w:marTop w:val="0"/>
                  <w:marBottom w:val="0"/>
                  <w:divBdr>
                    <w:top w:val="none" w:sz="0" w:space="0" w:color="auto"/>
                    <w:left w:val="none" w:sz="0" w:space="0" w:color="auto"/>
                    <w:bottom w:val="none" w:sz="0" w:space="0" w:color="auto"/>
                    <w:right w:val="none" w:sz="0" w:space="0" w:color="auto"/>
                  </w:divBdr>
                  <w:divsChild>
                    <w:div w:id="13877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00620">
      <w:bodyDiv w:val="1"/>
      <w:marLeft w:val="0"/>
      <w:marRight w:val="0"/>
      <w:marTop w:val="0"/>
      <w:marBottom w:val="0"/>
      <w:divBdr>
        <w:top w:val="none" w:sz="0" w:space="0" w:color="auto"/>
        <w:left w:val="none" w:sz="0" w:space="0" w:color="auto"/>
        <w:bottom w:val="none" w:sz="0" w:space="0" w:color="auto"/>
        <w:right w:val="none" w:sz="0" w:space="0" w:color="auto"/>
      </w:divBdr>
    </w:div>
    <w:div w:id="606040572">
      <w:bodyDiv w:val="1"/>
      <w:marLeft w:val="0"/>
      <w:marRight w:val="0"/>
      <w:marTop w:val="0"/>
      <w:marBottom w:val="0"/>
      <w:divBdr>
        <w:top w:val="none" w:sz="0" w:space="0" w:color="auto"/>
        <w:left w:val="none" w:sz="0" w:space="0" w:color="auto"/>
        <w:bottom w:val="none" w:sz="0" w:space="0" w:color="auto"/>
        <w:right w:val="none" w:sz="0" w:space="0" w:color="auto"/>
      </w:divBdr>
    </w:div>
    <w:div w:id="666323797">
      <w:bodyDiv w:val="1"/>
      <w:marLeft w:val="0"/>
      <w:marRight w:val="0"/>
      <w:marTop w:val="0"/>
      <w:marBottom w:val="0"/>
      <w:divBdr>
        <w:top w:val="none" w:sz="0" w:space="0" w:color="auto"/>
        <w:left w:val="none" w:sz="0" w:space="0" w:color="auto"/>
        <w:bottom w:val="none" w:sz="0" w:space="0" w:color="auto"/>
        <w:right w:val="none" w:sz="0" w:space="0" w:color="auto"/>
      </w:divBdr>
    </w:div>
    <w:div w:id="754860480">
      <w:bodyDiv w:val="1"/>
      <w:marLeft w:val="0"/>
      <w:marRight w:val="0"/>
      <w:marTop w:val="0"/>
      <w:marBottom w:val="0"/>
      <w:divBdr>
        <w:top w:val="none" w:sz="0" w:space="0" w:color="auto"/>
        <w:left w:val="none" w:sz="0" w:space="0" w:color="auto"/>
        <w:bottom w:val="none" w:sz="0" w:space="0" w:color="auto"/>
        <w:right w:val="none" w:sz="0" w:space="0" w:color="auto"/>
      </w:divBdr>
    </w:div>
    <w:div w:id="854538829">
      <w:bodyDiv w:val="1"/>
      <w:marLeft w:val="0"/>
      <w:marRight w:val="0"/>
      <w:marTop w:val="0"/>
      <w:marBottom w:val="0"/>
      <w:divBdr>
        <w:top w:val="none" w:sz="0" w:space="0" w:color="auto"/>
        <w:left w:val="none" w:sz="0" w:space="0" w:color="auto"/>
        <w:bottom w:val="none" w:sz="0" w:space="0" w:color="auto"/>
        <w:right w:val="none" w:sz="0" w:space="0" w:color="auto"/>
      </w:divBdr>
    </w:div>
    <w:div w:id="876968503">
      <w:bodyDiv w:val="1"/>
      <w:marLeft w:val="0"/>
      <w:marRight w:val="0"/>
      <w:marTop w:val="0"/>
      <w:marBottom w:val="0"/>
      <w:divBdr>
        <w:top w:val="none" w:sz="0" w:space="0" w:color="auto"/>
        <w:left w:val="none" w:sz="0" w:space="0" w:color="auto"/>
        <w:bottom w:val="none" w:sz="0" w:space="0" w:color="auto"/>
        <w:right w:val="none" w:sz="0" w:space="0" w:color="auto"/>
      </w:divBdr>
    </w:div>
    <w:div w:id="881015768">
      <w:bodyDiv w:val="1"/>
      <w:marLeft w:val="0"/>
      <w:marRight w:val="0"/>
      <w:marTop w:val="0"/>
      <w:marBottom w:val="0"/>
      <w:divBdr>
        <w:top w:val="none" w:sz="0" w:space="0" w:color="auto"/>
        <w:left w:val="none" w:sz="0" w:space="0" w:color="auto"/>
        <w:bottom w:val="none" w:sz="0" w:space="0" w:color="auto"/>
        <w:right w:val="none" w:sz="0" w:space="0" w:color="auto"/>
      </w:divBdr>
    </w:div>
    <w:div w:id="908464065">
      <w:bodyDiv w:val="1"/>
      <w:marLeft w:val="0"/>
      <w:marRight w:val="0"/>
      <w:marTop w:val="0"/>
      <w:marBottom w:val="0"/>
      <w:divBdr>
        <w:top w:val="none" w:sz="0" w:space="0" w:color="auto"/>
        <w:left w:val="none" w:sz="0" w:space="0" w:color="auto"/>
        <w:bottom w:val="none" w:sz="0" w:space="0" w:color="auto"/>
        <w:right w:val="none" w:sz="0" w:space="0" w:color="auto"/>
      </w:divBdr>
    </w:div>
    <w:div w:id="934702522">
      <w:bodyDiv w:val="1"/>
      <w:marLeft w:val="0"/>
      <w:marRight w:val="0"/>
      <w:marTop w:val="0"/>
      <w:marBottom w:val="0"/>
      <w:divBdr>
        <w:top w:val="none" w:sz="0" w:space="0" w:color="auto"/>
        <w:left w:val="none" w:sz="0" w:space="0" w:color="auto"/>
        <w:bottom w:val="none" w:sz="0" w:space="0" w:color="auto"/>
        <w:right w:val="none" w:sz="0" w:space="0" w:color="auto"/>
      </w:divBdr>
    </w:div>
    <w:div w:id="936013069">
      <w:bodyDiv w:val="1"/>
      <w:marLeft w:val="0"/>
      <w:marRight w:val="0"/>
      <w:marTop w:val="0"/>
      <w:marBottom w:val="0"/>
      <w:divBdr>
        <w:top w:val="none" w:sz="0" w:space="0" w:color="auto"/>
        <w:left w:val="none" w:sz="0" w:space="0" w:color="auto"/>
        <w:bottom w:val="none" w:sz="0" w:space="0" w:color="auto"/>
        <w:right w:val="none" w:sz="0" w:space="0" w:color="auto"/>
      </w:divBdr>
      <w:divsChild>
        <w:div w:id="1399013876">
          <w:marLeft w:val="0"/>
          <w:marRight w:val="0"/>
          <w:marTop w:val="0"/>
          <w:marBottom w:val="0"/>
          <w:divBdr>
            <w:top w:val="single" w:sz="2" w:space="0" w:color="auto"/>
            <w:left w:val="single" w:sz="2" w:space="4" w:color="auto"/>
            <w:bottom w:val="single" w:sz="2" w:space="0" w:color="auto"/>
            <w:right w:val="single" w:sz="2" w:space="4" w:color="auto"/>
          </w:divBdr>
        </w:div>
        <w:div w:id="1865944440">
          <w:marLeft w:val="0"/>
          <w:marRight w:val="0"/>
          <w:marTop w:val="0"/>
          <w:marBottom w:val="0"/>
          <w:divBdr>
            <w:top w:val="single" w:sz="2" w:space="0" w:color="auto"/>
            <w:left w:val="single" w:sz="2" w:space="4" w:color="auto"/>
            <w:bottom w:val="single" w:sz="2" w:space="0" w:color="auto"/>
            <w:right w:val="single" w:sz="2" w:space="4" w:color="auto"/>
          </w:divBdr>
        </w:div>
      </w:divsChild>
    </w:div>
    <w:div w:id="940380129">
      <w:bodyDiv w:val="1"/>
      <w:marLeft w:val="0"/>
      <w:marRight w:val="0"/>
      <w:marTop w:val="0"/>
      <w:marBottom w:val="0"/>
      <w:divBdr>
        <w:top w:val="none" w:sz="0" w:space="0" w:color="auto"/>
        <w:left w:val="none" w:sz="0" w:space="0" w:color="auto"/>
        <w:bottom w:val="none" w:sz="0" w:space="0" w:color="auto"/>
        <w:right w:val="none" w:sz="0" w:space="0" w:color="auto"/>
      </w:divBdr>
    </w:div>
    <w:div w:id="944968818">
      <w:bodyDiv w:val="1"/>
      <w:marLeft w:val="0"/>
      <w:marRight w:val="0"/>
      <w:marTop w:val="0"/>
      <w:marBottom w:val="0"/>
      <w:divBdr>
        <w:top w:val="none" w:sz="0" w:space="0" w:color="auto"/>
        <w:left w:val="none" w:sz="0" w:space="0" w:color="auto"/>
        <w:bottom w:val="none" w:sz="0" w:space="0" w:color="auto"/>
        <w:right w:val="none" w:sz="0" w:space="0" w:color="auto"/>
      </w:divBdr>
    </w:div>
    <w:div w:id="947660615">
      <w:bodyDiv w:val="1"/>
      <w:marLeft w:val="0"/>
      <w:marRight w:val="0"/>
      <w:marTop w:val="0"/>
      <w:marBottom w:val="0"/>
      <w:divBdr>
        <w:top w:val="none" w:sz="0" w:space="0" w:color="auto"/>
        <w:left w:val="none" w:sz="0" w:space="0" w:color="auto"/>
        <w:bottom w:val="none" w:sz="0" w:space="0" w:color="auto"/>
        <w:right w:val="none" w:sz="0" w:space="0" w:color="auto"/>
      </w:divBdr>
    </w:div>
    <w:div w:id="953750055">
      <w:bodyDiv w:val="1"/>
      <w:marLeft w:val="0"/>
      <w:marRight w:val="0"/>
      <w:marTop w:val="0"/>
      <w:marBottom w:val="0"/>
      <w:divBdr>
        <w:top w:val="none" w:sz="0" w:space="0" w:color="auto"/>
        <w:left w:val="none" w:sz="0" w:space="0" w:color="auto"/>
        <w:bottom w:val="none" w:sz="0" w:space="0" w:color="auto"/>
        <w:right w:val="none" w:sz="0" w:space="0" w:color="auto"/>
      </w:divBdr>
    </w:div>
    <w:div w:id="968435772">
      <w:bodyDiv w:val="1"/>
      <w:marLeft w:val="0"/>
      <w:marRight w:val="0"/>
      <w:marTop w:val="0"/>
      <w:marBottom w:val="0"/>
      <w:divBdr>
        <w:top w:val="none" w:sz="0" w:space="0" w:color="auto"/>
        <w:left w:val="none" w:sz="0" w:space="0" w:color="auto"/>
        <w:bottom w:val="none" w:sz="0" w:space="0" w:color="auto"/>
        <w:right w:val="none" w:sz="0" w:space="0" w:color="auto"/>
      </w:divBdr>
    </w:div>
    <w:div w:id="1000740976">
      <w:bodyDiv w:val="1"/>
      <w:marLeft w:val="0"/>
      <w:marRight w:val="0"/>
      <w:marTop w:val="0"/>
      <w:marBottom w:val="0"/>
      <w:divBdr>
        <w:top w:val="none" w:sz="0" w:space="0" w:color="auto"/>
        <w:left w:val="none" w:sz="0" w:space="0" w:color="auto"/>
        <w:bottom w:val="none" w:sz="0" w:space="0" w:color="auto"/>
        <w:right w:val="none" w:sz="0" w:space="0" w:color="auto"/>
      </w:divBdr>
    </w:div>
    <w:div w:id="1024593242">
      <w:bodyDiv w:val="1"/>
      <w:marLeft w:val="0"/>
      <w:marRight w:val="0"/>
      <w:marTop w:val="0"/>
      <w:marBottom w:val="0"/>
      <w:divBdr>
        <w:top w:val="none" w:sz="0" w:space="0" w:color="auto"/>
        <w:left w:val="none" w:sz="0" w:space="0" w:color="auto"/>
        <w:bottom w:val="none" w:sz="0" w:space="0" w:color="auto"/>
        <w:right w:val="none" w:sz="0" w:space="0" w:color="auto"/>
      </w:divBdr>
    </w:div>
    <w:div w:id="1040975002">
      <w:bodyDiv w:val="1"/>
      <w:marLeft w:val="0"/>
      <w:marRight w:val="0"/>
      <w:marTop w:val="0"/>
      <w:marBottom w:val="0"/>
      <w:divBdr>
        <w:top w:val="none" w:sz="0" w:space="0" w:color="auto"/>
        <w:left w:val="none" w:sz="0" w:space="0" w:color="auto"/>
        <w:bottom w:val="none" w:sz="0" w:space="0" w:color="auto"/>
        <w:right w:val="none" w:sz="0" w:space="0" w:color="auto"/>
      </w:divBdr>
      <w:divsChild>
        <w:div w:id="3098787">
          <w:marLeft w:val="0"/>
          <w:marRight w:val="0"/>
          <w:marTop w:val="0"/>
          <w:marBottom w:val="0"/>
          <w:divBdr>
            <w:top w:val="single" w:sz="2" w:space="0" w:color="auto"/>
            <w:left w:val="single" w:sz="2" w:space="4" w:color="auto"/>
            <w:bottom w:val="single" w:sz="2" w:space="0" w:color="auto"/>
            <w:right w:val="single" w:sz="2" w:space="4" w:color="auto"/>
          </w:divBdr>
        </w:div>
        <w:div w:id="2124490713">
          <w:marLeft w:val="0"/>
          <w:marRight w:val="0"/>
          <w:marTop w:val="0"/>
          <w:marBottom w:val="0"/>
          <w:divBdr>
            <w:top w:val="single" w:sz="2" w:space="0" w:color="auto"/>
            <w:left w:val="single" w:sz="2" w:space="4" w:color="auto"/>
            <w:bottom w:val="single" w:sz="2" w:space="0" w:color="auto"/>
            <w:right w:val="single" w:sz="2" w:space="4" w:color="auto"/>
          </w:divBdr>
        </w:div>
      </w:divsChild>
    </w:div>
    <w:div w:id="1055665622">
      <w:bodyDiv w:val="1"/>
      <w:marLeft w:val="0"/>
      <w:marRight w:val="0"/>
      <w:marTop w:val="0"/>
      <w:marBottom w:val="0"/>
      <w:divBdr>
        <w:top w:val="none" w:sz="0" w:space="0" w:color="auto"/>
        <w:left w:val="none" w:sz="0" w:space="0" w:color="auto"/>
        <w:bottom w:val="none" w:sz="0" w:space="0" w:color="auto"/>
        <w:right w:val="none" w:sz="0" w:space="0" w:color="auto"/>
      </w:divBdr>
    </w:div>
    <w:div w:id="1084960570">
      <w:bodyDiv w:val="1"/>
      <w:marLeft w:val="0"/>
      <w:marRight w:val="0"/>
      <w:marTop w:val="0"/>
      <w:marBottom w:val="0"/>
      <w:divBdr>
        <w:top w:val="none" w:sz="0" w:space="0" w:color="auto"/>
        <w:left w:val="none" w:sz="0" w:space="0" w:color="auto"/>
        <w:bottom w:val="none" w:sz="0" w:space="0" w:color="auto"/>
        <w:right w:val="none" w:sz="0" w:space="0" w:color="auto"/>
      </w:divBdr>
    </w:div>
    <w:div w:id="1115566328">
      <w:bodyDiv w:val="1"/>
      <w:marLeft w:val="0"/>
      <w:marRight w:val="0"/>
      <w:marTop w:val="0"/>
      <w:marBottom w:val="0"/>
      <w:divBdr>
        <w:top w:val="none" w:sz="0" w:space="0" w:color="auto"/>
        <w:left w:val="none" w:sz="0" w:space="0" w:color="auto"/>
        <w:bottom w:val="none" w:sz="0" w:space="0" w:color="auto"/>
        <w:right w:val="none" w:sz="0" w:space="0" w:color="auto"/>
      </w:divBdr>
    </w:div>
    <w:div w:id="1120223215">
      <w:bodyDiv w:val="1"/>
      <w:marLeft w:val="0"/>
      <w:marRight w:val="0"/>
      <w:marTop w:val="0"/>
      <w:marBottom w:val="0"/>
      <w:divBdr>
        <w:top w:val="none" w:sz="0" w:space="0" w:color="auto"/>
        <w:left w:val="none" w:sz="0" w:space="0" w:color="auto"/>
        <w:bottom w:val="none" w:sz="0" w:space="0" w:color="auto"/>
        <w:right w:val="none" w:sz="0" w:space="0" w:color="auto"/>
      </w:divBdr>
    </w:div>
    <w:div w:id="1158888339">
      <w:bodyDiv w:val="1"/>
      <w:marLeft w:val="0"/>
      <w:marRight w:val="0"/>
      <w:marTop w:val="0"/>
      <w:marBottom w:val="0"/>
      <w:divBdr>
        <w:top w:val="none" w:sz="0" w:space="0" w:color="auto"/>
        <w:left w:val="none" w:sz="0" w:space="0" w:color="auto"/>
        <w:bottom w:val="none" w:sz="0" w:space="0" w:color="auto"/>
        <w:right w:val="none" w:sz="0" w:space="0" w:color="auto"/>
      </w:divBdr>
    </w:div>
    <w:div w:id="1163282140">
      <w:bodyDiv w:val="1"/>
      <w:marLeft w:val="0"/>
      <w:marRight w:val="0"/>
      <w:marTop w:val="0"/>
      <w:marBottom w:val="0"/>
      <w:divBdr>
        <w:top w:val="none" w:sz="0" w:space="0" w:color="auto"/>
        <w:left w:val="none" w:sz="0" w:space="0" w:color="auto"/>
        <w:bottom w:val="none" w:sz="0" w:space="0" w:color="auto"/>
        <w:right w:val="none" w:sz="0" w:space="0" w:color="auto"/>
      </w:divBdr>
    </w:div>
    <w:div w:id="1168793268">
      <w:bodyDiv w:val="1"/>
      <w:marLeft w:val="0"/>
      <w:marRight w:val="0"/>
      <w:marTop w:val="0"/>
      <w:marBottom w:val="0"/>
      <w:divBdr>
        <w:top w:val="none" w:sz="0" w:space="0" w:color="auto"/>
        <w:left w:val="none" w:sz="0" w:space="0" w:color="auto"/>
        <w:bottom w:val="none" w:sz="0" w:space="0" w:color="auto"/>
        <w:right w:val="none" w:sz="0" w:space="0" w:color="auto"/>
      </w:divBdr>
      <w:divsChild>
        <w:div w:id="774331048">
          <w:marLeft w:val="0"/>
          <w:marRight w:val="0"/>
          <w:marTop w:val="0"/>
          <w:marBottom w:val="0"/>
          <w:divBdr>
            <w:top w:val="single" w:sz="2" w:space="0" w:color="auto"/>
            <w:left w:val="single" w:sz="2" w:space="4" w:color="auto"/>
            <w:bottom w:val="single" w:sz="2" w:space="0" w:color="auto"/>
            <w:right w:val="single" w:sz="2" w:space="4" w:color="auto"/>
          </w:divBdr>
        </w:div>
        <w:div w:id="1034889728">
          <w:marLeft w:val="0"/>
          <w:marRight w:val="0"/>
          <w:marTop w:val="0"/>
          <w:marBottom w:val="0"/>
          <w:divBdr>
            <w:top w:val="single" w:sz="2" w:space="0" w:color="auto"/>
            <w:left w:val="single" w:sz="2" w:space="4" w:color="auto"/>
            <w:bottom w:val="single" w:sz="2" w:space="0" w:color="auto"/>
            <w:right w:val="single" w:sz="2" w:space="4" w:color="auto"/>
          </w:divBdr>
        </w:div>
        <w:div w:id="1583946709">
          <w:marLeft w:val="0"/>
          <w:marRight w:val="0"/>
          <w:marTop w:val="0"/>
          <w:marBottom w:val="0"/>
          <w:divBdr>
            <w:top w:val="single" w:sz="2" w:space="0" w:color="auto"/>
            <w:left w:val="single" w:sz="2" w:space="4" w:color="auto"/>
            <w:bottom w:val="single" w:sz="2" w:space="0" w:color="auto"/>
            <w:right w:val="single" w:sz="2" w:space="4" w:color="auto"/>
          </w:divBdr>
        </w:div>
        <w:div w:id="1588727693">
          <w:marLeft w:val="0"/>
          <w:marRight w:val="0"/>
          <w:marTop w:val="0"/>
          <w:marBottom w:val="0"/>
          <w:divBdr>
            <w:top w:val="single" w:sz="2" w:space="0" w:color="auto"/>
            <w:left w:val="single" w:sz="2" w:space="4" w:color="auto"/>
            <w:bottom w:val="single" w:sz="2" w:space="0" w:color="auto"/>
            <w:right w:val="single" w:sz="2" w:space="4" w:color="auto"/>
          </w:divBdr>
        </w:div>
      </w:divsChild>
    </w:div>
    <w:div w:id="1193878750">
      <w:bodyDiv w:val="1"/>
      <w:marLeft w:val="0"/>
      <w:marRight w:val="0"/>
      <w:marTop w:val="0"/>
      <w:marBottom w:val="0"/>
      <w:divBdr>
        <w:top w:val="none" w:sz="0" w:space="0" w:color="auto"/>
        <w:left w:val="none" w:sz="0" w:space="0" w:color="auto"/>
        <w:bottom w:val="none" w:sz="0" w:space="0" w:color="auto"/>
        <w:right w:val="none" w:sz="0" w:space="0" w:color="auto"/>
      </w:divBdr>
    </w:div>
    <w:div w:id="1203978668">
      <w:bodyDiv w:val="1"/>
      <w:marLeft w:val="0"/>
      <w:marRight w:val="0"/>
      <w:marTop w:val="0"/>
      <w:marBottom w:val="0"/>
      <w:divBdr>
        <w:top w:val="none" w:sz="0" w:space="0" w:color="auto"/>
        <w:left w:val="none" w:sz="0" w:space="0" w:color="auto"/>
        <w:bottom w:val="none" w:sz="0" w:space="0" w:color="auto"/>
        <w:right w:val="none" w:sz="0" w:space="0" w:color="auto"/>
      </w:divBdr>
    </w:div>
    <w:div w:id="1223055914">
      <w:bodyDiv w:val="1"/>
      <w:marLeft w:val="0"/>
      <w:marRight w:val="0"/>
      <w:marTop w:val="0"/>
      <w:marBottom w:val="0"/>
      <w:divBdr>
        <w:top w:val="none" w:sz="0" w:space="0" w:color="auto"/>
        <w:left w:val="none" w:sz="0" w:space="0" w:color="auto"/>
        <w:bottom w:val="none" w:sz="0" w:space="0" w:color="auto"/>
        <w:right w:val="none" w:sz="0" w:space="0" w:color="auto"/>
      </w:divBdr>
    </w:div>
    <w:div w:id="1235316307">
      <w:bodyDiv w:val="1"/>
      <w:marLeft w:val="0"/>
      <w:marRight w:val="0"/>
      <w:marTop w:val="0"/>
      <w:marBottom w:val="0"/>
      <w:divBdr>
        <w:top w:val="none" w:sz="0" w:space="0" w:color="auto"/>
        <w:left w:val="none" w:sz="0" w:space="0" w:color="auto"/>
        <w:bottom w:val="none" w:sz="0" w:space="0" w:color="auto"/>
        <w:right w:val="none" w:sz="0" w:space="0" w:color="auto"/>
      </w:divBdr>
    </w:div>
    <w:div w:id="1255478596">
      <w:bodyDiv w:val="1"/>
      <w:marLeft w:val="0"/>
      <w:marRight w:val="0"/>
      <w:marTop w:val="0"/>
      <w:marBottom w:val="0"/>
      <w:divBdr>
        <w:top w:val="none" w:sz="0" w:space="0" w:color="auto"/>
        <w:left w:val="none" w:sz="0" w:space="0" w:color="auto"/>
        <w:bottom w:val="none" w:sz="0" w:space="0" w:color="auto"/>
        <w:right w:val="none" w:sz="0" w:space="0" w:color="auto"/>
      </w:divBdr>
    </w:div>
    <w:div w:id="1257859277">
      <w:bodyDiv w:val="1"/>
      <w:marLeft w:val="0"/>
      <w:marRight w:val="0"/>
      <w:marTop w:val="0"/>
      <w:marBottom w:val="0"/>
      <w:divBdr>
        <w:top w:val="none" w:sz="0" w:space="0" w:color="auto"/>
        <w:left w:val="none" w:sz="0" w:space="0" w:color="auto"/>
        <w:bottom w:val="none" w:sz="0" w:space="0" w:color="auto"/>
        <w:right w:val="none" w:sz="0" w:space="0" w:color="auto"/>
      </w:divBdr>
    </w:div>
    <w:div w:id="1269388510">
      <w:bodyDiv w:val="1"/>
      <w:marLeft w:val="0"/>
      <w:marRight w:val="0"/>
      <w:marTop w:val="0"/>
      <w:marBottom w:val="0"/>
      <w:divBdr>
        <w:top w:val="none" w:sz="0" w:space="0" w:color="auto"/>
        <w:left w:val="none" w:sz="0" w:space="0" w:color="auto"/>
        <w:bottom w:val="none" w:sz="0" w:space="0" w:color="auto"/>
        <w:right w:val="none" w:sz="0" w:space="0" w:color="auto"/>
      </w:divBdr>
    </w:div>
    <w:div w:id="1285112045">
      <w:bodyDiv w:val="1"/>
      <w:marLeft w:val="0"/>
      <w:marRight w:val="0"/>
      <w:marTop w:val="0"/>
      <w:marBottom w:val="0"/>
      <w:divBdr>
        <w:top w:val="none" w:sz="0" w:space="0" w:color="auto"/>
        <w:left w:val="none" w:sz="0" w:space="0" w:color="auto"/>
        <w:bottom w:val="none" w:sz="0" w:space="0" w:color="auto"/>
        <w:right w:val="none" w:sz="0" w:space="0" w:color="auto"/>
      </w:divBdr>
      <w:divsChild>
        <w:div w:id="1699771085">
          <w:marLeft w:val="0"/>
          <w:marRight w:val="0"/>
          <w:marTop w:val="0"/>
          <w:marBottom w:val="0"/>
          <w:divBdr>
            <w:top w:val="none" w:sz="0" w:space="0" w:color="auto"/>
            <w:left w:val="none" w:sz="0" w:space="0" w:color="auto"/>
            <w:bottom w:val="none" w:sz="0" w:space="0" w:color="auto"/>
            <w:right w:val="none" w:sz="0" w:space="0" w:color="auto"/>
          </w:divBdr>
          <w:divsChild>
            <w:div w:id="685984305">
              <w:marLeft w:val="0"/>
              <w:marRight w:val="0"/>
              <w:marTop w:val="0"/>
              <w:marBottom w:val="0"/>
              <w:divBdr>
                <w:top w:val="none" w:sz="0" w:space="0" w:color="auto"/>
                <w:left w:val="none" w:sz="0" w:space="0" w:color="auto"/>
                <w:bottom w:val="none" w:sz="0" w:space="0" w:color="auto"/>
                <w:right w:val="none" w:sz="0" w:space="0" w:color="auto"/>
              </w:divBdr>
              <w:divsChild>
                <w:div w:id="331225838">
                  <w:marLeft w:val="0"/>
                  <w:marRight w:val="0"/>
                  <w:marTop w:val="0"/>
                  <w:marBottom w:val="0"/>
                  <w:divBdr>
                    <w:top w:val="none" w:sz="0" w:space="0" w:color="auto"/>
                    <w:left w:val="none" w:sz="0" w:space="0" w:color="auto"/>
                    <w:bottom w:val="none" w:sz="0" w:space="0" w:color="auto"/>
                    <w:right w:val="none" w:sz="0" w:space="0" w:color="auto"/>
                  </w:divBdr>
                  <w:divsChild>
                    <w:div w:id="1741366799">
                      <w:marLeft w:val="0"/>
                      <w:marRight w:val="0"/>
                      <w:marTop w:val="0"/>
                      <w:marBottom w:val="0"/>
                      <w:divBdr>
                        <w:top w:val="none" w:sz="0" w:space="0" w:color="auto"/>
                        <w:left w:val="none" w:sz="0" w:space="0" w:color="auto"/>
                        <w:bottom w:val="none" w:sz="0" w:space="0" w:color="auto"/>
                        <w:right w:val="none" w:sz="0" w:space="0" w:color="auto"/>
                      </w:divBdr>
                      <w:divsChild>
                        <w:div w:id="2092120264">
                          <w:marLeft w:val="0"/>
                          <w:marRight w:val="0"/>
                          <w:marTop w:val="0"/>
                          <w:marBottom w:val="0"/>
                          <w:divBdr>
                            <w:top w:val="none" w:sz="0" w:space="0" w:color="auto"/>
                            <w:left w:val="none" w:sz="0" w:space="0" w:color="auto"/>
                            <w:bottom w:val="none" w:sz="0" w:space="0" w:color="auto"/>
                            <w:right w:val="none" w:sz="0" w:space="0" w:color="auto"/>
                          </w:divBdr>
                          <w:divsChild>
                            <w:div w:id="15275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932736">
      <w:bodyDiv w:val="1"/>
      <w:marLeft w:val="0"/>
      <w:marRight w:val="0"/>
      <w:marTop w:val="0"/>
      <w:marBottom w:val="0"/>
      <w:divBdr>
        <w:top w:val="none" w:sz="0" w:space="0" w:color="auto"/>
        <w:left w:val="none" w:sz="0" w:space="0" w:color="auto"/>
        <w:bottom w:val="none" w:sz="0" w:space="0" w:color="auto"/>
        <w:right w:val="none" w:sz="0" w:space="0" w:color="auto"/>
      </w:divBdr>
    </w:div>
    <w:div w:id="1307273956">
      <w:bodyDiv w:val="1"/>
      <w:marLeft w:val="0"/>
      <w:marRight w:val="0"/>
      <w:marTop w:val="0"/>
      <w:marBottom w:val="0"/>
      <w:divBdr>
        <w:top w:val="none" w:sz="0" w:space="0" w:color="auto"/>
        <w:left w:val="none" w:sz="0" w:space="0" w:color="auto"/>
        <w:bottom w:val="none" w:sz="0" w:space="0" w:color="auto"/>
        <w:right w:val="none" w:sz="0" w:space="0" w:color="auto"/>
      </w:divBdr>
    </w:div>
    <w:div w:id="1314674617">
      <w:bodyDiv w:val="1"/>
      <w:marLeft w:val="0"/>
      <w:marRight w:val="0"/>
      <w:marTop w:val="0"/>
      <w:marBottom w:val="0"/>
      <w:divBdr>
        <w:top w:val="none" w:sz="0" w:space="0" w:color="auto"/>
        <w:left w:val="none" w:sz="0" w:space="0" w:color="auto"/>
        <w:bottom w:val="none" w:sz="0" w:space="0" w:color="auto"/>
        <w:right w:val="none" w:sz="0" w:space="0" w:color="auto"/>
      </w:divBdr>
    </w:div>
    <w:div w:id="1345014095">
      <w:bodyDiv w:val="1"/>
      <w:marLeft w:val="0"/>
      <w:marRight w:val="0"/>
      <w:marTop w:val="0"/>
      <w:marBottom w:val="0"/>
      <w:divBdr>
        <w:top w:val="none" w:sz="0" w:space="0" w:color="auto"/>
        <w:left w:val="none" w:sz="0" w:space="0" w:color="auto"/>
        <w:bottom w:val="none" w:sz="0" w:space="0" w:color="auto"/>
        <w:right w:val="none" w:sz="0" w:space="0" w:color="auto"/>
      </w:divBdr>
    </w:div>
    <w:div w:id="1350520453">
      <w:bodyDiv w:val="1"/>
      <w:marLeft w:val="0"/>
      <w:marRight w:val="0"/>
      <w:marTop w:val="0"/>
      <w:marBottom w:val="0"/>
      <w:divBdr>
        <w:top w:val="none" w:sz="0" w:space="0" w:color="auto"/>
        <w:left w:val="none" w:sz="0" w:space="0" w:color="auto"/>
        <w:bottom w:val="none" w:sz="0" w:space="0" w:color="auto"/>
        <w:right w:val="none" w:sz="0" w:space="0" w:color="auto"/>
      </w:divBdr>
    </w:div>
    <w:div w:id="1395010752">
      <w:bodyDiv w:val="1"/>
      <w:marLeft w:val="0"/>
      <w:marRight w:val="0"/>
      <w:marTop w:val="0"/>
      <w:marBottom w:val="0"/>
      <w:divBdr>
        <w:top w:val="none" w:sz="0" w:space="0" w:color="auto"/>
        <w:left w:val="none" w:sz="0" w:space="0" w:color="auto"/>
        <w:bottom w:val="none" w:sz="0" w:space="0" w:color="auto"/>
        <w:right w:val="none" w:sz="0" w:space="0" w:color="auto"/>
      </w:divBdr>
    </w:div>
    <w:div w:id="1433821937">
      <w:bodyDiv w:val="1"/>
      <w:marLeft w:val="0"/>
      <w:marRight w:val="0"/>
      <w:marTop w:val="0"/>
      <w:marBottom w:val="0"/>
      <w:divBdr>
        <w:top w:val="none" w:sz="0" w:space="0" w:color="auto"/>
        <w:left w:val="none" w:sz="0" w:space="0" w:color="auto"/>
        <w:bottom w:val="none" w:sz="0" w:space="0" w:color="auto"/>
        <w:right w:val="none" w:sz="0" w:space="0" w:color="auto"/>
      </w:divBdr>
    </w:div>
    <w:div w:id="1466854346">
      <w:bodyDiv w:val="1"/>
      <w:marLeft w:val="0"/>
      <w:marRight w:val="0"/>
      <w:marTop w:val="0"/>
      <w:marBottom w:val="0"/>
      <w:divBdr>
        <w:top w:val="none" w:sz="0" w:space="0" w:color="auto"/>
        <w:left w:val="none" w:sz="0" w:space="0" w:color="auto"/>
        <w:bottom w:val="none" w:sz="0" w:space="0" w:color="auto"/>
        <w:right w:val="none" w:sz="0" w:space="0" w:color="auto"/>
      </w:divBdr>
    </w:div>
    <w:div w:id="1468744516">
      <w:bodyDiv w:val="1"/>
      <w:marLeft w:val="0"/>
      <w:marRight w:val="0"/>
      <w:marTop w:val="0"/>
      <w:marBottom w:val="0"/>
      <w:divBdr>
        <w:top w:val="none" w:sz="0" w:space="0" w:color="auto"/>
        <w:left w:val="none" w:sz="0" w:space="0" w:color="auto"/>
        <w:bottom w:val="none" w:sz="0" w:space="0" w:color="auto"/>
        <w:right w:val="none" w:sz="0" w:space="0" w:color="auto"/>
      </w:divBdr>
    </w:div>
    <w:div w:id="1492714323">
      <w:bodyDiv w:val="1"/>
      <w:marLeft w:val="0"/>
      <w:marRight w:val="0"/>
      <w:marTop w:val="0"/>
      <w:marBottom w:val="0"/>
      <w:divBdr>
        <w:top w:val="none" w:sz="0" w:space="0" w:color="auto"/>
        <w:left w:val="none" w:sz="0" w:space="0" w:color="auto"/>
        <w:bottom w:val="none" w:sz="0" w:space="0" w:color="auto"/>
        <w:right w:val="none" w:sz="0" w:space="0" w:color="auto"/>
      </w:divBdr>
    </w:div>
    <w:div w:id="1514997242">
      <w:bodyDiv w:val="1"/>
      <w:marLeft w:val="0"/>
      <w:marRight w:val="0"/>
      <w:marTop w:val="0"/>
      <w:marBottom w:val="0"/>
      <w:divBdr>
        <w:top w:val="none" w:sz="0" w:space="0" w:color="auto"/>
        <w:left w:val="none" w:sz="0" w:space="0" w:color="auto"/>
        <w:bottom w:val="none" w:sz="0" w:space="0" w:color="auto"/>
        <w:right w:val="none" w:sz="0" w:space="0" w:color="auto"/>
      </w:divBdr>
    </w:div>
    <w:div w:id="1534028439">
      <w:bodyDiv w:val="1"/>
      <w:marLeft w:val="0"/>
      <w:marRight w:val="0"/>
      <w:marTop w:val="0"/>
      <w:marBottom w:val="0"/>
      <w:divBdr>
        <w:top w:val="none" w:sz="0" w:space="0" w:color="auto"/>
        <w:left w:val="none" w:sz="0" w:space="0" w:color="auto"/>
        <w:bottom w:val="none" w:sz="0" w:space="0" w:color="auto"/>
        <w:right w:val="none" w:sz="0" w:space="0" w:color="auto"/>
      </w:divBdr>
    </w:div>
    <w:div w:id="1601328671">
      <w:bodyDiv w:val="1"/>
      <w:marLeft w:val="0"/>
      <w:marRight w:val="0"/>
      <w:marTop w:val="0"/>
      <w:marBottom w:val="0"/>
      <w:divBdr>
        <w:top w:val="none" w:sz="0" w:space="0" w:color="auto"/>
        <w:left w:val="none" w:sz="0" w:space="0" w:color="auto"/>
        <w:bottom w:val="none" w:sz="0" w:space="0" w:color="auto"/>
        <w:right w:val="none" w:sz="0" w:space="0" w:color="auto"/>
      </w:divBdr>
    </w:div>
    <w:div w:id="1607301593">
      <w:bodyDiv w:val="1"/>
      <w:marLeft w:val="0"/>
      <w:marRight w:val="0"/>
      <w:marTop w:val="0"/>
      <w:marBottom w:val="0"/>
      <w:divBdr>
        <w:top w:val="none" w:sz="0" w:space="0" w:color="auto"/>
        <w:left w:val="none" w:sz="0" w:space="0" w:color="auto"/>
        <w:bottom w:val="none" w:sz="0" w:space="0" w:color="auto"/>
        <w:right w:val="none" w:sz="0" w:space="0" w:color="auto"/>
      </w:divBdr>
    </w:div>
    <w:div w:id="1641033104">
      <w:bodyDiv w:val="1"/>
      <w:marLeft w:val="0"/>
      <w:marRight w:val="0"/>
      <w:marTop w:val="0"/>
      <w:marBottom w:val="0"/>
      <w:divBdr>
        <w:top w:val="none" w:sz="0" w:space="0" w:color="auto"/>
        <w:left w:val="none" w:sz="0" w:space="0" w:color="auto"/>
        <w:bottom w:val="none" w:sz="0" w:space="0" w:color="auto"/>
        <w:right w:val="none" w:sz="0" w:space="0" w:color="auto"/>
      </w:divBdr>
    </w:div>
    <w:div w:id="1652367162">
      <w:bodyDiv w:val="1"/>
      <w:marLeft w:val="0"/>
      <w:marRight w:val="0"/>
      <w:marTop w:val="0"/>
      <w:marBottom w:val="0"/>
      <w:divBdr>
        <w:top w:val="none" w:sz="0" w:space="0" w:color="auto"/>
        <w:left w:val="none" w:sz="0" w:space="0" w:color="auto"/>
        <w:bottom w:val="none" w:sz="0" w:space="0" w:color="auto"/>
        <w:right w:val="none" w:sz="0" w:space="0" w:color="auto"/>
      </w:divBdr>
    </w:div>
    <w:div w:id="1696537391">
      <w:bodyDiv w:val="1"/>
      <w:marLeft w:val="0"/>
      <w:marRight w:val="0"/>
      <w:marTop w:val="0"/>
      <w:marBottom w:val="0"/>
      <w:divBdr>
        <w:top w:val="none" w:sz="0" w:space="0" w:color="auto"/>
        <w:left w:val="none" w:sz="0" w:space="0" w:color="auto"/>
        <w:bottom w:val="none" w:sz="0" w:space="0" w:color="auto"/>
        <w:right w:val="none" w:sz="0" w:space="0" w:color="auto"/>
      </w:divBdr>
    </w:div>
    <w:div w:id="1723405251">
      <w:bodyDiv w:val="1"/>
      <w:marLeft w:val="0"/>
      <w:marRight w:val="0"/>
      <w:marTop w:val="0"/>
      <w:marBottom w:val="0"/>
      <w:divBdr>
        <w:top w:val="none" w:sz="0" w:space="0" w:color="auto"/>
        <w:left w:val="none" w:sz="0" w:space="0" w:color="auto"/>
        <w:bottom w:val="none" w:sz="0" w:space="0" w:color="auto"/>
        <w:right w:val="none" w:sz="0" w:space="0" w:color="auto"/>
      </w:divBdr>
    </w:div>
    <w:div w:id="1734816289">
      <w:bodyDiv w:val="1"/>
      <w:marLeft w:val="0"/>
      <w:marRight w:val="0"/>
      <w:marTop w:val="0"/>
      <w:marBottom w:val="0"/>
      <w:divBdr>
        <w:top w:val="none" w:sz="0" w:space="0" w:color="auto"/>
        <w:left w:val="none" w:sz="0" w:space="0" w:color="auto"/>
        <w:bottom w:val="none" w:sz="0" w:space="0" w:color="auto"/>
        <w:right w:val="none" w:sz="0" w:space="0" w:color="auto"/>
      </w:divBdr>
    </w:div>
    <w:div w:id="1742294349">
      <w:bodyDiv w:val="1"/>
      <w:marLeft w:val="0"/>
      <w:marRight w:val="0"/>
      <w:marTop w:val="0"/>
      <w:marBottom w:val="0"/>
      <w:divBdr>
        <w:top w:val="none" w:sz="0" w:space="0" w:color="auto"/>
        <w:left w:val="none" w:sz="0" w:space="0" w:color="auto"/>
        <w:bottom w:val="none" w:sz="0" w:space="0" w:color="auto"/>
        <w:right w:val="none" w:sz="0" w:space="0" w:color="auto"/>
      </w:divBdr>
    </w:div>
    <w:div w:id="1744838962">
      <w:bodyDiv w:val="1"/>
      <w:marLeft w:val="0"/>
      <w:marRight w:val="0"/>
      <w:marTop w:val="0"/>
      <w:marBottom w:val="0"/>
      <w:divBdr>
        <w:top w:val="none" w:sz="0" w:space="0" w:color="auto"/>
        <w:left w:val="none" w:sz="0" w:space="0" w:color="auto"/>
        <w:bottom w:val="none" w:sz="0" w:space="0" w:color="auto"/>
        <w:right w:val="none" w:sz="0" w:space="0" w:color="auto"/>
      </w:divBdr>
    </w:div>
    <w:div w:id="1798260933">
      <w:bodyDiv w:val="1"/>
      <w:marLeft w:val="0"/>
      <w:marRight w:val="0"/>
      <w:marTop w:val="0"/>
      <w:marBottom w:val="0"/>
      <w:divBdr>
        <w:top w:val="none" w:sz="0" w:space="0" w:color="auto"/>
        <w:left w:val="none" w:sz="0" w:space="0" w:color="auto"/>
        <w:bottom w:val="none" w:sz="0" w:space="0" w:color="auto"/>
        <w:right w:val="none" w:sz="0" w:space="0" w:color="auto"/>
      </w:divBdr>
    </w:div>
    <w:div w:id="1800217669">
      <w:bodyDiv w:val="1"/>
      <w:marLeft w:val="0"/>
      <w:marRight w:val="0"/>
      <w:marTop w:val="0"/>
      <w:marBottom w:val="0"/>
      <w:divBdr>
        <w:top w:val="none" w:sz="0" w:space="0" w:color="auto"/>
        <w:left w:val="none" w:sz="0" w:space="0" w:color="auto"/>
        <w:bottom w:val="none" w:sz="0" w:space="0" w:color="auto"/>
        <w:right w:val="none" w:sz="0" w:space="0" w:color="auto"/>
      </w:divBdr>
    </w:div>
    <w:div w:id="1802191570">
      <w:bodyDiv w:val="1"/>
      <w:marLeft w:val="0"/>
      <w:marRight w:val="0"/>
      <w:marTop w:val="0"/>
      <w:marBottom w:val="0"/>
      <w:divBdr>
        <w:top w:val="none" w:sz="0" w:space="0" w:color="auto"/>
        <w:left w:val="none" w:sz="0" w:space="0" w:color="auto"/>
        <w:bottom w:val="none" w:sz="0" w:space="0" w:color="auto"/>
        <w:right w:val="none" w:sz="0" w:space="0" w:color="auto"/>
      </w:divBdr>
    </w:div>
    <w:div w:id="1829901154">
      <w:bodyDiv w:val="1"/>
      <w:marLeft w:val="0"/>
      <w:marRight w:val="0"/>
      <w:marTop w:val="0"/>
      <w:marBottom w:val="0"/>
      <w:divBdr>
        <w:top w:val="none" w:sz="0" w:space="0" w:color="auto"/>
        <w:left w:val="none" w:sz="0" w:space="0" w:color="auto"/>
        <w:bottom w:val="none" w:sz="0" w:space="0" w:color="auto"/>
        <w:right w:val="none" w:sz="0" w:space="0" w:color="auto"/>
      </w:divBdr>
    </w:div>
    <w:div w:id="1900164316">
      <w:bodyDiv w:val="1"/>
      <w:marLeft w:val="0"/>
      <w:marRight w:val="0"/>
      <w:marTop w:val="0"/>
      <w:marBottom w:val="0"/>
      <w:divBdr>
        <w:top w:val="none" w:sz="0" w:space="0" w:color="auto"/>
        <w:left w:val="none" w:sz="0" w:space="0" w:color="auto"/>
        <w:bottom w:val="none" w:sz="0" w:space="0" w:color="auto"/>
        <w:right w:val="none" w:sz="0" w:space="0" w:color="auto"/>
      </w:divBdr>
    </w:div>
    <w:div w:id="1930507712">
      <w:bodyDiv w:val="1"/>
      <w:marLeft w:val="0"/>
      <w:marRight w:val="0"/>
      <w:marTop w:val="0"/>
      <w:marBottom w:val="0"/>
      <w:divBdr>
        <w:top w:val="none" w:sz="0" w:space="0" w:color="auto"/>
        <w:left w:val="none" w:sz="0" w:space="0" w:color="auto"/>
        <w:bottom w:val="none" w:sz="0" w:space="0" w:color="auto"/>
        <w:right w:val="none" w:sz="0" w:space="0" w:color="auto"/>
      </w:divBdr>
    </w:div>
    <w:div w:id="1942952310">
      <w:bodyDiv w:val="1"/>
      <w:marLeft w:val="0"/>
      <w:marRight w:val="0"/>
      <w:marTop w:val="0"/>
      <w:marBottom w:val="0"/>
      <w:divBdr>
        <w:top w:val="none" w:sz="0" w:space="0" w:color="auto"/>
        <w:left w:val="none" w:sz="0" w:space="0" w:color="auto"/>
        <w:bottom w:val="none" w:sz="0" w:space="0" w:color="auto"/>
        <w:right w:val="none" w:sz="0" w:space="0" w:color="auto"/>
      </w:divBdr>
      <w:divsChild>
        <w:div w:id="1724599838">
          <w:marLeft w:val="0"/>
          <w:marRight w:val="0"/>
          <w:marTop w:val="0"/>
          <w:marBottom w:val="0"/>
          <w:divBdr>
            <w:top w:val="none" w:sz="0" w:space="0" w:color="auto"/>
            <w:left w:val="none" w:sz="0" w:space="0" w:color="auto"/>
            <w:bottom w:val="none" w:sz="0" w:space="0" w:color="auto"/>
            <w:right w:val="none" w:sz="0" w:space="0" w:color="auto"/>
          </w:divBdr>
          <w:divsChild>
            <w:div w:id="907034094">
              <w:marLeft w:val="0"/>
              <w:marRight w:val="0"/>
              <w:marTop w:val="0"/>
              <w:marBottom w:val="0"/>
              <w:divBdr>
                <w:top w:val="none" w:sz="0" w:space="0" w:color="auto"/>
                <w:left w:val="none" w:sz="0" w:space="0" w:color="auto"/>
                <w:bottom w:val="none" w:sz="0" w:space="0" w:color="auto"/>
                <w:right w:val="none" w:sz="0" w:space="0" w:color="auto"/>
              </w:divBdr>
              <w:divsChild>
                <w:div w:id="3839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4295">
      <w:bodyDiv w:val="1"/>
      <w:marLeft w:val="0"/>
      <w:marRight w:val="0"/>
      <w:marTop w:val="0"/>
      <w:marBottom w:val="0"/>
      <w:divBdr>
        <w:top w:val="none" w:sz="0" w:space="0" w:color="auto"/>
        <w:left w:val="none" w:sz="0" w:space="0" w:color="auto"/>
        <w:bottom w:val="none" w:sz="0" w:space="0" w:color="auto"/>
        <w:right w:val="none" w:sz="0" w:space="0" w:color="auto"/>
      </w:divBdr>
    </w:div>
    <w:div w:id="1962804951">
      <w:bodyDiv w:val="1"/>
      <w:marLeft w:val="0"/>
      <w:marRight w:val="0"/>
      <w:marTop w:val="0"/>
      <w:marBottom w:val="0"/>
      <w:divBdr>
        <w:top w:val="none" w:sz="0" w:space="0" w:color="auto"/>
        <w:left w:val="none" w:sz="0" w:space="0" w:color="auto"/>
        <w:bottom w:val="none" w:sz="0" w:space="0" w:color="auto"/>
        <w:right w:val="none" w:sz="0" w:space="0" w:color="auto"/>
      </w:divBdr>
    </w:div>
    <w:div w:id="2030599211">
      <w:bodyDiv w:val="1"/>
      <w:marLeft w:val="0"/>
      <w:marRight w:val="0"/>
      <w:marTop w:val="0"/>
      <w:marBottom w:val="0"/>
      <w:divBdr>
        <w:top w:val="none" w:sz="0" w:space="0" w:color="auto"/>
        <w:left w:val="none" w:sz="0" w:space="0" w:color="auto"/>
        <w:bottom w:val="none" w:sz="0" w:space="0" w:color="auto"/>
        <w:right w:val="none" w:sz="0" w:space="0" w:color="auto"/>
      </w:divBdr>
    </w:div>
    <w:div w:id="2040473745">
      <w:bodyDiv w:val="1"/>
      <w:marLeft w:val="0"/>
      <w:marRight w:val="0"/>
      <w:marTop w:val="0"/>
      <w:marBottom w:val="0"/>
      <w:divBdr>
        <w:top w:val="none" w:sz="0" w:space="0" w:color="auto"/>
        <w:left w:val="none" w:sz="0" w:space="0" w:color="auto"/>
        <w:bottom w:val="none" w:sz="0" w:space="0" w:color="auto"/>
        <w:right w:val="none" w:sz="0" w:space="0" w:color="auto"/>
      </w:divBdr>
    </w:div>
    <w:div w:id="2062122568">
      <w:bodyDiv w:val="1"/>
      <w:marLeft w:val="0"/>
      <w:marRight w:val="0"/>
      <w:marTop w:val="0"/>
      <w:marBottom w:val="0"/>
      <w:divBdr>
        <w:top w:val="none" w:sz="0" w:space="0" w:color="auto"/>
        <w:left w:val="none" w:sz="0" w:space="0" w:color="auto"/>
        <w:bottom w:val="none" w:sz="0" w:space="0" w:color="auto"/>
        <w:right w:val="none" w:sz="0" w:space="0" w:color="auto"/>
      </w:divBdr>
    </w:div>
    <w:div w:id="2076052687">
      <w:bodyDiv w:val="1"/>
      <w:marLeft w:val="0"/>
      <w:marRight w:val="0"/>
      <w:marTop w:val="0"/>
      <w:marBottom w:val="0"/>
      <w:divBdr>
        <w:top w:val="none" w:sz="0" w:space="0" w:color="auto"/>
        <w:left w:val="none" w:sz="0" w:space="0" w:color="auto"/>
        <w:bottom w:val="none" w:sz="0" w:space="0" w:color="auto"/>
        <w:right w:val="none" w:sz="0" w:space="0" w:color="auto"/>
      </w:divBdr>
    </w:div>
    <w:div w:id="2090805276">
      <w:bodyDiv w:val="1"/>
      <w:marLeft w:val="0"/>
      <w:marRight w:val="0"/>
      <w:marTop w:val="0"/>
      <w:marBottom w:val="0"/>
      <w:divBdr>
        <w:top w:val="none" w:sz="0" w:space="0" w:color="auto"/>
        <w:left w:val="none" w:sz="0" w:space="0" w:color="auto"/>
        <w:bottom w:val="none" w:sz="0" w:space="0" w:color="auto"/>
        <w:right w:val="none" w:sz="0" w:space="0" w:color="auto"/>
      </w:divBdr>
      <w:divsChild>
        <w:div w:id="1722706794">
          <w:marLeft w:val="0"/>
          <w:marRight w:val="0"/>
          <w:marTop w:val="0"/>
          <w:marBottom w:val="0"/>
          <w:divBdr>
            <w:top w:val="single" w:sz="2" w:space="0" w:color="auto"/>
            <w:left w:val="single" w:sz="2" w:space="4" w:color="auto"/>
            <w:bottom w:val="single" w:sz="2" w:space="0" w:color="auto"/>
            <w:right w:val="single" w:sz="2" w:space="4" w:color="auto"/>
          </w:divBdr>
        </w:div>
      </w:divsChild>
    </w:div>
    <w:div w:id="2093744744">
      <w:bodyDiv w:val="1"/>
      <w:marLeft w:val="0"/>
      <w:marRight w:val="0"/>
      <w:marTop w:val="0"/>
      <w:marBottom w:val="0"/>
      <w:divBdr>
        <w:top w:val="none" w:sz="0" w:space="0" w:color="auto"/>
        <w:left w:val="none" w:sz="0" w:space="0" w:color="auto"/>
        <w:bottom w:val="none" w:sz="0" w:space="0" w:color="auto"/>
        <w:right w:val="none" w:sz="0" w:space="0" w:color="auto"/>
      </w:divBdr>
    </w:div>
    <w:div w:id="2127851839">
      <w:bodyDiv w:val="1"/>
      <w:marLeft w:val="0"/>
      <w:marRight w:val="0"/>
      <w:marTop w:val="0"/>
      <w:marBottom w:val="0"/>
      <w:divBdr>
        <w:top w:val="none" w:sz="0" w:space="0" w:color="auto"/>
        <w:left w:val="none" w:sz="0" w:space="0" w:color="auto"/>
        <w:bottom w:val="none" w:sz="0" w:space="0" w:color="auto"/>
        <w:right w:val="none" w:sz="0" w:space="0" w:color="auto"/>
      </w:divBdr>
    </w:div>
    <w:div w:id="2134516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1.xml"/>
<Relationship Id="rId20" Type="http://schemas.openxmlformats.org/officeDocument/2006/relationships/image" Target="media/rId20.png"/>
<Relationship Id="rId23" Type="http://schemas.openxmlformats.org/officeDocument/2006/relationships/image" Target="media/rId23.png"/>
<Relationship Id="rId26" Type="http://schemas.openxmlformats.org/officeDocument/2006/relationships/image" Target="media/rId26.png"/>
<Relationship Id="rId27" Type="http://schemas.openxmlformats.org/officeDocument/2006/relationships/image" Target="media/25482647b09c588f0014d4c0c588f5af33c152f5.png"/>
<Relationship Id="rId28" Type="http://schemas.openxmlformats.org/officeDocument/2006/relationships/image" Target="media/09c9e7e22016575638eadbc2f8695f9f69e4224e.png"/>
<Relationship Id="rId29" Type="http://schemas.openxmlformats.org/officeDocument/2006/relationships/image" Target="media/07c1d49bcc59ac57bfad14e2db74fa683ba612ca.png"/>
<Relationship Id="rId30" Type="http://schemas.openxmlformats.org/officeDocument/2006/relationships/image" Target="media/1e4660399e820f6c86dafca21233faddb855c4ef.png"/>
<Relationship Id="rId31" Type="http://schemas.openxmlformats.org/officeDocument/2006/relationships/image" Target="media/c601ad1c2e1d3fb157952fdee50a6c566c7093fd.png"/>
<Relationship Id="rId32" Type="http://schemas.openxmlformats.org/officeDocument/2006/relationships/image" Target="media/cf2b36fef806730def906463d324f1d8aca522ae.png"/>
<Relationship Id="rId33" Type="http://schemas.openxmlformats.org/officeDocument/2006/relationships/image" Target="media/f8caf8456ae814f801b09f748a41e13aafc31c8d.png"/>
<Relationship Id="rId34" Type="http://schemas.openxmlformats.org/officeDocument/2006/relationships/image" Target="media/781f22621aeee03b1e7e195595562a7cf079e37f.png"/>
<Relationship Id="rId35" Type="http://schemas.openxmlformats.org/officeDocument/2006/relationships/image" Target="media/55ac030a87eaa8738e2be1927440261fd136cb43.png"/>
<Relationship Id="rId36" Type="http://schemas.openxmlformats.org/officeDocument/2006/relationships/image" Target="media/ac45a09e372522cb7b7c115d2656500c3eda573b.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56</Pages>
  <Words>12909</Words>
  <Characters>71002</Characters>
  <Application>Microsoft Office Word</Application>
  <DocSecurity>0</DocSecurity>
  <Lines>591</Lines>
  <Paragraphs>167</Paragraphs>
  <ScaleCrop>false</ScaleCrop>
  <HeadingPairs>
    <vt:vector size="6" baseType="variant">
      <vt:variant>
        <vt:lpstr>Titre</vt:lpstr>
      </vt:variant>
      <vt:variant>
        <vt:i4>1</vt:i4>
      </vt:variant>
      <vt:variant>
        <vt:lpstr>Titres</vt:lpstr>
      </vt:variant>
      <vt:variant>
        <vt:i4>33</vt:i4>
      </vt:variant>
      <vt:variant>
        <vt:lpstr>Title</vt:lpstr>
      </vt:variant>
      <vt:variant>
        <vt:i4>1</vt:i4>
      </vt:variant>
    </vt:vector>
  </HeadingPairs>
  <TitlesOfParts>
    <vt:vector size="35" baseType="lpstr">
      <vt:lpstr/>
      <vt:lpstr>Décharge </vt:lpstr>
      <vt:lpstr>Remerciement</vt:lpstr>
      <vt:lpstr>Avant-propos</vt:lpstr>
      <vt:lpstr>&lt;Sommaire</vt:lpstr>
      <vt:lpstr>Sigles et abréviations</vt:lpstr>
      <vt:lpstr>Liste des tableaux</vt:lpstr>
      <vt:lpstr>Liste des Graphiques</vt:lpstr>
      <vt:lpstr>Résumé</vt:lpstr>
      <vt:lpstr>Introduction</vt:lpstr>
      <vt:lpstr>Chapitre 1 : Présentation de la structure d’accueil</vt:lpstr>
      <vt:lpstr>    1. Historique de l’ANSD</vt:lpstr>
      <vt:lpstr>    2. Missions de l’ANSD</vt:lpstr>
      <vt:lpstr>    3. Organisation de l’ANSD </vt:lpstr>
      <vt:lpstr>        Présentation des directions</vt:lpstr>
      <vt:lpstr>        Services régionaux</vt:lpstr>
      <vt:lpstr>        Services centraux</vt:lpstr>
      <vt:lpstr>        Présentation du Bureau des Prix</vt:lpstr>
      <vt:lpstr>Chapitre 2 : Cadre conceptuel </vt:lpstr>
      <vt:lpstr>    Introduction générale à l’IPC et à l’IHPC</vt:lpstr>
      <vt:lpstr>    Objectifs de l’IHPC</vt:lpstr>
      <vt:lpstr>    Méthodologie de calcul</vt:lpstr>
      <vt:lpstr>Chapitre 3 : Analyse de l’évolution des pondérations de 2014 et de 2021</vt:lpstr>
      <vt:lpstr>    Pondération 2014</vt:lpstr>
      <vt:lpstr>    Pondération 2021</vt:lpstr>
      <vt:lpstr>    Comparaison pondérations 2014-2021</vt:lpstr>
      <vt:lpstr>Chapitre 4 : Rôle des pondérations dans les variations de l’IHPC</vt:lpstr>
      <vt:lpstr>    Pondérations et structure de la consommation</vt:lpstr>
      <vt:lpstr>    Transmission des chocs sectoriels</vt:lpstr>
      <vt:lpstr>    Rigidité des prix et influence sur l'IHPC</vt:lpstr>
      <vt:lpstr>    Catégories à faible pondération </vt:lpstr>
      <vt:lpstr>Conclusion</vt:lpstr>
      <vt:lpstr>Bibliographie</vt:lpstr>
      <vt:lpstr>Table des matières</vt:lpstr>
      <vt:lpstr/>
    </vt:vector>
  </TitlesOfParts>
  <Manager/>
  <Company/>
  <LinksUpToDate>false</LinksUpToDate>
  <CharactersWithSpaces>83744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2025-05-10T14:26:30Z</dcterms:created>
  <dcterms:modified xsi:type="dcterms:W3CDTF">2025-05-10T14:26:32Z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