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5443" w14:textId="33642F27" w:rsidR="00F14B1F" w:rsidRPr="007307B6" w:rsidRDefault="00F14B1F" w:rsidP="00726096">
      <w:pPr>
        <w:tabs>
          <w:tab w:val="left" w:pos="8931"/>
        </w:tabs>
      </w:pPr>
      <w:bookmarkStart w:id="0" w:name="_Hlk182601035"/>
      <w:bookmarkStart w:id="1" w:name="_Hlk182822962"/>
      <w:r w:rsidRPr="007307B6">
        <w:rPr>
          <w:noProof/>
          <w:lang w:eastAsia="fr-FR"/>
        </w:rPr>
        <mc:AlternateContent>
          <mc:Choice Requires="wps">
            <w:drawing>
              <wp:anchor distT="0" distB="0" distL="114300" distR="114300" simplePos="0" relativeHeight="251634176" behindDoc="0" locked="0" layoutInCell="1" allowOverlap="1" wp14:anchorId="48C7C224" wp14:editId="326FAEE1">
                <wp:simplePos x="0" y="0"/>
                <wp:positionH relativeFrom="column">
                  <wp:posOffset>1072213</wp:posOffset>
                </wp:positionH>
                <wp:positionV relativeFrom="paragraph">
                  <wp:posOffset>252</wp:posOffset>
                </wp:positionV>
                <wp:extent cx="3969385" cy="450850"/>
                <wp:effectExtent l="0" t="0" r="0" b="6350"/>
                <wp:wrapThrough wrapText="bothSides">
                  <wp:wrapPolygon edited="0">
                    <wp:start x="0" y="0"/>
                    <wp:lineTo x="0" y="20992"/>
                    <wp:lineTo x="21458" y="20992"/>
                    <wp:lineTo x="21458" y="0"/>
                    <wp:lineTo x="0" y="0"/>
                  </wp:wrapPolygon>
                </wp:wrapThrough>
                <wp:docPr id="2038602027" name="Zone de texte 11"/>
                <wp:cNvGraphicFramePr/>
                <a:graphic xmlns:a="http://schemas.openxmlformats.org/drawingml/2006/main">
                  <a:graphicData uri="http://schemas.microsoft.com/office/word/2010/wordprocessingShape">
                    <wps:wsp>
                      <wps:cNvSpPr txBox="1"/>
                      <wps:spPr>
                        <a:xfrm>
                          <a:off x="0" y="0"/>
                          <a:ext cx="3969385" cy="450850"/>
                        </a:xfrm>
                        <a:prstGeom prst="rect">
                          <a:avLst/>
                        </a:prstGeom>
                        <a:solidFill>
                          <a:schemeClr val="lt1"/>
                        </a:solidFill>
                        <a:ln w="6350">
                          <a:noFill/>
                        </a:ln>
                      </wps:spPr>
                      <wps:txbx>
                        <w:txbxContent>
                          <w:p w14:paraId="71210591" w14:textId="77777777" w:rsidR="00276FE9" w:rsidRPr="007307B6" w:rsidRDefault="00276FE9" w:rsidP="00F14B1F">
                            <w:pPr>
                              <w:jc w:val="center"/>
                              <w:rPr>
                                <w:rFonts w:cs="Times New Roman"/>
                                <w:b/>
                                <w:bCs/>
                                <w:sz w:val="36"/>
                                <w:szCs w:val="36"/>
                              </w:rPr>
                            </w:pPr>
                            <w:r w:rsidRPr="007307B6">
                              <w:rPr>
                                <w:rFonts w:cs="Times New Roman"/>
                                <w:b/>
                                <w:bCs/>
                                <w:sz w:val="36"/>
                                <w:szCs w:val="36"/>
                              </w:rPr>
                              <w:t>RÉPUBLIQUE DU SÉNÉGAL</w:t>
                            </w:r>
                          </w:p>
                          <w:p w14:paraId="1ADF8FB4" w14:textId="77777777" w:rsidR="00276FE9" w:rsidRPr="007307B6" w:rsidRDefault="00276FE9" w:rsidP="00F14B1F">
                            <w:pPr>
                              <w:jc w:val="center"/>
                              <w:rPr>
                                <w:rFonts w:cs="Times New Roman"/>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7C224" id="_x0000_t202" coordsize="21600,21600" o:spt="202" path="m,l,21600r21600,l21600,xe">
                <v:stroke joinstyle="miter"/>
                <v:path gradientshapeok="t" o:connecttype="rect"/>
              </v:shapetype>
              <v:shape id="Zone de texte 11" o:spid="_x0000_s1026" type="#_x0000_t202" style="position:absolute;left:0;text-align:left;margin-left:84.45pt;margin-top:0;width:312.55pt;height:3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" fillcolor="white [3201]" stroked="f" strokeweight=".5pt">
                <v:textbox>
                  <w:txbxContent>
                    <w:p w14:paraId="71210591" w14:textId="77777777" w:rsidR="00276FE9" w:rsidRPr="007307B6" w:rsidRDefault="00276FE9" w:rsidP="00F14B1F">
                      <w:pPr>
                        <w:jc w:val="center"/>
                        <w:rPr>
                          <w:rFonts w:cs="Times New Roman"/>
                          <w:b/>
                          <w:bCs/>
                          <w:sz w:val="36"/>
                          <w:szCs w:val="36"/>
                        </w:rPr>
                      </w:pPr>
                      <w:r w:rsidRPr="007307B6">
                        <w:rPr>
                          <w:rFonts w:cs="Times New Roman"/>
                          <w:b/>
                          <w:bCs/>
                          <w:sz w:val="36"/>
                          <w:szCs w:val="36"/>
                        </w:rPr>
                        <w:t>RÉPUBLIQUE DU SÉNÉGAL</w:t>
                      </w:r>
                    </w:p>
                    <w:p w14:paraId="1ADF8FB4" w14:textId="77777777" w:rsidR="00276FE9" w:rsidRPr="007307B6" w:rsidRDefault="00276FE9" w:rsidP="00F14B1F">
                      <w:pPr>
                        <w:jc w:val="center"/>
                        <w:rPr>
                          <w:rFonts w:cs="Times New Roman"/>
                          <w:b/>
                          <w:bCs/>
                          <w:sz w:val="36"/>
                          <w:szCs w:val="36"/>
                        </w:rPr>
                      </w:pPr>
                    </w:p>
                  </w:txbxContent>
                </v:textbox>
                <w10:wrap type="through"/>
              </v:shape>
            </w:pict>
          </mc:Fallback>
        </mc:AlternateContent>
      </w:r>
    </w:p>
    <w:p w14:paraId="6E506CEB" w14:textId="035753B3" w:rsidR="0091228F" w:rsidRDefault="00795372">
      <w:r w:rsidRPr="007307B6">
        <w:rPr>
          <w:noProof/>
          <w:lang w:eastAsia="fr-FR"/>
        </w:rPr>
        <mc:AlternateContent>
          <mc:Choice Requires="wps">
            <w:drawing>
              <wp:anchor distT="0" distB="0" distL="114300" distR="114300" simplePos="0" relativeHeight="251549184" behindDoc="0" locked="0" layoutInCell="1" allowOverlap="1" wp14:anchorId="3E124903" wp14:editId="0012CC80">
                <wp:simplePos x="0" y="0"/>
                <wp:positionH relativeFrom="column">
                  <wp:posOffset>-507258</wp:posOffset>
                </wp:positionH>
                <wp:positionV relativeFrom="paragraph">
                  <wp:posOffset>4834909</wp:posOffset>
                </wp:positionV>
                <wp:extent cx="7134989" cy="1924685"/>
                <wp:effectExtent l="0" t="0" r="8890" b="0"/>
                <wp:wrapNone/>
                <wp:docPr id="1142032936" name="Zone de texte 4"/>
                <wp:cNvGraphicFramePr/>
                <a:graphic xmlns:a="http://schemas.openxmlformats.org/drawingml/2006/main">
                  <a:graphicData uri="http://schemas.microsoft.com/office/word/2010/wordprocessingShape">
                    <wps:wsp>
                      <wps:cNvSpPr txBox="1"/>
                      <wps:spPr>
                        <a:xfrm>
                          <a:off x="0" y="0"/>
                          <a:ext cx="7134989" cy="1924685"/>
                        </a:xfrm>
                        <a:prstGeom prst="rect">
                          <a:avLst/>
                        </a:prstGeom>
                        <a:solidFill>
                          <a:schemeClr val="lt1"/>
                        </a:solidFill>
                        <a:ln w="6350">
                          <a:noFill/>
                        </a:ln>
                      </wps:spPr>
                      <wps:txbx>
                        <w:txbxContent>
                          <w:p w14:paraId="6E3A093F" w14:textId="00A0FDDD" w:rsidR="00276FE9" w:rsidRPr="00795372" w:rsidRDefault="00276FE9" w:rsidP="00F14B1F">
                            <w:pPr>
                              <w:jc w:val="center"/>
                              <w:rPr>
                                <w:rFonts w:cs="Times New Roman"/>
                                <w:b/>
                                <w:bCs/>
                                <w:color w:val="4F81BD" w:themeColor="accent1"/>
                                <w:sz w:val="66"/>
                                <w:szCs w:val="66"/>
                              </w:rPr>
                            </w:pPr>
                            <w:r w:rsidRPr="00795372">
                              <w:rPr>
                                <w:rFonts w:cs="Times New Roman"/>
                                <w:b/>
                                <w:bCs/>
                                <w:color w:val="4F81BD" w:themeColor="accent1"/>
                                <w:sz w:val="66"/>
                                <w:szCs w:val="66"/>
                              </w:rPr>
                              <w:t xml:space="preserve">Analyse </w:t>
                            </w:r>
                            <w:r w:rsidR="00795372" w:rsidRPr="00795372">
                              <w:rPr>
                                <w:rFonts w:cs="Times New Roman"/>
                                <w:b/>
                                <w:bCs/>
                                <w:color w:val="4F81BD" w:themeColor="accent1"/>
                                <w:sz w:val="66"/>
                                <w:szCs w:val="66"/>
                              </w:rPr>
                              <w:t>comparative</w:t>
                            </w:r>
                            <w:r w:rsidR="00795372">
                              <w:rPr>
                                <w:rFonts w:cs="Times New Roman"/>
                                <w:b/>
                                <w:bCs/>
                                <w:color w:val="4F81BD" w:themeColor="accent1"/>
                                <w:sz w:val="66"/>
                                <w:szCs w:val="66"/>
                              </w:rPr>
                              <w:t xml:space="preserve"> </w:t>
                            </w:r>
                            <w:r w:rsidRPr="00795372">
                              <w:rPr>
                                <w:rFonts w:cs="Times New Roman"/>
                                <w:b/>
                                <w:bCs/>
                                <w:color w:val="4F81BD" w:themeColor="accent1"/>
                                <w:sz w:val="66"/>
                                <w:szCs w:val="66"/>
                              </w:rPr>
                              <w:t>de l’évolution des pondérations de l’IHPC 2014-202</w:t>
                            </w:r>
                            <w:r w:rsidR="00023158" w:rsidRPr="00795372">
                              <w:rPr>
                                <w:rFonts w:cs="Times New Roman"/>
                                <w:b/>
                                <w:bCs/>
                                <w:color w:val="4F81BD" w:themeColor="accent1"/>
                                <w:sz w:val="66"/>
                                <w:szCs w:val="6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24903" id="Zone de texte 4" o:spid="_x0000_s1027" type="#_x0000_t202" style="position:absolute;left:0;text-align:left;margin-left:-39.95pt;margin-top:380.7pt;width:561.8pt;height:151.5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" fillcolor="white [3201]" stroked="f" strokeweight=".5pt">
                <v:textbox>
                  <w:txbxContent>
                    <w:p w14:paraId="6E3A093F" w14:textId="00A0FDDD" w:rsidR="00276FE9" w:rsidRPr="00795372" w:rsidRDefault="00276FE9" w:rsidP="00F14B1F">
                      <w:pPr>
                        <w:jc w:val="center"/>
                        <w:rPr>
                          <w:rFonts w:cs="Times New Roman"/>
                          <w:b/>
                          <w:bCs/>
                          <w:color w:val="4F81BD" w:themeColor="accent1"/>
                          <w:sz w:val="66"/>
                          <w:szCs w:val="66"/>
                        </w:rPr>
                      </w:pPr>
                      <w:r w:rsidRPr="00795372">
                        <w:rPr>
                          <w:rFonts w:cs="Times New Roman"/>
                          <w:b/>
                          <w:bCs/>
                          <w:color w:val="4F81BD" w:themeColor="accent1"/>
                          <w:sz w:val="66"/>
                          <w:szCs w:val="66"/>
                        </w:rPr>
                        <w:t xml:space="preserve">Analyse </w:t>
                      </w:r>
                      <w:r w:rsidR="00795372" w:rsidRPr="00795372">
                        <w:rPr>
                          <w:rFonts w:cs="Times New Roman"/>
                          <w:b/>
                          <w:bCs/>
                          <w:color w:val="4F81BD" w:themeColor="accent1"/>
                          <w:sz w:val="66"/>
                          <w:szCs w:val="66"/>
                        </w:rPr>
                        <w:t>comparative</w:t>
                      </w:r>
                      <w:r w:rsidR="00795372">
                        <w:rPr>
                          <w:rFonts w:cs="Times New Roman"/>
                          <w:b/>
                          <w:bCs/>
                          <w:color w:val="4F81BD" w:themeColor="accent1"/>
                          <w:sz w:val="66"/>
                          <w:szCs w:val="66"/>
                        </w:rPr>
                        <w:t xml:space="preserve"> </w:t>
                      </w:r>
                      <w:r w:rsidRPr="00795372">
                        <w:rPr>
                          <w:rFonts w:cs="Times New Roman"/>
                          <w:b/>
                          <w:bCs/>
                          <w:color w:val="4F81BD" w:themeColor="accent1"/>
                          <w:sz w:val="66"/>
                          <w:szCs w:val="66"/>
                        </w:rPr>
                        <w:t>de l’évolution des pondérations de l’IHPC 2014-202</w:t>
                      </w:r>
                      <w:r w:rsidR="00023158" w:rsidRPr="00795372">
                        <w:rPr>
                          <w:rFonts w:cs="Times New Roman"/>
                          <w:b/>
                          <w:bCs/>
                          <w:color w:val="4F81BD" w:themeColor="accent1"/>
                          <w:sz w:val="66"/>
                          <w:szCs w:val="66"/>
                        </w:rPr>
                        <w:t>1</w:t>
                      </w:r>
                    </w:p>
                  </w:txbxContent>
                </v:textbox>
              </v:shape>
            </w:pict>
          </mc:Fallback>
        </mc:AlternateContent>
      </w:r>
      <w:r w:rsidR="002D28BF" w:rsidRPr="007307B6">
        <w:rPr>
          <w:noProof/>
          <w:lang w:eastAsia="fr-FR"/>
        </w:rPr>
        <mc:AlternateContent>
          <mc:Choice Requires="wps">
            <w:drawing>
              <wp:anchor distT="0" distB="0" distL="114300" distR="114300" simplePos="0" relativeHeight="251829760" behindDoc="0" locked="0" layoutInCell="1" allowOverlap="1" wp14:anchorId="19860527" wp14:editId="2D72A9FC">
                <wp:simplePos x="0" y="0"/>
                <wp:positionH relativeFrom="column">
                  <wp:posOffset>-395263</wp:posOffset>
                </wp:positionH>
                <wp:positionV relativeFrom="paragraph">
                  <wp:posOffset>6463665</wp:posOffset>
                </wp:positionV>
                <wp:extent cx="6869430" cy="91440"/>
                <wp:effectExtent l="0" t="0" r="7620" b="3810"/>
                <wp:wrapNone/>
                <wp:docPr id="299761284" name="Rectangle : coins arrondis 9"/>
                <wp:cNvGraphicFramePr/>
                <a:graphic xmlns:a="http://schemas.openxmlformats.org/drawingml/2006/main">
                  <a:graphicData uri="http://schemas.microsoft.com/office/word/2010/wordprocessingShape">
                    <wps:wsp>
                      <wps:cNvSpPr/>
                      <wps:spPr>
                        <a:xfrm flipV="1">
                          <a:off x="0" y="0"/>
                          <a:ext cx="6869430" cy="91440"/>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60592" id="Rectangle : coins arrondis 9" o:spid="_x0000_s1026" style="position:absolute;margin-left:-31.1pt;margin-top:508.95pt;width:540.9pt;height:7.2pt;flip:y;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" fillcolor="#4f81bd [3204]" stroked="f" strokeweight="2pt"/>
            </w:pict>
          </mc:Fallback>
        </mc:AlternateContent>
      </w:r>
      <w:r w:rsidR="00D5051D" w:rsidRPr="007307B6">
        <w:rPr>
          <w:noProof/>
          <w:lang w:eastAsia="fr-FR"/>
        </w:rPr>
        <w:drawing>
          <wp:anchor distT="0" distB="0" distL="114300" distR="114300" simplePos="0" relativeHeight="251702784" behindDoc="1" locked="0" layoutInCell="1" allowOverlap="1" wp14:anchorId="5A476608" wp14:editId="2F76EE4C">
            <wp:simplePos x="0" y="0"/>
            <wp:positionH relativeFrom="column">
              <wp:posOffset>2501265</wp:posOffset>
            </wp:positionH>
            <wp:positionV relativeFrom="paragraph">
              <wp:posOffset>1983740</wp:posOffset>
            </wp:positionV>
            <wp:extent cx="1059815" cy="737870"/>
            <wp:effectExtent l="0" t="0" r="6985" b="5080"/>
            <wp:wrapTight wrapText="bothSides">
              <wp:wrapPolygon edited="0">
                <wp:start x="0" y="0"/>
                <wp:lineTo x="0" y="21191"/>
                <wp:lineTo x="21354" y="21191"/>
                <wp:lineTo x="21354" y="0"/>
                <wp:lineTo x="0" y="0"/>
              </wp:wrapPolygon>
            </wp:wrapTight>
            <wp:docPr id="19193686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6862" name="Image 191936862"/>
                    <pic:cNvPicPr/>
                  </pic:nvPicPr>
                  <pic:blipFill>
                    <a:blip r:embed="rId8">
                      <a:extLst>
                        <a:ext uri="{28A0092B-C50C-407E-A947-70E740481C1C}">
                          <a14:useLocalDpi xmlns:a14="http://schemas.microsoft.com/office/drawing/2010/main" val="0"/>
                        </a:ext>
                      </a:extLst>
                    </a:blip>
                    <a:stretch>
                      <a:fillRect/>
                    </a:stretch>
                  </pic:blipFill>
                  <pic:spPr>
                    <a:xfrm>
                      <a:off x="0" y="0"/>
                      <a:ext cx="1059815" cy="737870"/>
                    </a:xfrm>
                    <a:prstGeom prst="rect">
                      <a:avLst/>
                    </a:prstGeom>
                  </pic:spPr>
                </pic:pic>
              </a:graphicData>
            </a:graphic>
            <wp14:sizeRelH relativeFrom="margin">
              <wp14:pctWidth>0</wp14:pctWidth>
            </wp14:sizeRelH>
            <wp14:sizeRelV relativeFrom="margin">
              <wp14:pctHeight>0</wp14:pctHeight>
            </wp14:sizeRelV>
          </wp:anchor>
        </w:drawing>
      </w:r>
      <w:r w:rsidR="00D5051D" w:rsidRPr="007307B6">
        <w:rPr>
          <w:noProof/>
          <w:lang w:eastAsia="fr-FR"/>
        </w:rPr>
        <w:drawing>
          <wp:anchor distT="0" distB="0" distL="114300" distR="114300" simplePos="0" relativeHeight="251683328" behindDoc="0" locked="0" layoutInCell="1" allowOverlap="1" wp14:anchorId="19E11C68" wp14:editId="3A835707">
            <wp:simplePos x="0" y="0"/>
            <wp:positionH relativeFrom="column">
              <wp:posOffset>2492375</wp:posOffset>
            </wp:positionH>
            <wp:positionV relativeFrom="paragraph">
              <wp:posOffset>3027680</wp:posOffset>
            </wp:positionV>
            <wp:extent cx="1125220" cy="969645"/>
            <wp:effectExtent l="0" t="0" r="0" b="1905"/>
            <wp:wrapThrough wrapText="bothSides">
              <wp:wrapPolygon edited="0">
                <wp:start x="0" y="0"/>
                <wp:lineTo x="0" y="21218"/>
                <wp:lineTo x="21210" y="21218"/>
                <wp:lineTo x="21210" y="0"/>
                <wp:lineTo x="0" y="0"/>
              </wp:wrapPolygon>
            </wp:wrapThrough>
            <wp:docPr id="208709254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 20870925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5220" cy="969645"/>
                    </a:xfrm>
                    <a:prstGeom prst="rect">
                      <a:avLst/>
                    </a:prstGeom>
                  </pic:spPr>
                </pic:pic>
              </a:graphicData>
            </a:graphic>
            <wp14:sizeRelH relativeFrom="margin">
              <wp14:pctWidth>0</wp14:pctWidth>
            </wp14:sizeRelH>
            <wp14:sizeRelV relativeFrom="margin">
              <wp14:pctHeight>0</wp14:pctHeight>
            </wp14:sizeRelV>
          </wp:anchor>
        </w:drawing>
      </w:r>
      <w:r w:rsidR="00C82A76">
        <w:rPr>
          <w:noProof/>
          <w:lang w:eastAsia="fr-FR"/>
        </w:rPr>
        <mc:AlternateContent>
          <mc:Choice Requires="wps">
            <w:drawing>
              <wp:anchor distT="0" distB="0" distL="114300" distR="114300" simplePos="0" relativeHeight="251887104" behindDoc="0" locked="0" layoutInCell="1" allowOverlap="1" wp14:anchorId="5D2A4DB8" wp14:editId="6CE71B43">
                <wp:simplePos x="0" y="0"/>
                <wp:positionH relativeFrom="column">
                  <wp:posOffset>1744980</wp:posOffset>
                </wp:positionH>
                <wp:positionV relativeFrom="paragraph">
                  <wp:posOffset>4001770</wp:posOffset>
                </wp:positionV>
                <wp:extent cx="2637692" cy="556846"/>
                <wp:effectExtent l="76200" t="38100" r="67945" b="91440"/>
                <wp:wrapNone/>
                <wp:docPr id="1" name="Rectangle : coins arrondis 1"/>
                <wp:cNvGraphicFramePr/>
                <a:graphic xmlns:a="http://schemas.openxmlformats.org/drawingml/2006/main">
                  <a:graphicData uri="http://schemas.microsoft.com/office/word/2010/wordprocessingShape">
                    <wps:wsp>
                      <wps:cNvSpPr/>
                      <wps:spPr>
                        <a:xfrm>
                          <a:off x="0" y="0"/>
                          <a:ext cx="2637692" cy="556846"/>
                        </a:xfrm>
                        <a:prstGeom prst="roundRect">
                          <a:avLst/>
                        </a:prstGeom>
                        <a:solidFill>
                          <a:schemeClr val="tx2">
                            <a:lumMod val="40000"/>
                            <a:lumOff val="60000"/>
                          </a:schemeClr>
                        </a:solidFill>
                        <a:ln w="28575"/>
                      </wps:spPr>
                      <wps:style>
                        <a:lnRef idx="1">
                          <a:schemeClr val="accent1"/>
                        </a:lnRef>
                        <a:fillRef idx="3">
                          <a:schemeClr val="accent1"/>
                        </a:fillRef>
                        <a:effectRef idx="2">
                          <a:schemeClr val="accent1"/>
                        </a:effectRef>
                        <a:fontRef idx="minor">
                          <a:schemeClr val="lt1"/>
                        </a:fontRef>
                      </wps:style>
                      <wps:txbx>
                        <w:txbxContent>
                          <w:p w14:paraId="5EECC299" w14:textId="5D2E19EE" w:rsidR="00276FE9" w:rsidRPr="00D5051D" w:rsidRDefault="00276FE9" w:rsidP="00C82A76">
                            <w:pPr>
                              <w:jc w:val="center"/>
                              <w:rPr>
                                <w:rFonts w:cs="Times New Roman"/>
                                <w:b/>
                                <w:bCs/>
                                <w:color w:val="000000" w:themeColor="text1"/>
                                <w:sz w:val="36"/>
                                <w:szCs w:val="32"/>
                              </w:rPr>
                            </w:pPr>
                            <w:r w:rsidRPr="00D5051D">
                              <w:rPr>
                                <w:rFonts w:cs="Times New Roman"/>
                                <w:b/>
                                <w:bCs/>
                                <w:color w:val="000000" w:themeColor="text1"/>
                                <w:sz w:val="36"/>
                                <w:szCs w:val="32"/>
                              </w:rPr>
                              <w:t>Rapport de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2A4DB8" id="Rectangle : coins arrondis 1" o:spid="_x0000_s1028" style="position:absolute;left:0;text-align:left;margin-left:137.4pt;margin-top:315.1pt;width:207.7pt;height:43.85pt;z-index:251887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" fillcolor="#8db3e2 [1311]" strokecolor="#4579b8 [3044]" strokeweight="2.25pt">
                <v:shadow on="t" color="black" opacity="22937f" origin=",.5" offset="0,.63889mm"/>
                <v:textbox>
                  <w:txbxContent>
                    <w:p w14:paraId="5EECC299" w14:textId="5D2E19EE" w:rsidR="00276FE9" w:rsidRPr="00D5051D" w:rsidRDefault="00276FE9" w:rsidP="00C82A76">
                      <w:pPr>
                        <w:jc w:val="center"/>
                        <w:rPr>
                          <w:rFonts w:cs="Times New Roman"/>
                          <w:b/>
                          <w:bCs/>
                          <w:color w:val="000000" w:themeColor="text1"/>
                          <w:sz w:val="36"/>
                          <w:szCs w:val="32"/>
                        </w:rPr>
                      </w:pPr>
                      <w:r w:rsidRPr="00D5051D">
                        <w:rPr>
                          <w:rFonts w:cs="Times New Roman"/>
                          <w:b/>
                          <w:bCs/>
                          <w:color w:val="000000" w:themeColor="text1"/>
                          <w:sz w:val="36"/>
                          <w:szCs w:val="32"/>
                        </w:rPr>
                        <w:t>Rapport de Stage</w:t>
                      </w:r>
                    </w:p>
                  </w:txbxContent>
                </v:textbox>
              </v:roundrect>
            </w:pict>
          </mc:Fallback>
        </mc:AlternateContent>
      </w:r>
      <w:r w:rsidR="00C82A76" w:rsidRPr="007307B6">
        <w:rPr>
          <w:noProof/>
          <w:lang w:eastAsia="fr-FR"/>
        </w:rPr>
        <mc:AlternateContent>
          <mc:Choice Requires="wps">
            <w:drawing>
              <wp:anchor distT="0" distB="0" distL="114300" distR="114300" simplePos="0" relativeHeight="251886080" behindDoc="0" locked="0" layoutInCell="1" allowOverlap="1" wp14:anchorId="00DAED0F" wp14:editId="0CECE868">
                <wp:simplePos x="0" y="0"/>
                <wp:positionH relativeFrom="column">
                  <wp:posOffset>-436245</wp:posOffset>
                </wp:positionH>
                <wp:positionV relativeFrom="paragraph">
                  <wp:posOffset>4623728</wp:posOffset>
                </wp:positionV>
                <wp:extent cx="6869430" cy="91440"/>
                <wp:effectExtent l="0" t="0" r="7620" b="3810"/>
                <wp:wrapNone/>
                <wp:docPr id="430376443" name="Rectangle : coins arrondis 9"/>
                <wp:cNvGraphicFramePr/>
                <a:graphic xmlns:a="http://schemas.openxmlformats.org/drawingml/2006/main">
                  <a:graphicData uri="http://schemas.microsoft.com/office/word/2010/wordprocessingShape">
                    <wps:wsp>
                      <wps:cNvSpPr/>
                      <wps:spPr>
                        <a:xfrm flipV="1">
                          <a:off x="0" y="0"/>
                          <a:ext cx="6869430" cy="91440"/>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86081" id="Rectangle : coins arrondis 9" o:spid="_x0000_s1026" style="position:absolute;margin-left:-34.35pt;margin-top:364.05pt;width:540.9pt;height:7.2pt;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" fillcolor="#4f81bd [3204]" stroked="f" strokeweight="2pt"/>
            </w:pict>
          </mc:Fallback>
        </mc:AlternateContent>
      </w:r>
      <w:r w:rsidR="00C82A76" w:rsidRPr="007307B6">
        <w:rPr>
          <w:noProof/>
          <w:lang w:eastAsia="fr-FR"/>
        </w:rPr>
        <mc:AlternateContent>
          <mc:Choice Requires="wps">
            <w:drawing>
              <wp:anchor distT="0" distB="0" distL="114300" distR="114300" simplePos="0" relativeHeight="251862528" behindDoc="0" locked="0" layoutInCell="1" allowOverlap="1" wp14:anchorId="4B84E293" wp14:editId="5DF970A7">
                <wp:simplePos x="0" y="0"/>
                <wp:positionH relativeFrom="column">
                  <wp:posOffset>1798466</wp:posOffset>
                </wp:positionH>
                <wp:positionV relativeFrom="paragraph">
                  <wp:posOffset>7854462</wp:posOffset>
                </wp:positionV>
                <wp:extent cx="2411095" cy="826770"/>
                <wp:effectExtent l="0" t="0" r="0" b="0"/>
                <wp:wrapNone/>
                <wp:docPr id="1677308398" name="Zone de texte 8"/>
                <wp:cNvGraphicFramePr/>
                <a:graphic xmlns:a="http://schemas.openxmlformats.org/drawingml/2006/main">
                  <a:graphicData uri="http://schemas.microsoft.com/office/word/2010/wordprocessingShape">
                    <wps:wsp>
                      <wps:cNvSpPr txBox="1"/>
                      <wps:spPr>
                        <a:xfrm>
                          <a:off x="0" y="0"/>
                          <a:ext cx="2411095" cy="826770"/>
                        </a:xfrm>
                        <a:prstGeom prst="rect">
                          <a:avLst/>
                        </a:prstGeom>
                        <a:noFill/>
                        <a:ln w="6350">
                          <a:noFill/>
                        </a:ln>
                      </wps:spPr>
                      <wps:txbx>
                        <w:txbxContent>
                          <w:p w14:paraId="1154351F" w14:textId="0D7566A3" w:rsidR="00276FE9" w:rsidRPr="007307B6" w:rsidRDefault="00276FE9" w:rsidP="00F14B1F">
                            <w:pPr>
                              <w:jc w:val="center"/>
                              <w:rPr>
                                <w:rFonts w:cs="Times New Roman"/>
                                <w:sz w:val="36"/>
                                <w:szCs w:val="36"/>
                              </w:rPr>
                            </w:pPr>
                            <w:bookmarkStart w:id="2" w:name="_Hlk182737653"/>
                            <w:bookmarkStart w:id="3" w:name="_Hlk182737654"/>
                            <w:r>
                              <w:rPr>
                                <w:rFonts w:cs="Times New Roman"/>
                                <w:b/>
                                <w:bCs/>
                                <w:sz w:val="36"/>
                                <w:szCs w:val="36"/>
                              </w:rPr>
                              <w:t>Aout-Septembre 2024</w:t>
                            </w:r>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4E293" id="Zone de texte 8" o:spid="_x0000_s1029" type="#_x0000_t202" style="position:absolute;left:0;text-align:left;margin-left:141.6pt;margin-top:618.45pt;width:189.85pt;height:65.1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" filled="f" stroked="f" strokeweight=".5pt">
                <v:textbox>
                  <w:txbxContent>
                    <w:p w14:paraId="1154351F" w14:textId="0D7566A3" w:rsidR="00276FE9" w:rsidRPr="007307B6" w:rsidRDefault="00276FE9" w:rsidP="00F14B1F">
                      <w:pPr>
                        <w:jc w:val="center"/>
                        <w:rPr>
                          <w:rFonts w:cs="Times New Roman"/>
                          <w:sz w:val="36"/>
                          <w:szCs w:val="36"/>
                        </w:rPr>
                      </w:pPr>
                      <w:bookmarkStart w:id="4" w:name="_Hlk182737653"/>
                      <w:bookmarkStart w:id="5" w:name="_Hlk182737654"/>
                      <w:r>
                        <w:rPr>
                          <w:rFonts w:cs="Times New Roman"/>
                          <w:b/>
                          <w:bCs/>
                          <w:sz w:val="36"/>
                          <w:szCs w:val="36"/>
                        </w:rPr>
                        <w:t>Aout-Septembre 2024</w:t>
                      </w:r>
                      <w:bookmarkEnd w:id="4"/>
                      <w:bookmarkEnd w:id="5"/>
                    </w:p>
                  </w:txbxContent>
                </v:textbox>
              </v:shape>
            </w:pict>
          </mc:Fallback>
        </mc:AlternateContent>
      </w:r>
      <w:r w:rsidR="00C82A76" w:rsidRPr="007307B6">
        <w:rPr>
          <w:noProof/>
          <w:lang w:eastAsia="fr-FR"/>
        </w:rPr>
        <mc:AlternateContent>
          <mc:Choice Requires="wps">
            <w:drawing>
              <wp:anchor distT="0" distB="0" distL="114300" distR="114300" simplePos="0" relativeHeight="251504128" behindDoc="0" locked="0" layoutInCell="1" allowOverlap="1" wp14:anchorId="0E95970A" wp14:editId="45C7DEF5">
                <wp:simplePos x="0" y="0"/>
                <wp:positionH relativeFrom="column">
                  <wp:posOffset>3556342</wp:posOffset>
                </wp:positionH>
                <wp:positionV relativeFrom="paragraph">
                  <wp:posOffset>6745605</wp:posOffset>
                </wp:positionV>
                <wp:extent cx="3209290" cy="1383323"/>
                <wp:effectExtent l="0" t="0" r="0" b="0"/>
                <wp:wrapNone/>
                <wp:docPr id="98682017" name="Zone de texte 3"/>
                <wp:cNvGraphicFramePr/>
                <a:graphic xmlns:a="http://schemas.openxmlformats.org/drawingml/2006/main">
                  <a:graphicData uri="http://schemas.microsoft.com/office/word/2010/wordprocessingShape">
                    <wps:wsp>
                      <wps:cNvSpPr txBox="1"/>
                      <wps:spPr>
                        <a:xfrm>
                          <a:off x="0" y="0"/>
                          <a:ext cx="3209290" cy="1383323"/>
                        </a:xfrm>
                        <a:prstGeom prst="rect">
                          <a:avLst/>
                        </a:prstGeom>
                        <a:noFill/>
                        <a:ln w="6350">
                          <a:noFill/>
                        </a:ln>
                      </wps:spPr>
                      <wps:txbx>
                        <w:txbxContent>
                          <w:p w14:paraId="4381B68A" w14:textId="77777777" w:rsidR="00276FE9" w:rsidRPr="007307B6" w:rsidRDefault="00276FE9" w:rsidP="00D5051D">
                            <w:pPr>
                              <w:spacing w:line="240" w:lineRule="auto"/>
                              <w:jc w:val="center"/>
                              <w:rPr>
                                <w:rFonts w:cs="Times New Roman"/>
                                <w:b/>
                                <w:bCs/>
                                <w:sz w:val="36"/>
                                <w:szCs w:val="36"/>
                              </w:rPr>
                            </w:pPr>
                            <w:r w:rsidRPr="007307B6">
                              <w:rPr>
                                <w:rFonts w:cs="Times New Roman"/>
                                <w:b/>
                                <w:bCs/>
                                <w:sz w:val="36"/>
                                <w:szCs w:val="36"/>
                              </w:rPr>
                              <w:t>Sous la supervision de :</w:t>
                            </w:r>
                          </w:p>
                          <w:p w14:paraId="6244A153" w14:textId="4BAE959E" w:rsidR="00276FE9" w:rsidRDefault="00276FE9" w:rsidP="00D5051D">
                            <w:pPr>
                              <w:spacing w:line="240" w:lineRule="auto"/>
                              <w:jc w:val="center"/>
                              <w:rPr>
                                <w:rFonts w:cs="Times New Roman"/>
                                <w:sz w:val="36"/>
                                <w:szCs w:val="36"/>
                              </w:rPr>
                            </w:pPr>
                            <w:r>
                              <w:rPr>
                                <w:rFonts w:cs="Times New Roman"/>
                                <w:sz w:val="36"/>
                                <w:szCs w:val="36"/>
                              </w:rPr>
                              <w:t xml:space="preserve">M. </w:t>
                            </w:r>
                            <w:r w:rsidRPr="00C82A76">
                              <w:rPr>
                                <w:rFonts w:cs="Times New Roman"/>
                                <w:sz w:val="36"/>
                                <w:szCs w:val="36"/>
                              </w:rPr>
                              <w:t>El Hadji Malick CISSE</w:t>
                            </w:r>
                          </w:p>
                          <w:p w14:paraId="2654E226" w14:textId="4B6E9DB8" w:rsidR="00276FE9" w:rsidRPr="00C82A76" w:rsidRDefault="00276FE9" w:rsidP="00D5051D">
                            <w:pPr>
                              <w:spacing w:line="240" w:lineRule="auto"/>
                              <w:jc w:val="center"/>
                              <w:rPr>
                                <w:rFonts w:cs="Times New Roman"/>
                                <w:i/>
                                <w:iCs/>
                                <w:sz w:val="36"/>
                                <w:szCs w:val="36"/>
                              </w:rPr>
                            </w:pPr>
                            <w:r w:rsidRPr="00C82A76">
                              <w:rPr>
                                <w:i/>
                                <w:iCs/>
                              </w:rPr>
                              <w:t>Chef du bureau des prix</w:t>
                            </w:r>
                          </w:p>
                          <w:p w14:paraId="5B304FBE" w14:textId="77777777" w:rsidR="00276FE9" w:rsidRDefault="00276FE9" w:rsidP="00C82A76">
                            <w:pPr>
                              <w:jc w:val="center"/>
                              <w:rPr>
                                <w:rFonts w:cs="Times New Roman"/>
                                <w:sz w:val="36"/>
                                <w:szCs w:val="36"/>
                              </w:rPr>
                            </w:pPr>
                          </w:p>
                          <w:p w14:paraId="61A0B97D" w14:textId="77777777" w:rsidR="00276FE9" w:rsidRPr="007307B6" w:rsidRDefault="00276FE9" w:rsidP="00C82A76">
                            <w:pPr>
                              <w:jc w:val="center"/>
                              <w:rPr>
                                <w:rFonts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5970A" id="Zone de texte 3" o:spid="_x0000_s1030" type="#_x0000_t202" style="position:absolute;left:0;text-align:left;margin-left:280.05pt;margin-top:531.15pt;width:252.7pt;height:108.9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" filled="f" stroked="f" strokeweight=".5pt">
                <v:textbox>
                  <w:txbxContent>
                    <w:p w14:paraId="4381B68A" w14:textId="77777777" w:rsidR="00276FE9" w:rsidRPr="007307B6" w:rsidRDefault="00276FE9" w:rsidP="00D5051D">
                      <w:pPr>
                        <w:spacing w:line="240" w:lineRule="auto"/>
                        <w:jc w:val="center"/>
                        <w:rPr>
                          <w:rFonts w:cs="Times New Roman"/>
                          <w:b/>
                          <w:bCs/>
                          <w:sz w:val="36"/>
                          <w:szCs w:val="36"/>
                        </w:rPr>
                      </w:pPr>
                      <w:r w:rsidRPr="007307B6">
                        <w:rPr>
                          <w:rFonts w:cs="Times New Roman"/>
                          <w:b/>
                          <w:bCs/>
                          <w:sz w:val="36"/>
                          <w:szCs w:val="36"/>
                        </w:rPr>
                        <w:t>Sous la supervision de :</w:t>
                      </w:r>
                    </w:p>
                    <w:p w14:paraId="6244A153" w14:textId="4BAE959E" w:rsidR="00276FE9" w:rsidRDefault="00276FE9" w:rsidP="00D5051D">
                      <w:pPr>
                        <w:spacing w:line="240" w:lineRule="auto"/>
                        <w:jc w:val="center"/>
                        <w:rPr>
                          <w:rFonts w:cs="Times New Roman"/>
                          <w:sz w:val="36"/>
                          <w:szCs w:val="36"/>
                        </w:rPr>
                      </w:pPr>
                      <w:r>
                        <w:rPr>
                          <w:rFonts w:cs="Times New Roman"/>
                          <w:sz w:val="36"/>
                          <w:szCs w:val="36"/>
                        </w:rPr>
                        <w:t xml:space="preserve">M. </w:t>
                      </w:r>
                      <w:r w:rsidRPr="00C82A76">
                        <w:rPr>
                          <w:rFonts w:cs="Times New Roman"/>
                          <w:sz w:val="36"/>
                          <w:szCs w:val="36"/>
                        </w:rPr>
                        <w:t>El Hadji Malick CISSE</w:t>
                      </w:r>
                    </w:p>
                    <w:p w14:paraId="2654E226" w14:textId="4B6E9DB8" w:rsidR="00276FE9" w:rsidRPr="00C82A76" w:rsidRDefault="00276FE9" w:rsidP="00D5051D">
                      <w:pPr>
                        <w:spacing w:line="240" w:lineRule="auto"/>
                        <w:jc w:val="center"/>
                        <w:rPr>
                          <w:rFonts w:cs="Times New Roman"/>
                          <w:i/>
                          <w:iCs/>
                          <w:sz w:val="36"/>
                          <w:szCs w:val="36"/>
                        </w:rPr>
                      </w:pPr>
                      <w:r w:rsidRPr="00C82A76">
                        <w:rPr>
                          <w:i/>
                          <w:iCs/>
                        </w:rPr>
                        <w:t>Chef du bureau des prix</w:t>
                      </w:r>
                    </w:p>
                    <w:p w14:paraId="5B304FBE" w14:textId="77777777" w:rsidR="00276FE9" w:rsidRDefault="00276FE9" w:rsidP="00C82A76">
                      <w:pPr>
                        <w:jc w:val="center"/>
                        <w:rPr>
                          <w:rFonts w:cs="Times New Roman"/>
                          <w:sz w:val="36"/>
                          <w:szCs w:val="36"/>
                        </w:rPr>
                      </w:pPr>
                    </w:p>
                    <w:p w14:paraId="61A0B97D" w14:textId="77777777" w:rsidR="00276FE9" w:rsidRPr="007307B6" w:rsidRDefault="00276FE9" w:rsidP="00C82A76">
                      <w:pPr>
                        <w:jc w:val="center"/>
                        <w:rPr>
                          <w:rFonts w:cs="Times New Roman"/>
                          <w:sz w:val="36"/>
                          <w:szCs w:val="36"/>
                        </w:rPr>
                      </w:pPr>
                    </w:p>
                  </w:txbxContent>
                </v:textbox>
              </v:shape>
            </w:pict>
          </mc:Fallback>
        </mc:AlternateContent>
      </w:r>
      <w:r w:rsidR="00C82A76" w:rsidRPr="007307B6">
        <w:rPr>
          <w:noProof/>
          <w:lang w:eastAsia="fr-FR"/>
        </w:rPr>
        <mc:AlternateContent>
          <mc:Choice Requires="wps">
            <w:drawing>
              <wp:anchor distT="0" distB="0" distL="114300" distR="114300" simplePos="0" relativeHeight="251470336" behindDoc="0" locked="0" layoutInCell="1" allowOverlap="1" wp14:anchorId="11818151" wp14:editId="22B5519F">
                <wp:simplePos x="0" y="0"/>
                <wp:positionH relativeFrom="column">
                  <wp:posOffset>-749691</wp:posOffset>
                </wp:positionH>
                <wp:positionV relativeFrom="paragraph">
                  <wp:posOffset>6715760</wp:posOffset>
                </wp:positionV>
                <wp:extent cx="2965938" cy="1475054"/>
                <wp:effectExtent l="0" t="0" r="6350" b="3810"/>
                <wp:wrapNone/>
                <wp:docPr id="2119177776" name="Zone de texte 1"/>
                <wp:cNvGraphicFramePr/>
                <a:graphic xmlns:a="http://schemas.openxmlformats.org/drawingml/2006/main">
                  <a:graphicData uri="http://schemas.microsoft.com/office/word/2010/wordprocessingShape">
                    <wps:wsp>
                      <wps:cNvSpPr txBox="1"/>
                      <wps:spPr>
                        <a:xfrm>
                          <a:off x="0" y="0"/>
                          <a:ext cx="2965938" cy="1475054"/>
                        </a:xfrm>
                        <a:prstGeom prst="rect">
                          <a:avLst/>
                        </a:prstGeom>
                        <a:solidFill>
                          <a:schemeClr val="lt1"/>
                        </a:solidFill>
                        <a:ln w="6350">
                          <a:noFill/>
                        </a:ln>
                      </wps:spPr>
                      <wps:txbx>
                        <w:txbxContent>
                          <w:p w14:paraId="4EB7DB9F" w14:textId="77777777" w:rsidR="00276FE9" w:rsidRPr="007307B6" w:rsidRDefault="00276FE9" w:rsidP="00D5051D">
                            <w:pPr>
                              <w:spacing w:line="240" w:lineRule="auto"/>
                              <w:jc w:val="center"/>
                              <w:rPr>
                                <w:rFonts w:cs="Times New Roman"/>
                                <w:sz w:val="36"/>
                                <w:szCs w:val="36"/>
                              </w:rPr>
                            </w:pPr>
                            <w:r w:rsidRPr="007307B6">
                              <w:rPr>
                                <w:rFonts w:cs="Times New Roman"/>
                                <w:b/>
                                <w:bCs/>
                                <w:sz w:val="36"/>
                                <w:szCs w:val="36"/>
                              </w:rPr>
                              <w:t>Rédigé par</w:t>
                            </w:r>
                            <w:r w:rsidRPr="007307B6">
                              <w:rPr>
                                <w:rFonts w:cs="Times New Roman"/>
                                <w:sz w:val="36"/>
                                <w:szCs w:val="36"/>
                              </w:rPr>
                              <w:t> :</w:t>
                            </w:r>
                          </w:p>
                          <w:p w14:paraId="1698B346" w14:textId="195AE2B4" w:rsidR="00276FE9" w:rsidRDefault="00276FE9" w:rsidP="00D5051D">
                            <w:pPr>
                              <w:spacing w:line="240" w:lineRule="auto"/>
                              <w:jc w:val="center"/>
                              <w:rPr>
                                <w:rFonts w:cs="Times New Roman"/>
                                <w:sz w:val="36"/>
                                <w:szCs w:val="36"/>
                              </w:rPr>
                            </w:pPr>
                            <w:r w:rsidRPr="007307B6">
                              <w:rPr>
                                <w:rFonts w:cs="Times New Roman"/>
                                <w:sz w:val="36"/>
                                <w:szCs w:val="36"/>
                              </w:rPr>
                              <w:t xml:space="preserve"> Malick SENE </w:t>
                            </w:r>
                          </w:p>
                          <w:p w14:paraId="4C9B1119" w14:textId="0FF8C930" w:rsidR="00276FE9" w:rsidRPr="00C82A76" w:rsidRDefault="00276FE9" w:rsidP="00D5051D">
                            <w:pPr>
                              <w:spacing w:line="240" w:lineRule="auto"/>
                              <w:jc w:val="center"/>
                              <w:rPr>
                                <w:rFonts w:cs="Times New Roman"/>
                                <w:i/>
                                <w:iCs/>
                                <w:sz w:val="36"/>
                                <w:szCs w:val="36"/>
                              </w:rPr>
                            </w:pPr>
                            <w:r w:rsidRPr="00C82A76">
                              <w:rPr>
                                <w:i/>
                                <w:iCs/>
                              </w:rPr>
                              <w:t>Elève Ingénieur Statisticien Economiste</w:t>
                            </w:r>
                          </w:p>
                          <w:p w14:paraId="7B224EE8" w14:textId="4B005243" w:rsidR="00276FE9" w:rsidRPr="007307B6" w:rsidRDefault="00276FE9" w:rsidP="00F14B1F">
                            <w:pPr>
                              <w:jc w:val="center"/>
                              <w:rPr>
                                <w:rFonts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18151" id="Zone de texte 1" o:spid="_x0000_s1031" type="#_x0000_t202" style="position:absolute;left:0;text-align:left;margin-left:-59.05pt;margin-top:528.8pt;width:233.55pt;height:116.15pt;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" fillcolor="white [3201]" stroked="f" strokeweight=".5pt">
                <v:textbox>
                  <w:txbxContent>
                    <w:p w14:paraId="4EB7DB9F" w14:textId="77777777" w:rsidR="00276FE9" w:rsidRPr="007307B6" w:rsidRDefault="00276FE9" w:rsidP="00D5051D">
                      <w:pPr>
                        <w:spacing w:line="240" w:lineRule="auto"/>
                        <w:jc w:val="center"/>
                        <w:rPr>
                          <w:rFonts w:cs="Times New Roman"/>
                          <w:sz w:val="36"/>
                          <w:szCs w:val="36"/>
                        </w:rPr>
                      </w:pPr>
                      <w:r w:rsidRPr="007307B6">
                        <w:rPr>
                          <w:rFonts w:cs="Times New Roman"/>
                          <w:b/>
                          <w:bCs/>
                          <w:sz w:val="36"/>
                          <w:szCs w:val="36"/>
                        </w:rPr>
                        <w:t>Rédigé par</w:t>
                      </w:r>
                      <w:r w:rsidRPr="007307B6">
                        <w:rPr>
                          <w:rFonts w:cs="Times New Roman"/>
                          <w:sz w:val="36"/>
                          <w:szCs w:val="36"/>
                        </w:rPr>
                        <w:t> :</w:t>
                      </w:r>
                    </w:p>
                    <w:p w14:paraId="1698B346" w14:textId="195AE2B4" w:rsidR="00276FE9" w:rsidRDefault="00276FE9" w:rsidP="00D5051D">
                      <w:pPr>
                        <w:spacing w:line="240" w:lineRule="auto"/>
                        <w:jc w:val="center"/>
                        <w:rPr>
                          <w:rFonts w:cs="Times New Roman"/>
                          <w:sz w:val="36"/>
                          <w:szCs w:val="36"/>
                        </w:rPr>
                      </w:pPr>
                      <w:r w:rsidRPr="007307B6">
                        <w:rPr>
                          <w:rFonts w:cs="Times New Roman"/>
                          <w:sz w:val="36"/>
                          <w:szCs w:val="36"/>
                        </w:rPr>
                        <w:t xml:space="preserve"> Malick SENE </w:t>
                      </w:r>
                    </w:p>
                    <w:p w14:paraId="4C9B1119" w14:textId="0FF8C930" w:rsidR="00276FE9" w:rsidRPr="00C82A76" w:rsidRDefault="00276FE9" w:rsidP="00D5051D">
                      <w:pPr>
                        <w:spacing w:line="240" w:lineRule="auto"/>
                        <w:jc w:val="center"/>
                        <w:rPr>
                          <w:rFonts w:cs="Times New Roman"/>
                          <w:i/>
                          <w:iCs/>
                          <w:sz w:val="36"/>
                          <w:szCs w:val="36"/>
                        </w:rPr>
                      </w:pPr>
                      <w:r w:rsidRPr="00C82A76">
                        <w:rPr>
                          <w:i/>
                          <w:iCs/>
                        </w:rPr>
                        <w:t>Elève Ingénieur Statisticien Economiste</w:t>
                      </w:r>
                    </w:p>
                    <w:p w14:paraId="7B224EE8" w14:textId="4B005243" w:rsidR="00276FE9" w:rsidRPr="007307B6" w:rsidRDefault="00276FE9" w:rsidP="00F14B1F">
                      <w:pPr>
                        <w:jc w:val="center"/>
                        <w:rPr>
                          <w:rFonts w:cs="Times New Roman"/>
                          <w:sz w:val="36"/>
                          <w:szCs w:val="36"/>
                        </w:rPr>
                      </w:pPr>
                    </w:p>
                  </w:txbxContent>
                </v:textbox>
              </v:shape>
            </w:pict>
          </mc:Fallback>
        </mc:AlternateContent>
      </w:r>
      <w:r w:rsidR="00C82A76" w:rsidRPr="007307B6">
        <w:rPr>
          <w:noProof/>
          <w:lang w:eastAsia="fr-FR"/>
        </w:rPr>
        <mc:AlternateContent>
          <mc:Choice Requires="wps">
            <w:drawing>
              <wp:anchor distT="0" distB="0" distL="114300" distR="114300" simplePos="0" relativeHeight="251722240" behindDoc="1" locked="0" layoutInCell="1" allowOverlap="1" wp14:anchorId="1FEE1CF3" wp14:editId="495B95ED">
                <wp:simplePos x="0" y="0"/>
                <wp:positionH relativeFrom="column">
                  <wp:posOffset>370205</wp:posOffset>
                </wp:positionH>
                <wp:positionV relativeFrom="paragraph">
                  <wp:posOffset>1144401</wp:posOffset>
                </wp:positionV>
                <wp:extent cx="5344160" cy="300355"/>
                <wp:effectExtent l="0" t="0" r="8890" b="4445"/>
                <wp:wrapTight wrapText="bothSides">
                  <wp:wrapPolygon edited="0">
                    <wp:start x="0" y="0"/>
                    <wp:lineTo x="0" y="20550"/>
                    <wp:lineTo x="21559" y="20550"/>
                    <wp:lineTo x="21559" y="0"/>
                    <wp:lineTo x="0" y="0"/>
                  </wp:wrapPolygon>
                </wp:wrapTight>
                <wp:docPr id="1964010000" name="Zone de texte 19"/>
                <wp:cNvGraphicFramePr/>
                <a:graphic xmlns:a="http://schemas.openxmlformats.org/drawingml/2006/main">
                  <a:graphicData uri="http://schemas.microsoft.com/office/word/2010/wordprocessingShape">
                    <wps:wsp>
                      <wps:cNvSpPr txBox="1"/>
                      <wps:spPr>
                        <a:xfrm>
                          <a:off x="0" y="0"/>
                          <a:ext cx="5344160" cy="300355"/>
                        </a:xfrm>
                        <a:prstGeom prst="rect">
                          <a:avLst/>
                        </a:prstGeom>
                        <a:solidFill>
                          <a:schemeClr val="lt1"/>
                        </a:solidFill>
                        <a:ln w="6350">
                          <a:noFill/>
                        </a:ln>
                      </wps:spPr>
                      <wps:txbx>
                        <w:txbxContent>
                          <w:p w14:paraId="0EEE94F8" w14:textId="194556CA" w:rsidR="00276FE9" w:rsidRPr="007307B6" w:rsidRDefault="00276FE9" w:rsidP="00F14B1F">
                            <w:pPr>
                              <w:jc w:val="center"/>
                              <w:rPr>
                                <w:rFonts w:cs="Times New Roman"/>
                                <w:b/>
                                <w:bCs/>
                              </w:rPr>
                            </w:pPr>
                            <w:r w:rsidRPr="007307B6">
                              <w:rPr>
                                <w:rFonts w:cs="Times New Roman"/>
                                <w:b/>
                                <w:bCs/>
                              </w:rPr>
                              <w:t>M</w:t>
                            </w:r>
                            <w:r>
                              <w:rPr>
                                <w:rFonts w:cs="Times New Roman"/>
                                <w:b/>
                                <w:bCs/>
                              </w:rPr>
                              <w:t>inistère</w:t>
                            </w:r>
                            <w:r w:rsidRPr="007307B6">
                              <w:rPr>
                                <w:rFonts w:cs="Times New Roman"/>
                                <w:b/>
                                <w:bCs/>
                              </w:rPr>
                              <w:t xml:space="preserve"> </w:t>
                            </w:r>
                            <w:r>
                              <w:rPr>
                                <w:rFonts w:cs="Times New Roman"/>
                                <w:b/>
                                <w:bCs/>
                              </w:rPr>
                              <w:t>de</w:t>
                            </w:r>
                            <w:r w:rsidRPr="007307B6">
                              <w:rPr>
                                <w:rFonts w:cs="Times New Roman"/>
                                <w:b/>
                                <w:bCs/>
                              </w:rPr>
                              <w:t xml:space="preserve"> </w:t>
                            </w:r>
                            <w:r>
                              <w:rPr>
                                <w:rFonts w:cs="Times New Roman"/>
                                <w:b/>
                                <w:bCs/>
                              </w:rPr>
                              <w:t>l</w:t>
                            </w:r>
                            <w:r w:rsidRPr="007307B6">
                              <w:rPr>
                                <w:rFonts w:cs="Times New Roman"/>
                                <w:b/>
                                <w:bCs/>
                              </w:rPr>
                              <w:t>’E</w:t>
                            </w:r>
                            <w:r>
                              <w:rPr>
                                <w:rFonts w:cs="Times New Roman"/>
                                <w:b/>
                                <w:bCs/>
                              </w:rPr>
                              <w:t>conomie</w:t>
                            </w:r>
                            <w:r w:rsidRPr="007307B6">
                              <w:rPr>
                                <w:rFonts w:cs="Times New Roman"/>
                                <w:b/>
                                <w:bCs/>
                              </w:rPr>
                              <w:t xml:space="preserve"> </w:t>
                            </w:r>
                            <w:r>
                              <w:rPr>
                                <w:rFonts w:cs="Times New Roman"/>
                                <w:b/>
                                <w:bCs/>
                              </w:rPr>
                              <w:t>du</w:t>
                            </w:r>
                            <w:r w:rsidRPr="007307B6">
                              <w:rPr>
                                <w:rFonts w:cs="Times New Roman"/>
                                <w:b/>
                                <w:bCs/>
                              </w:rPr>
                              <w:t xml:space="preserve"> P</w:t>
                            </w:r>
                            <w:r>
                              <w:rPr>
                                <w:rFonts w:cs="Times New Roman"/>
                                <w:b/>
                                <w:bCs/>
                              </w:rPr>
                              <w:t>lan</w:t>
                            </w:r>
                            <w:r w:rsidRPr="007307B6">
                              <w:rPr>
                                <w:rFonts w:cs="Times New Roman"/>
                                <w:b/>
                                <w:bCs/>
                              </w:rPr>
                              <w:t xml:space="preserve"> </w:t>
                            </w:r>
                            <w:r>
                              <w:rPr>
                                <w:rFonts w:cs="Times New Roman"/>
                                <w:b/>
                                <w:bCs/>
                              </w:rPr>
                              <w:t>et de</w:t>
                            </w:r>
                            <w:r w:rsidRPr="007307B6">
                              <w:rPr>
                                <w:rFonts w:cs="Times New Roman"/>
                                <w:b/>
                                <w:bCs/>
                              </w:rPr>
                              <w:t xml:space="preserve"> </w:t>
                            </w:r>
                            <w:r>
                              <w:rPr>
                                <w:rFonts w:cs="Times New Roman"/>
                                <w:b/>
                                <w:bCs/>
                              </w:rPr>
                              <w:t>la</w:t>
                            </w:r>
                            <w:r w:rsidRPr="007307B6">
                              <w:rPr>
                                <w:rFonts w:cs="Times New Roman"/>
                                <w:b/>
                                <w:bCs/>
                              </w:rPr>
                              <w:t xml:space="preserve"> C</w:t>
                            </w:r>
                            <w:r>
                              <w:rPr>
                                <w:rFonts w:cs="Times New Roman"/>
                                <w:b/>
                                <w:bCs/>
                              </w:rPr>
                              <w:t>oopération</w:t>
                            </w:r>
                          </w:p>
                          <w:p w14:paraId="71D5B4F9" w14:textId="77777777" w:rsidR="00276FE9" w:rsidRPr="007307B6" w:rsidRDefault="00276FE9" w:rsidP="00F14B1F">
                            <w:pPr>
                              <w:jc w:val="center"/>
                              <w:rPr>
                                <w:rFonts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1CF3" id="Zone de texte 19" o:spid="_x0000_s1032" type="#_x0000_t202" style="position:absolute;left:0;text-align:left;margin-left:29.15pt;margin-top:90.1pt;width:420.8pt;height:23.6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" fillcolor="white [3201]" stroked="f" strokeweight=".5pt">
                <v:textbox>
                  <w:txbxContent>
                    <w:p w14:paraId="0EEE94F8" w14:textId="194556CA" w:rsidR="00276FE9" w:rsidRPr="007307B6" w:rsidRDefault="00276FE9" w:rsidP="00F14B1F">
                      <w:pPr>
                        <w:jc w:val="center"/>
                        <w:rPr>
                          <w:rFonts w:cs="Times New Roman"/>
                          <w:b/>
                          <w:bCs/>
                        </w:rPr>
                      </w:pPr>
                      <w:r w:rsidRPr="007307B6">
                        <w:rPr>
                          <w:rFonts w:cs="Times New Roman"/>
                          <w:b/>
                          <w:bCs/>
                        </w:rPr>
                        <w:t>M</w:t>
                      </w:r>
                      <w:r>
                        <w:rPr>
                          <w:rFonts w:cs="Times New Roman"/>
                          <w:b/>
                          <w:bCs/>
                        </w:rPr>
                        <w:t>inistère</w:t>
                      </w:r>
                      <w:r w:rsidRPr="007307B6">
                        <w:rPr>
                          <w:rFonts w:cs="Times New Roman"/>
                          <w:b/>
                          <w:bCs/>
                        </w:rPr>
                        <w:t xml:space="preserve"> </w:t>
                      </w:r>
                      <w:r>
                        <w:rPr>
                          <w:rFonts w:cs="Times New Roman"/>
                          <w:b/>
                          <w:bCs/>
                        </w:rPr>
                        <w:t>de</w:t>
                      </w:r>
                      <w:r w:rsidRPr="007307B6">
                        <w:rPr>
                          <w:rFonts w:cs="Times New Roman"/>
                          <w:b/>
                          <w:bCs/>
                        </w:rPr>
                        <w:t xml:space="preserve"> </w:t>
                      </w:r>
                      <w:r>
                        <w:rPr>
                          <w:rFonts w:cs="Times New Roman"/>
                          <w:b/>
                          <w:bCs/>
                        </w:rPr>
                        <w:t>l</w:t>
                      </w:r>
                      <w:r w:rsidRPr="007307B6">
                        <w:rPr>
                          <w:rFonts w:cs="Times New Roman"/>
                          <w:b/>
                          <w:bCs/>
                        </w:rPr>
                        <w:t>’E</w:t>
                      </w:r>
                      <w:r>
                        <w:rPr>
                          <w:rFonts w:cs="Times New Roman"/>
                          <w:b/>
                          <w:bCs/>
                        </w:rPr>
                        <w:t>conomie</w:t>
                      </w:r>
                      <w:r w:rsidRPr="007307B6">
                        <w:rPr>
                          <w:rFonts w:cs="Times New Roman"/>
                          <w:b/>
                          <w:bCs/>
                        </w:rPr>
                        <w:t xml:space="preserve"> </w:t>
                      </w:r>
                      <w:r>
                        <w:rPr>
                          <w:rFonts w:cs="Times New Roman"/>
                          <w:b/>
                          <w:bCs/>
                        </w:rPr>
                        <w:t>du</w:t>
                      </w:r>
                      <w:r w:rsidRPr="007307B6">
                        <w:rPr>
                          <w:rFonts w:cs="Times New Roman"/>
                          <w:b/>
                          <w:bCs/>
                        </w:rPr>
                        <w:t xml:space="preserve"> P</w:t>
                      </w:r>
                      <w:r>
                        <w:rPr>
                          <w:rFonts w:cs="Times New Roman"/>
                          <w:b/>
                          <w:bCs/>
                        </w:rPr>
                        <w:t>lan</w:t>
                      </w:r>
                      <w:r w:rsidRPr="007307B6">
                        <w:rPr>
                          <w:rFonts w:cs="Times New Roman"/>
                          <w:b/>
                          <w:bCs/>
                        </w:rPr>
                        <w:t xml:space="preserve"> </w:t>
                      </w:r>
                      <w:r>
                        <w:rPr>
                          <w:rFonts w:cs="Times New Roman"/>
                          <w:b/>
                          <w:bCs/>
                        </w:rPr>
                        <w:t>et de</w:t>
                      </w:r>
                      <w:r w:rsidRPr="007307B6">
                        <w:rPr>
                          <w:rFonts w:cs="Times New Roman"/>
                          <w:b/>
                          <w:bCs/>
                        </w:rPr>
                        <w:t xml:space="preserve"> </w:t>
                      </w:r>
                      <w:r>
                        <w:rPr>
                          <w:rFonts w:cs="Times New Roman"/>
                          <w:b/>
                          <w:bCs/>
                        </w:rPr>
                        <w:t>la</w:t>
                      </w:r>
                      <w:r w:rsidRPr="007307B6">
                        <w:rPr>
                          <w:rFonts w:cs="Times New Roman"/>
                          <w:b/>
                          <w:bCs/>
                        </w:rPr>
                        <w:t xml:space="preserve"> C</w:t>
                      </w:r>
                      <w:r>
                        <w:rPr>
                          <w:rFonts w:cs="Times New Roman"/>
                          <w:b/>
                          <w:bCs/>
                        </w:rPr>
                        <w:t>oopération</w:t>
                      </w:r>
                    </w:p>
                    <w:p w14:paraId="71D5B4F9" w14:textId="77777777" w:rsidR="00276FE9" w:rsidRPr="007307B6" w:rsidRDefault="00276FE9" w:rsidP="00F14B1F">
                      <w:pPr>
                        <w:jc w:val="center"/>
                        <w:rPr>
                          <w:rFonts w:cs="Times New Roman"/>
                          <w:b/>
                          <w:bCs/>
                        </w:rPr>
                      </w:pPr>
                    </w:p>
                  </w:txbxContent>
                </v:textbox>
                <w10:wrap type="tight"/>
              </v:shape>
            </w:pict>
          </mc:Fallback>
        </mc:AlternateContent>
      </w:r>
      <w:r w:rsidR="00F14B1F" w:rsidRPr="007307B6">
        <w:rPr>
          <w:noProof/>
          <w:lang w:eastAsia="fr-FR"/>
        </w:rPr>
        <mc:AlternateContent>
          <mc:Choice Requires="wps">
            <w:drawing>
              <wp:anchor distT="0" distB="0" distL="114300" distR="114300" simplePos="0" relativeHeight="251585024" behindDoc="0" locked="0" layoutInCell="1" allowOverlap="1" wp14:anchorId="0194B260" wp14:editId="408BCF09">
                <wp:simplePos x="0" y="0"/>
                <wp:positionH relativeFrom="column">
                  <wp:posOffset>1884246</wp:posOffset>
                </wp:positionH>
                <wp:positionV relativeFrom="paragraph">
                  <wp:posOffset>8899223</wp:posOffset>
                </wp:positionV>
                <wp:extent cx="2411095" cy="826770"/>
                <wp:effectExtent l="0" t="0" r="0" b="0"/>
                <wp:wrapNone/>
                <wp:docPr id="565263615" name="Zone de texte 8"/>
                <wp:cNvGraphicFramePr/>
                <a:graphic xmlns:a="http://schemas.openxmlformats.org/drawingml/2006/main">
                  <a:graphicData uri="http://schemas.microsoft.com/office/word/2010/wordprocessingShape">
                    <wps:wsp>
                      <wps:cNvSpPr txBox="1"/>
                      <wps:spPr>
                        <a:xfrm>
                          <a:off x="0" y="0"/>
                          <a:ext cx="2411095" cy="826770"/>
                        </a:xfrm>
                        <a:prstGeom prst="rect">
                          <a:avLst/>
                        </a:prstGeom>
                        <a:noFill/>
                        <a:ln w="6350">
                          <a:noFill/>
                        </a:ln>
                      </wps:spPr>
                      <wps:txbx>
                        <w:txbxContent>
                          <w:p w14:paraId="0D98A1F8" w14:textId="77777777" w:rsidR="00276FE9" w:rsidRPr="007307B6" w:rsidRDefault="00276FE9" w:rsidP="00F14B1F">
                            <w:pPr>
                              <w:jc w:val="center"/>
                              <w:rPr>
                                <w:rFonts w:cs="Times New Roman"/>
                                <w:sz w:val="36"/>
                                <w:szCs w:val="36"/>
                              </w:rPr>
                            </w:pPr>
                            <w:r w:rsidRPr="007307B6">
                              <w:rPr>
                                <w:rFonts w:cs="Times New Roman"/>
                                <w:b/>
                                <w:bCs/>
                                <w:sz w:val="36"/>
                                <w:szCs w:val="36"/>
                              </w:rPr>
                              <w:t>Année Académique</w:t>
                            </w:r>
                            <w:r w:rsidRPr="007307B6">
                              <w:rPr>
                                <w:rFonts w:cs="Times New Roman"/>
                                <w:sz w:val="36"/>
                                <w:szCs w:val="36"/>
                              </w:rPr>
                              <w:t> :</w:t>
                            </w:r>
                          </w:p>
                          <w:p w14:paraId="338A55B3" w14:textId="77777777" w:rsidR="00276FE9" w:rsidRPr="007307B6" w:rsidRDefault="00276FE9" w:rsidP="00F14B1F">
                            <w:pPr>
                              <w:jc w:val="center"/>
                              <w:rPr>
                                <w:rFonts w:cs="Times New Roman"/>
                                <w:sz w:val="36"/>
                                <w:szCs w:val="36"/>
                              </w:rPr>
                            </w:pPr>
                            <w:r w:rsidRPr="007307B6">
                              <w:rPr>
                                <w:rFonts w:cs="Times New Roman"/>
                                <w:sz w:val="36"/>
                                <w:szCs w:val="36"/>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B260" id="_x0000_s1033" type="#_x0000_t202" style="position:absolute;left:0;text-align:left;margin-left:148.35pt;margin-top:700.75pt;width:189.85pt;height:65.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" filled="f" stroked="f" strokeweight=".5pt">
                <v:textbox>
                  <w:txbxContent>
                    <w:p w14:paraId="0D98A1F8" w14:textId="77777777" w:rsidR="00276FE9" w:rsidRPr="007307B6" w:rsidRDefault="00276FE9" w:rsidP="00F14B1F">
                      <w:pPr>
                        <w:jc w:val="center"/>
                        <w:rPr>
                          <w:rFonts w:cs="Times New Roman"/>
                          <w:sz w:val="36"/>
                          <w:szCs w:val="36"/>
                        </w:rPr>
                      </w:pPr>
                      <w:r w:rsidRPr="007307B6">
                        <w:rPr>
                          <w:rFonts w:cs="Times New Roman"/>
                          <w:b/>
                          <w:bCs/>
                          <w:sz w:val="36"/>
                          <w:szCs w:val="36"/>
                        </w:rPr>
                        <w:t>Année Académique</w:t>
                      </w:r>
                      <w:r w:rsidRPr="007307B6">
                        <w:rPr>
                          <w:rFonts w:cs="Times New Roman"/>
                          <w:sz w:val="36"/>
                          <w:szCs w:val="36"/>
                        </w:rPr>
                        <w:t> :</w:t>
                      </w:r>
                    </w:p>
                    <w:p w14:paraId="338A55B3" w14:textId="77777777" w:rsidR="00276FE9" w:rsidRPr="007307B6" w:rsidRDefault="00276FE9" w:rsidP="00F14B1F">
                      <w:pPr>
                        <w:jc w:val="center"/>
                        <w:rPr>
                          <w:rFonts w:cs="Times New Roman"/>
                          <w:sz w:val="36"/>
                          <w:szCs w:val="36"/>
                        </w:rPr>
                      </w:pPr>
                      <w:r w:rsidRPr="007307B6">
                        <w:rPr>
                          <w:rFonts w:cs="Times New Roman"/>
                          <w:sz w:val="36"/>
                          <w:szCs w:val="36"/>
                        </w:rPr>
                        <w:t>2023-2024</w:t>
                      </w:r>
                    </w:p>
                  </w:txbxContent>
                </v:textbox>
              </v:shape>
            </w:pict>
          </mc:Fallback>
        </mc:AlternateContent>
      </w:r>
      <w:r w:rsidR="00F14B1F" w:rsidRPr="007307B6">
        <w:rPr>
          <w:noProof/>
          <w:lang w:eastAsia="fr-FR"/>
        </w:rPr>
        <mc:AlternateContent>
          <mc:Choice Requires="wps">
            <w:drawing>
              <wp:anchor distT="0" distB="0" distL="114300" distR="114300" simplePos="0" relativeHeight="251796992" behindDoc="0" locked="0" layoutInCell="1" allowOverlap="1" wp14:anchorId="4E927505" wp14:editId="497B8989">
                <wp:simplePos x="0" y="0"/>
                <wp:positionH relativeFrom="column">
                  <wp:posOffset>823525</wp:posOffset>
                </wp:positionH>
                <wp:positionV relativeFrom="paragraph">
                  <wp:posOffset>2724917</wp:posOffset>
                </wp:positionV>
                <wp:extent cx="4825497" cy="309880"/>
                <wp:effectExtent l="0" t="0" r="0" b="0"/>
                <wp:wrapNone/>
                <wp:docPr id="570958605" name="Zone de texte 22"/>
                <wp:cNvGraphicFramePr/>
                <a:graphic xmlns:a="http://schemas.openxmlformats.org/drawingml/2006/main">
                  <a:graphicData uri="http://schemas.microsoft.com/office/word/2010/wordprocessingShape">
                    <wps:wsp>
                      <wps:cNvSpPr txBox="1"/>
                      <wps:spPr>
                        <a:xfrm>
                          <a:off x="0" y="0"/>
                          <a:ext cx="4825497" cy="309880"/>
                        </a:xfrm>
                        <a:prstGeom prst="rect">
                          <a:avLst/>
                        </a:prstGeom>
                        <a:solidFill>
                          <a:schemeClr val="lt1"/>
                        </a:solidFill>
                        <a:ln w="6350">
                          <a:noFill/>
                        </a:ln>
                      </wps:spPr>
                      <wps:txbx>
                        <w:txbxContent>
                          <w:p w14:paraId="5D068D1E" w14:textId="77777777" w:rsidR="00276FE9" w:rsidRPr="007307B6" w:rsidRDefault="00276FE9" w:rsidP="00C82A76">
                            <w:r w:rsidRPr="007307B6">
                              <w:t>Ecole nationale de la Statistique et de l’Analyse économique Pierre Ndiaye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7505" id="Zone de texte 22" o:spid="_x0000_s1034" type="#_x0000_t202" style="position:absolute;left:0;text-align:left;margin-left:64.85pt;margin-top:214.55pt;width:379.95pt;height:24.4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" fillcolor="white [3201]" stroked="f" strokeweight=".5pt">
                <v:textbox>
                  <w:txbxContent>
                    <w:p w14:paraId="5D068D1E" w14:textId="77777777" w:rsidR="00276FE9" w:rsidRPr="007307B6" w:rsidRDefault="00276FE9" w:rsidP="00C82A76">
                      <w:r w:rsidRPr="007307B6">
                        <w:t>Ecole nationale de la Statistique et de l’Analyse économique Pierre Ndiaye</w:t>
                      </w:r>
                    </w:p>
                  </w:txbxContent>
                </v:textbox>
              </v:shape>
            </w:pict>
          </mc:Fallback>
        </mc:AlternateContent>
      </w:r>
      <w:r w:rsidR="00F14B1F" w:rsidRPr="007307B6">
        <w:rPr>
          <w:noProof/>
          <w:lang w:eastAsia="fr-FR"/>
        </w:rPr>
        <w:drawing>
          <wp:anchor distT="0" distB="0" distL="114300" distR="114300" simplePos="0" relativeHeight="251614720" behindDoc="0" locked="0" layoutInCell="1" allowOverlap="1" wp14:anchorId="386E774A" wp14:editId="00E333E5">
            <wp:simplePos x="0" y="0"/>
            <wp:positionH relativeFrom="column">
              <wp:posOffset>2640330</wp:posOffset>
            </wp:positionH>
            <wp:positionV relativeFrom="paragraph">
              <wp:posOffset>357505</wp:posOffset>
            </wp:positionV>
            <wp:extent cx="812165" cy="772160"/>
            <wp:effectExtent l="0" t="0" r="6985" b="8890"/>
            <wp:wrapSquare wrapText="bothSides"/>
            <wp:docPr id="20777261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2619" name="Image 2077726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2165" cy="772160"/>
                    </a:xfrm>
                    <a:prstGeom prst="rect">
                      <a:avLst/>
                    </a:prstGeom>
                  </pic:spPr>
                </pic:pic>
              </a:graphicData>
            </a:graphic>
            <wp14:sizeRelH relativeFrom="margin">
              <wp14:pctWidth>0</wp14:pctWidth>
            </wp14:sizeRelH>
            <wp14:sizeRelV relativeFrom="margin">
              <wp14:pctHeight>0</wp14:pctHeight>
            </wp14:sizeRelV>
          </wp:anchor>
        </w:drawing>
      </w:r>
      <w:r w:rsidR="00F14B1F" w:rsidRPr="007307B6">
        <w:rPr>
          <w:noProof/>
          <w:lang w:eastAsia="fr-FR"/>
        </w:rPr>
        <mc:AlternateContent>
          <mc:Choice Requires="wps">
            <w:drawing>
              <wp:anchor distT="0" distB="0" distL="114300" distR="114300" simplePos="0" relativeHeight="251761152" behindDoc="0" locked="0" layoutInCell="1" allowOverlap="1" wp14:anchorId="274A8A2C" wp14:editId="71A37361">
                <wp:simplePos x="0" y="0"/>
                <wp:positionH relativeFrom="column">
                  <wp:posOffset>703406</wp:posOffset>
                </wp:positionH>
                <wp:positionV relativeFrom="paragraph">
                  <wp:posOffset>1588770</wp:posOffset>
                </wp:positionV>
                <wp:extent cx="4601210" cy="308610"/>
                <wp:effectExtent l="0" t="0" r="8890" b="0"/>
                <wp:wrapNone/>
                <wp:docPr id="786399418" name="Zone de texte 21"/>
                <wp:cNvGraphicFramePr/>
                <a:graphic xmlns:a="http://schemas.openxmlformats.org/drawingml/2006/main">
                  <a:graphicData uri="http://schemas.microsoft.com/office/word/2010/wordprocessingShape">
                    <wps:wsp>
                      <wps:cNvSpPr txBox="1"/>
                      <wps:spPr>
                        <a:xfrm>
                          <a:off x="0" y="0"/>
                          <a:ext cx="4601210" cy="308610"/>
                        </a:xfrm>
                        <a:prstGeom prst="rect">
                          <a:avLst/>
                        </a:prstGeom>
                        <a:solidFill>
                          <a:schemeClr val="lt1"/>
                        </a:solidFill>
                        <a:ln w="6350">
                          <a:noFill/>
                        </a:ln>
                      </wps:spPr>
                      <wps:txbx>
                        <w:txbxContent>
                          <w:p w14:paraId="7DEDDB25" w14:textId="4DF05DA5" w:rsidR="00276FE9" w:rsidRPr="007307B6" w:rsidRDefault="00276FE9" w:rsidP="00F14B1F">
                            <w:pPr>
                              <w:jc w:val="center"/>
                              <w:rPr>
                                <w:rFonts w:cs="Times New Roman"/>
                                <w:b/>
                                <w:bCs/>
                              </w:rPr>
                            </w:pPr>
                            <w:r w:rsidRPr="007307B6">
                              <w:rPr>
                                <w:rFonts w:cs="Times New Roman"/>
                                <w:b/>
                                <w:bCs/>
                              </w:rPr>
                              <w:t>Agence nationale de la Statistique et de la Démographie (</w:t>
                            </w:r>
                            <w:proofErr w:type="spellStart"/>
                            <w:r w:rsidRPr="007307B6">
                              <w:rPr>
                                <w:rFonts w:cs="Times New Roman"/>
                                <w:b/>
                                <w:bCs/>
                              </w:rPr>
                              <w:t>ANSDSénégal</w:t>
                            </w:r>
                            <w:proofErr w:type="spellEnd"/>
                            <w:r w:rsidRPr="007307B6">
                              <w:rPr>
                                <w:rFonts w:cs="Times New Roman"/>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A8A2C" id="Zone de texte 21" o:spid="_x0000_s1035" type="#_x0000_t202" style="position:absolute;left:0;text-align:left;margin-left:55.4pt;margin-top:125.1pt;width:362.3pt;height:24.3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" fillcolor="white [3201]" stroked="f" strokeweight=".5pt">
                <v:textbox>
                  <w:txbxContent>
                    <w:p w14:paraId="7DEDDB25" w14:textId="4DF05DA5" w:rsidR="00276FE9" w:rsidRPr="007307B6" w:rsidRDefault="00276FE9" w:rsidP="00F14B1F">
                      <w:pPr>
                        <w:jc w:val="center"/>
                        <w:rPr>
                          <w:rFonts w:cs="Times New Roman"/>
                          <w:b/>
                          <w:bCs/>
                        </w:rPr>
                      </w:pPr>
                      <w:r w:rsidRPr="007307B6">
                        <w:rPr>
                          <w:rFonts w:cs="Times New Roman"/>
                          <w:b/>
                          <w:bCs/>
                        </w:rPr>
                        <w:t>Agence nationale de la Statistique et de la Démographie (</w:t>
                      </w:r>
                      <w:proofErr w:type="spellStart"/>
                      <w:r w:rsidRPr="007307B6">
                        <w:rPr>
                          <w:rFonts w:cs="Times New Roman"/>
                          <w:b/>
                          <w:bCs/>
                        </w:rPr>
                        <w:t>ANSDSénégal</w:t>
                      </w:r>
                      <w:proofErr w:type="spellEnd"/>
                      <w:r w:rsidRPr="007307B6">
                        <w:rPr>
                          <w:rFonts w:cs="Times New Roman"/>
                          <w:b/>
                          <w:bCs/>
                        </w:rPr>
                        <w:t>)</w:t>
                      </w:r>
                    </w:p>
                  </w:txbxContent>
                </v:textbox>
              </v:shape>
            </w:pict>
          </mc:Fallback>
        </mc:AlternateContent>
      </w:r>
      <w:r w:rsidR="00F14B1F" w:rsidRPr="007307B6">
        <w:rPr>
          <w:noProof/>
          <w:lang w:eastAsia="fr-FR"/>
        </w:rPr>
        <mc:AlternateContent>
          <mc:Choice Requires="wps">
            <w:drawing>
              <wp:anchor distT="0" distB="0" distL="114300" distR="114300" simplePos="0" relativeHeight="251741696" behindDoc="0" locked="0" layoutInCell="1" allowOverlap="1" wp14:anchorId="268E3AD3" wp14:editId="7C3BC584">
                <wp:simplePos x="0" y="0"/>
                <wp:positionH relativeFrom="column">
                  <wp:posOffset>1922780</wp:posOffset>
                </wp:positionH>
                <wp:positionV relativeFrom="paragraph">
                  <wp:posOffset>1417729</wp:posOffset>
                </wp:positionV>
                <wp:extent cx="2165350" cy="279400"/>
                <wp:effectExtent l="0" t="0" r="6350" b="6350"/>
                <wp:wrapNone/>
                <wp:docPr id="215659935" name="Zone de texte 20"/>
                <wp:cNvGraphicFramePr/>
                <a:graphic xmlns:a="http://schemas.openxmlformats.org/drawingml/2006/main">
                  <a:graphicData uri="http://schemas.microsoft.com/office/word/2010/wordprocessingShape">
                    <wps:wsp>
                      <wps:cNvSpPr txBox="1"/>
                      <wps:spPr>
                        <a:xfrm>
                          <a:off x="0" y="0"/>
                          <a:ext cx="2165350" cy="279400"/>
                        </a:xfrm>
                        <a:prstGeom prst="rect">
                          <a:avLst/>
                        </a:prstGeom>
                        <a:solidFill>
                          <a:schemeClr val="lt1"/>
                        </a:solidFill>
                        <a:ln w="6350">
                          <a:noFill/>
                        </a:ln>
                      </wps:spPr>
                      <wps:txbx>
                        <w:txbxContent>
                          <w:p w14:paraId="28FD0D29" w14:textId="77777777" w:rsidR="00276FE9" w:rsidRPr="007307B6" w:rsidRDefault="00276FE9" w:rsidP="00F14B1F">
                            <w:pPr>
                              <w:jc w:val="center"/>
                            </w:pPr>
                            <w:r w:rsidRPr="007307B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E3AD3" id="Zone de texte 20" o:spid="_x0000_s1036" type="#_x0000_t202" style="position:absolute;left:0;text-align:left;margin-left:151.4pt;margin-top:111.65pt;width:170.5pt;height:22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d2LwIAAFwEAAAOAAAAZHJzL2Uyb0RvYy54bWysVEtv2zAMvg/YfxB0X5xkSdo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" fillcolor="white [3201]" stroked="f" strokeweight=".5pt">
                <v:textbox>
                  <w:txbxContent>
                    <w:p w14:paraId="28FD0D29" w14:textId="77777777" w:rsidR="00276FE9" w:rsidRPr="007307B6" w:rsidRDefault="00276FE9" w:rsidP="00F14B1F">
                      <w:pPr>
                        <w:jc w:val="center"/>
                      </w:pPr>
                      <w:r w:rsidRPr="007307B6">
                        <w:t>***************</w:t>
                      </w:r>
                    </w:p>
                  </w:txbxContent>
                </v:textbox>
              </v:shape>
            </w:pict>
          </mc:Fallback>
        </mc:AlternateContent>
      </w:r>
      <w:r w:rsidR="00F14B1F" w:rsidRPr="007307B6">
        <w:rPr>
          <w:noProof/>
          <w:lang w:eastAsia="fr-FR"/>
        </w:rPr>
        <mc:AlternateContent>
          <mc:Choice Requires="wps">
            <w:drawing>
              <wp:anchor distT="0" distB="0" distL="114300" distR="114300" simplePos="0" relativeHeight="251653632" behindDoc="1" locked="0" layoutInCell="1" allowOverlap="1" wp14:anchorId="0831344E" wp14:editId="62B04629">
                <wp:simplePos x="0" y="0"/>
                <wp:positionH relativeFrom="column">
                  <wp:posOffset>2131060</wp:posOffset>
                </wp:positionH>
                <wp:positionV relativeFrom="paragraph">
                  <wp:posOffset>35560</wp:posOffset>
                </wp:positionV>
                <wp:extent cx="1828800" cy="223520"/>
                <wp:effectExtent l="0" t="0" r="0" b="5080"/>
                <wp:wrapSquare wrapText="bothSides"/>
                <wp:docPr id="1348652556" name="Zone de texte 12"/>
                <wp:cNvGraphicFramePr/>
                <a:graphic xmlns:a="http://schemas.openxmlformats.org/drawingml/2006/main">
                  <a:graphicData uri="http://schemas.microsoft.com/office/word/2010/wordprocessingShape">
                    <wps:wsp>
                      <wps:cNvSpPr txBox="1"/>
                      <wps:spPr>
                        <a:xfrm>
                          <a:off x="0" y="0"/>
                          <a:ext cx="1828800" cy="223520"/>
                        </a:xfrm>
                        <a:prstGeom prst="rect">
                          <a:avLst/>
                        </a:prstGeom>
                        <a:solidFill>
                          <a:schemeClr val="lt1"/>
                        </a:solidFill>
                        <a:ln w="6350">
                          <a:noFill/>
                        </a:ln>
                      </wps:spPr>
                      <wps:txbx>
                        <w:txbxContent>
                          <w:p w14:paraId="2E8CAE38" w14:textId="4D7AC2D2" w:rsidR="00276FE9" w:rsidRPr="007307B6" w:rsidRDefault="00276FE9" w:rsidP="00F14B1F">
                            <w:pPr>
                              <w:jc w:val="center"/>
                              <w:rPr>
                                <w:rFonts w:cs="Times New Roman"/>
                                <w:b/>
                                <w:bCs/>
                                <w:sz w:val="16"/>
                                <w:szCs w:val="16"/>
                              </w:rPr>
                            </w:pPr>
                            <w:r w:rsidRPr="007307B6">
                              <w:rPr>
                                <w:rFonts w:cs="Times New Roman"/>
                                <w:b/>
                                <w:bCs/>
                                <w:sz w:val="16"/>
                                <w:szCs w:val="16"/>
                              </w:rPr>
                              <w:t>Un Peuple-Un But-Une Foi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1344E" id="Zone de texte 12" o:spid="_x0000_s1037" type="#_x0000_t202" style="position:absolute;left:0;text-align:left;margin-left:167.8pt;margin-top:2.8pt;width:2in;height:17.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" fillcolor="white [3201]" stroked="f" strokeweight=".5pt">
                <v:textbox>
                  <w:txbxContent>
                    <w:p w14:paraId="2E8CAE38" w14:textId="4D7AC2D2" w:rsidR="00276FE9" w:rsidRPr="007307B6" w:rsidRDefault="00276FE9" w:rsidP="00F14B1F">
                      <w:pPr>
                        <w:jc w:val="center"/>
                        <w:rPr>
                          <w:rFonts w:cs="Times New Roman"/>
                          <w:b/>
                          <w:bCs/>
                          <w:sz w:val="16"/>
                          <w:szCs w:val="16"/>
                        </w:rPr>
                      </w:pPr>
                      <w:r w:rsidRPr="007307B6">
                        <w:rPr>
                          <w:rFonts w:cs="Times New Roman"/>
                          <w:b/>
                          <w:bCs/>
                          <w:sz w:val="16"/>
                          <w:szCs w:val="16"/>
                        </w:rPr>
                        <w:t>Un Peuple-Un But-Une Foi</w:t>
                      </w:r>
                    </w:p>
                  </w:txbxContent>
                </v:textbox>
                <w10:wrap type="square"/>
              </v:shape>
            </w:pict>
          </mc:Fallback>
        </mc:AlternateContent>
      </w:r>
      <w:r w:rsidR="00F14B1F" w:rsidRPr="007307B6">
        <w:br w:type="page"/>
      </w:r>
    </w:p>
    <w:bookmarkEnd w:id="0"/>
    <w:p w14:paraId="7C0D9AE0" w14:textId="77777777" w:rsidR="000B73CD" w:rsidRDefault="000B73CD" w:rsidP="0091228F">
      <w:pPr>
        <w:rPr>
          <w:rFonts w:cs="Times New Roman"/>
          <w:szCs w:val="24"/>
        </w:rPr>
        <w:sectPr w:rsidR="000B73CD" w:rsidSect="002D28BF">
          <w:footerReference w:type="default" r:id="rId11"/>
          <w:pgSz w:w="12240" w:h="15840"/>
          <w:pgMar w:top="1440" w:right="1440" w:bottom="1440" w:left="1440" w:header="720" w:footer="720" w:gutter="0"/>
          <w:pgBorders w:display="firstPage"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pgNumType w:fmt="lowerRoman" w:start="1"/>
          <w:cols w:space="720"/>
          <w:docGrid w:linePitch="360"/>
        </w:sectPr>
      </w:pPr>
    </w:p>
    <w:p w14:paraId="002F3DB5" w14:textId="38ABD494" w:rsidR="0091228F" w:rsidRPr="001917B2" w:rsidRDefault="00054903" w:rsidP="0091228F">
      <w:pPr>
        <w:rPr>
          <w:rFonts w:cs="Times New Roman"/>
          <w:szCs w:val="24"/>
        </w:rPr>
      </w:pPr>
      <w:r w:rsidRPr="00054903">
        <w:rPr>
          <w:rFonts w:cs="Times New Roman"/>
          <w:noProof/>
          <w:szCs w:val="24"/>
        </w:rPr>
        <w:lastRenderedPageBreak/>
        <mc:AlternateContent>
          <mc:Choice Requires="wps">
            <w:drawing>
              <wp:anchor distT="91440" distB="91440" distL="137160" distR="137160" simplePos="0" relativeHeight="251889152" behindDoc="0" locked="0" layoutInCell="0" allowOverlap="1" wp14:anchorId="4AB24A52" wp14:editId="7D6CC1CB">
                <wp:simplePos x="0" y="0"/>
                <wp:positionH relativeFrom="margin">
                  <wp:posOffset>2367915</wp:posOffset>
                </wp:positionH>
                <wp:positionV relativeFrom="margin">
                  <wp:posOffset>-1195070</wp:posOffset>
                </wp:positionV>
                <wp:extent cx="1203960" cy="6199505"/>
                <wp:effectExtent l="4445" t="0" r="6350" b="635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03960" cy="6199505"/>
                        </a:xfrm>
                        <a:prstGeom prst="roundRect">
                          <a:avLst>
                            <a:gd name="adj" fmla="val 13032"/>
                          </a:avLst>
                        </a:prstGeom>
                        <a:solidFill>
                          <a:schemeClr val="accent1"/>
                        </a:solidFill>
                      </wps:spPr>
                      <wps:txbx>
                        <w:txbxContent>
                          <w:p w14:paraId="4E0386C9" w14:textId="08EC54BD" w:rsidR="00054903" w:rsidRDefault="00495242" w:rsidP="00054903">
                            <w:r w:rsidRPr="00495242">
                              <w:rPr>
                                <w:rFonts w:cs="Times New Roman"/>
                                <w:color w:val="FFFFFF" w:themeColor="background1"/>
                                <w:szCs w:val="24"/>
                              </w:rPr>
                              <w:t>L’École nationale de la Statistique et de l’Analyse économique Pierre NDIAYE (ENSAE) et l’Agence nationale de la Statistique et de la Démographie (ANSD) déclinent toute responsabilité quant aux opinions exprimées dans ce rapport. Ces idées reflètent uniquement celles de l’auteur et doivent être considérées comme telles.</w:t>
                            </w:r>
                          </w:p>
                          <w:p w14:paraId="16B1C940" w14:textId="0B3B8035" w:rsidR="00054903" w:rsidRDefault="0005490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AB24A52" id="Forme automatique 2" o:spid="_x0000_s1038" style="position:absolute;left:0;text-align:left;margin-left:186.45pt;margin-top:-94.1pt;width:94.8pt;height:488.15pt;rotation:90;z-index:25188915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" o:allowincell="f" fillcolor="#4f81bd [3204]" stroked="f">
                <v:textbox>
                  <w:txbxContent>
                    <w:p w14:paraId="4E0386C9" w14:textId="08EC54BD" w:rsidR="00054903" w:rsidRDefault="00495242" w:rsidP="00054903">
                      <w:r w:rsidRPr="00495242">
                        <w:rPr>
                          <w:rFonts w:cs="Times New Roman"/>
                          <w:color w:val="FFFFFF" w:themeColor="background1"/>
                          <w:szCs w:val="24"/>
                        </w:rPr>
                        <w:t>L’École nationale de la Statistique et de l’Analyse économique Pierre NDIAYE (ENSAE) et l’Agence nationale de la Statistique et de la Démographie (ANSD) déclinent toute responsabilité quant aux opinions exprimées dans ce rapport. Ces idées reflètent uniquement celles de l’auteur et doivent être considérées comme telles.</w:t>
                      </w:r>
                    </w:p>
                    <w:p w14:paraId="16B1C940" w14:textId="0B3B8035" w:rsidR="00054903" w:rsidRDefault="0005490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2F5EFB08" w14:textId="22C9F43F" w:rsidR="0091228F" w:rsidRPr="001917B2" w:rsidRDefault="0091228F" w:rsidP="0019380B">
      <w:pPr>
        <w:pStyle w:val="Titre1"/>
      </w:pPr>
      <w:bookmarkStart w:id="6" w:name="_Toc152530386"/>
      <w:bookmarkStart w:id="7" w:name="_Toc153059943"/>
      <w:bookmarkStart w:id="8" w:name="_Toc182735144"/>
      <w:bookmarkStart w:id="9" w:name="_Toc182822548"/>
      <w:r>
        <w:t>Décharge</w:t>
      </w:r>
      <w:bookmarkEnd w:id="6"/>
      <w:bookmarkEnd w:id="7"/>
      <w:bookmarkEnd w:id="8"/>
      <w:bookmarkEnd w:id="9"/>
      <w:r>
        <w:t xml:space="preserve"> </w:t>
      </w:r>
    </w:p>
    <w:p w14:paraId="69D1372D" w14:textId="29763D73" w:rsidR="0091228F" w:rsidRDefault="0091228F" w:rsidP="0091228F">
      <w:pPr>
        <w:rPr>
          <w:rFonts w:cs="Times New Roman"/>
          <w:szCs w:val="24"/>
        </w:rPr>
      </w:pPr>
    </w:p>
    <w:p w14:paraId="1A3E9656" w14:textId="20B8B1E6" w:rsidR="0091228F" w:rsidRPr="001917B2" w:rsidRDefault="0091228F" w:rsidP="0091228F">
      <w:pPr>
        <w:rPr>
          <w:rFonts w:cs="Times New Roman"/>
          <w:szCs w:val="24"/>
        </w:rPr>
      </w:pPr>
    </w:p>
    <w:p w14:paraId="6E1A24AD" w14:textId="08F63CFA" w:rsidR="0091228F" w:rsidRPr="001917B2" w:rsidRDefault="0091228F" w:rsidP="0091228F">
      <w:pPr>
        <w:rPr>
          <w:rFonts w:cs="Times New Roman"/>
          <w:szCs w:val="24"/>
        </w:rPr>
      </w:pPr>
    </w:p>
    <w:p w14:paraId="7BFDECF7" w14:textId="37DFF1E0" w:rsidR="0091228F" w:rsidRPr="001917B2" w:rsidRDefault="0091228F" w:rsidP="0091228F">
      <w:pPr>
        <w:rPr>
          <w:rFonts w:cs="Times New Roman"/>
          <w:szCs w:val="24"/>
        </w:rPr>
      </w:pPr>
    </w:p>
    <w:p w14:paraId="5778C421" w14:textId="77777777" w:rsidR="0091228F" w:rsidRPr="001917B2" w:rsidRDefault="0091228F" w:rsidP="0091228F">
      <w:pPr>
        <w:rPr>
          <w:rFonts w:cs="Times New Roman"/>
          <w:szCs w:val="24"/>
        </w:rPr>
      </w:pPr>
    </w:p>
    <w:p w14:paraId="4F08FE54" w14:textId="77777777" w:rsidR="0091228F" w:rsidRPr="001917B2" w:rsidRDefault="0091228F" w:rsidP="0091228F">
      <w:pPr>
        <w:rPr>
          <w:rFonts w:cs="Times New Roman"/>
          <w:szCs w:val="24"/>
        </w:rPr>
      </w:pPr>
    </w:p>
    <w:p w14:paraId="2711BC47" w14:textId="77777777" w:rsidR="0091228F" w:rsidRPr="001917B2" w:rsidRDefault="0091228F" w:rsidP="0091228F">
      <w:pPr>
        <w:rPr>
          <w:rFonts w:cs="Times New Roman"/>
          <w:szCs w:val="24"/>
        </w:rPr>
      </w:pPr>
    </w:p>
    <w:p w14:paraId="6E70A883" w14:textId="77777777" w:rsidR="0091228F" w:rsidRPr="001917B2" w:rsidRDefault="0091228F" w:rsidP="0091228F">
      <w:pPr>
        <w:rPr>
          <w:rFonts w:cs="Times New Roman"/>
          <w:szCs w:val="24"/>
        </w:rPr>
      </w:pPr>
    </w:p>
    <w:p w14:paraId="72FD96AF" w14:textId="77777777" w:rsidR="0091228F" w:rsidRPr="001917B2" w:rsidRDefault="0091228F" w:rsidP="0091228F">
      <w:pPr>
        <w:rPr>
          <w:rFonts w:cs="Times New Roman"/>
          <w:szCs w:val="24"/>
        </w:rPr>
      </w:pPr>
    </w:p>
    <w:p w14:paraId="058AA366" w14:textId="77777777" w:rsidR="0091228F" w:rsidRPr="001917B2" w:rsidRDefault="0091228F" w:rsidP="0091228F">
      <w:pPr>
        <w:rPr>
          <w:rFonts w:cs="Times New Roman"/>
          <w:szCs w:val="24"/>
        </w:rPr>
      </w:pPr>
    </w:p>
    <w:p w14:paraId="168067D8" w14:textId="0D5FA87E" w:rsidR="0091228F" w:rsidRDefault="0091228F">
      <w:r>
        <w:br w:type="page"/>
      </w:r>
    </w:p>
    <w:p w14:paraId="58BE1A32" w14:textId="77777777" w:rsidR="0019380B" w:rsidRPr="00375F9D" w:rsidRDefault="0019380B" w:rsidP="0019380B">
      <w:pPr>
        <w:pStyle w:val="Titre1"/>
      </w:pPr>
      <w:bookmarkStart w:id="10" w:name="_Toc152530387"/>
      <w:bookmarkStart w:id="11" w:name="_Toc153059944"/>
      <w:bookmarkStart w:id="12" w:name="_Toc182735145"/>
      <w:bookmarkStart w:id="13" w:name="_Toc182822549"/>
      <w:r w:rsidRPr="00375F9D">
        <w:t>Remerciement</w:t>
      </w:r>
      <w:bookmarkEnd w:id="10"/>
      <w:bookmarkEnd w:id="11"/>
      <w:bookmarkEnd w:id="12"/>
      <w:bookmarkEnd w:id="13"/>
    </w:p>
    <w:p w14:paraId="0FFFDC24" w14:textId="77777777" w:rsidR="0019380B" w:rsidRDefault="0019380B" w:rsidP="0019380B">
      <w:pPr>
        <w:rPr>
          <w:rFonts w:cs="Times New Roman"/>
          <w:szCs w:val="24"/>
        </w:rPr>
      </w:pPr>
      <w:r>
        <w:rPr>
          <w:rFonts w:cs="Times New Roman"/>
          <w:szCs w:val="24"/>
        </w:rPr>
        <w:t xml:space="preserve"> </w:t>
      </w:r>
    </w:p>
    <w:p w14:paraId="71A10FE3" w14:textId="57960BE1" w:rsidR="00404D27" w:rsidRPr="00404D27" w:rsidRDefault="00404D27" w:rsidP="00404D27">
      <w:pPr>
        <w:rPr>
          <w:lang w:val="fr-SN"/>
        </w:rPr>
      </w:pPr>
      <w:r w:rsidRPr="00404D27">
        <w:rPr>
          <w:lang w:val="fr-SN"/>
        </w:rPr>
        <w:t>Nous exprimons notre profonde gratitude à l’ensemble du personnel de l’Agence nationale de la Statistique et de la Démographie (ANSD). Nos remerciements vont particulièrement à</w:t>
      </w:r>
      <w:r w:rsidR="006B1C15">
        <w:rPr>
          <w:lang w:val="fr-SN"/>
        </w:rPr>
        <w:t xml:space="preserve"> l’endroit de</w:t>
      </w:r>
      <w:r w:rsidRPr="00404D27">
        <w:rPr>
          <w:lang w:val="fr-SN"/>
        </w:rPr>
        <w:t xml:space="preserve"> </w:t>
      </w:r>
      <w:r w:rsidR="005558FD">
        <w:rPr>
          <w:lang w:val="fr-SN"/>
        </w:rPr>
        <w:t>Dr</w:t>
      </w:r>
      <w:r w:rsidRPr="00404D27">
        <w:rPr>
          <w:lang w:val="fr-SN"/>
        </w:rPr>
        <w:t xml:space="preserve">. </w:t>
      </w:r>
      <w:r w:rsidR="00A36687">
        <w:rPr>
          <w:lang w:val="fr-SN"/>
        </w:rPr>
        <w:t>Abdou DIOUF</w:t>
      </w:r>
      <w:r w:rsidRPr="00404D27">
        <w:rPr>
          <w:lang w:val="fr-SN"/>
        </w:rPr>
        <w:t xml:space="preserve">, Directeur général de l’ANSD, pour l’opportunité de mener ce stage au sein de cette institution, ainsi qu’à </w:t>
      </w:r>
      <w:r w:rsidR="005558FD">
        <w:rPr>
          <w:lang w:val="fr-SN"/>
        </w:rPr>
        <w:t>Dr</w:t>
      </w:r>
      <w:r w:rsidRPr="00404D27">
        <w:rPr>
          <w:lang w:val="fr-SN"/>
        </w:rPr>
        <w:t xml:space="preserve">. Amath DIAGO, Chef de la Division des statistiques conjoncturelles, pour son appui. Nous adressons une reconnaissance spéciale à M. El Hadji Malick CISSE, Chef du bureau des prix, pour son accompagnement, sa disponibilité et son soutien constant tout au long du stage. Nous remercions également M. </w:t>
      </w:r>
      <w:proofErr w:type="spellStart"/>
      <w:r w:rsidRPr="00404D27">
        <w:rPr>
          <w:lang w:val="fr-SN"/>
        </w:rPr>
        <w:t>Modou</w:t>
      </w:r>
      <w:proofErr w:type="spellEnd"/>
      <w:r w:rsidRPr="00404D27">
        <w:rPr>
          <w:lang w:val="fr-SN"/>
        </w:rPr>
        <w:t xml:space="preserve"> </w:t>
      </w:r>
      <w:proofErr w:type="spellStart"/>
      <w:r w:rsidRPr="00404D27">
        <w:rPr>
          <w:lang w:val="fr-SN"/>
        </w:rPr>
        <w:t>Ndoumbé</w:t>
      </w:r>
      <w:proofErr w:type="spellEnd"/>
      <w:r w:rsidRPr="00404D27">
        <w:rPr>
          <w:lang w:val="fr-SN"/>
        </w:rPr>
        <w:t xml:space="preserve"> Dame DIOP, Mme Ndeye </w:t>
      </w:r>
      <w:proofErr w:type="spellStart"/>
      <w:r w:rsidRPr="00404D27">
        <w:rPr>
          <w:lang w:val="fr-SN"/>
        </w:rPr>
        <w:t>Mareme</w:t>
      </w:r>
      <w:proofErr w:type="spellEnd"/>
      <w:r w:rsidRPr="00404D27">
        <w:rPr>
          <w:lang w:val="fr-SN"/>
        </w:rPr>
        <w:t xml:space="preserve"> DIOP, M. Abdou Salam NIANG et tout le personnel du Bureau des Prix pour leur accueil chaleureux.</w:t>
      </w:r>
    </w:p>
    <w:p w14:paraId="4AEB6622" w14:textId="34EA2434" w:rsidR="00404D27" w:rsidRPr="00404D27" w:rsidRDefault="00404D27" w:rsidP="00404D27">
      <w:pPr>
        <w:rPr>
          <w:lang w:val="fr-SN"/>
        </w:rPr>
      </w:pPr>
      <w:r w:rsidRPr="00404D27">
        <w:rPr>
          <w:lang w:val="fr-SN"/>
        </w:rPr>
        <w:t>Nos remerciements s’étendent également à tout le corps administratif et professoral de l’ENSAE pour la qualité de l’enseignement dispensé</w:t>
      </w:r>
      <w:r>
        <w:rPr>
          <w:lang w:val="fr-SN"/>
        </w:rPr>
        <w:t>.</w:t>
      </w:r>
    </w:p>
    <w:p w14:paraId="1BAD8E8B" w14:textId="650D9D0A" w:rsidR="0019380B" w:rsidRDefault="0019380B">
      <w:pPr>
        <w:spacing w:after="200" w:line="276" w:lineRule="auto"/>
      </w:pPr>
      <w:r>
        <w:br w:type="page"/>
      </w:r>
    </w:p>
    <w:p w14:paraId="356CEDDA" w14:textId="77777777" w:rsidR="0019380B" w:rsidRDefault="0019380B" w:rsidP="0019380B">
      <w:pPr>
        <w:pStyle w:val="Titre1"/>
      </w:pPr>
      <w:bookmarkStart w:id="14" w:name="_Toc152530388"/>
      <w:bookmarkStart w:id="15" w:name="_Toc153059945"/>
      <w:bookmarkStart w:id="16" w:name="_Toc182735146"/>
      <w:bookmarkStart w:id="17" w:name="_Toc182822550"/>
      <w:r>
        <w:t>Avant-propos</w:t>
      </w:r>
      <w:bookmarkEnd w:id="14"/>
      <w:bookmarkEnd w:id="15"/>
      <w:bookmarkEnd w:id="16"/>
      <w:bookmarkEnd w:id="17"/>
    </w:p>
    <w:p w14:paraId="32B23F39" w14:textId="77777777" w:rsidR="004908F7" w:rsidRDefault="004908F7" w:rsidP="004908F7">
      <w:r w:rsidRPr="004908F7">
        <w:t>Dans un monde en évolution constante, les données statistiques jouent un rôle crucial pour guider les politiques publiques et soutenir le développement économique. Elles aident à comprendre les changements sociaux, économiques et démographiques, offrant aux décideurs des outils pour mieux planifier l’avenir. C’est dans cette optique que l’École nationale de la Statistique et de l’Analyse Économique Pierre Ndiaye (ENSAE) du Sénégal forme des statisticiens qualifiés pour relever les défis du développement en Afrique.</w:t>
      </w:r>
    </w:p>
    <w:p w14:paraId="5E640B1F" w14:textId="435C7308" w:rsidR="004908F7" w:rsidRPr="004908F7" w:rsidRDefault="004908F7" w:rsidP="004908F7">
      <w:r w:rsidRPr="004908F7">
        <w:t xml:space="preserve">L’ENSAE, membre du Réseau des Écoles Africaines de la Statistique, œuvre aux côtés d’institutions partenaires </w:t>
      </w:r>
      <w:r>
        <w:t>à savoir</w:t>
      </w:r>
      <w:r w:rsidRPr="004908F7">
        <w:t xml:space="preserve"> l’ENSEA d’Abidjan, l’ISSEA de Yaoundé et l’ENEAM de Cotonou, pour former des cadres </w:t>
      </w:r>
      <w:r>
        <w:t>statisticiens</w:t>
      </w:r>
      <w:r w:rsidRPr="004908F7">
        <w:t xml:space="preserve"> au service des pays francophones d’Afrique. Son offre de formation couvre plusieurs filières :</w:t>
      </w:r>
    </w:p>
    <w:p w14:paraId="3F0B9A33" w14:textId="77777777" w:rsidR="004908F7" w:rsidRPr="004908F7" w:rsidRDefault="004908F7">
      <w:pPr>
        <w:pStyle w:val="Paragraphedeliste"/>
        <w:numPr>
          <w:ilvl w:val="0"/>
          <w:numId w:val="30"/>
        </w:numPr>
      </w:pPr>
      <w:r w:rsidRPr="004908F7">
        <w:t>Les Analystes Statisticiens (AS), avec une formation de 3 ans ;</w:t>
      </w:r>
    </w:p>
    <w:p w14:paraId="3B276C9F" w14:textId="77777777" w:rsidR="004908F7" w:rsidRPr="004908F7" w:rsidRDefault="004908F7">
      <w:pPr>
        <w:pStyle w:val="Paragraphedeliste"/>
        <w:numPr>
          <w:ilvl w:val="0"/>
          <w:numId w:val="30"/>
        </w:numPr>
      </w:pPr>
      <w:r w:rsidRPr="004908F7">
        <w:t>Les Ingénieurs Statisticiens Économistes (ISE) cycle court, d’une durée de 3 ans ;</w:t>
      </w:r>
    </w:p>
    <w:p w14:paraId="727EDE49" w14:textId="77777777" w:rsidR="004908F7" w:rsidRPr="004908F7" w:rsidRDefault="004908F7">
      <w:pPr>
        <w:pStyle w:val="Paragraphedeliste"/>
        <w:numPr>
          <w:ilvl w:val="0"/>
          <w:numId w:val="30"/>
        </w:numPr>
      </w:pPr>
      <w:r w:rsidRPr="004908F7">
        <w:t>Les Ingénieurs Statisticiens Économistes (ISE) cycle long, avec un cursus de 5 ans ;</w:t>
      </w:r>
    </w:p>
    <w:p w14:paraId="08227E26" w14:textId="4932C543" w:rsidR="004908F7" w:rsidRPr="004908F7" w:rsidRDefault="004908F7" w:rsidP="004908F7">
      <w:r w:rsidRPr="004908F7">
        <w:t>Des masters spécialisés, tels que le Master Aide à la Décision et Évaluation de Politiques Publiques (ADEP</w:t>
      </w:r>
      <w:r w:rsidR="00C71FA3">
        <w:t>P</w:t>
      </w:r>
      <w:r w:rsidRPr="004908F7">
        <w:t>) et le Master en Statistiques Agricoles.</w:t>
      </w:r>
    </w:p>
    <w:p w14:paraId="0915ACDD" w14:textId="4CB5C43C" w:rsidR="004908F7" w:rsidRPr="004908F7" w:rsidRDefault="004908F7" w:rsidP="004908F7">
      <w:r w:rsidRPr="004908F7">
        <w:t>Afin de renforcer l’apprentissage par l’expérience, l’ENSAE intègre dans ses parcours un stage d’immersion en milieu professionnel, réalisé à la fin de la deuxième année pour les élèves ISE cycle long. Ce stage leur permet de découvrir les réalités du terrain, d’appliquer les notions acquises en cours et de développer des compétences pratiques. À l’issue de cette expérience, un rapport est rédigé et présenté devant un jury.</w:t>
      </w:r>
    </w:p>
    <w:p w14:paraId="71186883" w14:textId="23A6DD31" w:rsidR="004908F7" w:rsidRDefault="004908F7" w:rsidP="004908F7">
      <w:r w:rsidRPr="004908F7">
        <w:t>Le présent rapport, intitulé « Analyse de l’évolution des pondérations de l’Indice Harmonisé des Prix à la Consommation (IHPC) : 2014-</w:t>
      </w:r>
      <w:r w:rsidR="00023158">
        <w:t>2021</w:t>
      </w:r>
      <w:r w:rsidRPr="004908F7">
        <w:t xml:space="preserve"> », s’inscrit dans cette démarche. Ce document résulte d’un stage de deux mois</w:t>
      </w:r>
      <w:r>
        <w:t xml:space="preserve"> (a</w:t>
      </w:r>
      <w:r w:rsidRPr="004908F7">
        <w:t>out-</w:t>
      </w:r>
      <w:r>
        <w:t>s</w:t>
      </w:r>
      <w:r w:rsidRPr="004908F7">
        <w:t>eptembre 2024</w:t>
      </w:r>
      <w:r>
        <w:t>)</w:t>
      </w:r>
      <w:r w:rsidRPr="004908F7">
        <w:t xml:space="preserve"> effectué à l’Agence Nationale de la Statistique et de la Démographie (ANSD). </w:t>
      </w:r>
      <w:r>
        <w:br w:type="page"/>
      </w:r>
    </w:p>
    <w:p w14:paraId="600B9C8F" w14:textId="77777777" w:rsidR="00747953" w:rsidRDefault="00747953" w:rsidP="0019380B"/>
    <w:bookmarkStart w:id="18" w:name="_Toc182735147" w:displacedByCustomXml="next"/>
    <w:bookmarkStart w:id="19" w:name="_Toc182822551" w:displacedByCustomXml="next"/>
    <w:sdt>
      <w:sdtPr>
        <w:rPr>
          <w:rFonts w:ascii="Times New Roman" w:eastAsiaTheme="minorHAnsi" w:hAnsi="Times New Roman" w:cstheme="minorBidi"/>
          <w:b w:val="0"/>
          <w:color w:val="auto"/>
          <w:sz w:val="24"/>
          <w:szCs w:val="22"/>
          <w:lang w:val="fr-CA"/>
        </w:rPr>
        <w:id w:val="-1777168127"/>
        <w:docPartObj>
          <w:docPartGallery w:val="Table of Contents"/>
          <w:docPartUnique/>
        </w:docPartObj>
      </w:sdtPr>
      <w:sdtEndPr>
        <w:rPr>
          <w:bCs/>
        </w:rPr>
      </w:sdtEndPr>
      <w:sdtContent>
        <w:p w14:paraId="2953A348" w14:textId="6F3799C9" w:rsidR="00DC62CD" w:rsidRPr="00DC62CD" w:rsidRDefault="00DC62CD" w:rsidP="00DC62CD">
          <w:pPr>
            <w:pStyle w:val="Titre1"/>
          </w:pPr>
          <w:r w:rsidRPr="00DC62CD">
            <w:t>Sommaire</w:t>
          </w:r>
          <w:bookmarkEnd w:id="19"/>
          <w:bookmarkEnd w:id="18"/>
        </w:p>
        <w:p w14:paraId="12D0C15F" w14:textId="3D747846" w:rsidR="00DC62CD" w:rsidRDefault="00DC62CD">
          <w:pPr>
            <w:pStyle w:val="TM1"/>
            <w:tabs>
              <w:tab w:val="right" w:leader="dot" w:pos="9350"/>
            </w:tabs>
            <w:rPr>
              <w:rFonts w:eastAsiaTheme="minorEastAsia" w:cstheme="minorBidi"/>
              <w:b w:val="0"/>
              <w:bCs w:val="0"/>
              <w:i w:val="0"/>
              <w:iCs w:val="0"/>
              <w:noProof/>
              <w:lang w:val="fr-SN" w:eastAsia="fr-SN"/>
            </w:rPr>
          </w:pPr>
          <w:r>
            <w:fldChar w:fldCharType="begin"/>
          </w:r>
          <w:r>
            <w:instrText xml:space="preserve"> TOC \o "1-3" \h \z \u </w:instrText>
          </w:r>
          <w:r>
            <w:fldChar w:fldCharType="separate"/>
          </w:r>
          <w:hyperlink w:anchor="_Toc182735144" w:history="1">
            <w:r w:rsidRPr="008E5B1A">
              <w:rPr>
                <w:rStyle w:val="Hyperlien"/>
                <w:noProof/>
              </w:rPr>
              <w:t>Décharge</w:t>
            </w:r>
            <w:r>
              <w:rPr>
                <w:noProof/>
                <w:webHidden/>
              </w:rPr>
              <w:tab/>
            </w:r>
            <w:r>
              <w:rPr>
                <w:noProof/>
                <w:webHidden/>
              </w:rPr>
              <w:fldChar w:fldCharType="begin"/>
            </w:r>
            <w:r>
              <w:rPr>
                <w:noProof/>
                <w:webHidden/>
              </w:rPr>
              <w:instrText xml:space="preserve"> PAGEREF _Toc182735144 \h </w:instrText>
            </w:r>
            <w:r>
              <w:rPr>
                <w:noProof/>
                <w:webHidden/>
              </w:rPr>
            </w:r>
            <w:r>
              <w:rPr>
                <w:noProof/>
                <w:webHidden/>
              </w:rPr>
              <w:fldChar w:fldCharType="separate"/>
            </w:r>
            <w:r w:rsidR="00427D57">
              <w:rPr>
                <w:noProof/>
                <w:webHidden/>
              </w:rPr>
              <w:t>i</w:t>
            </w:r>
            <w:r>
              <w:rPr>
                <w:noProof/>
                <w:webHidden/>
              </w:rPr>
              <w:fldChar w:fldCharType="end"/>
            </w:r>
          </w:hyperlink>
        </w:p>
        <w:p w14:paraId="6D9702A5" w14:textId="1FA0CE3D"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45" w:history="1">
            <w:r w:rsidR="00DC62CD" w:rsidRPr="008E5B1A">
              <w:rPr>
                <w:rStyle w:val="Hyperlien"/>
                <w:noProof/>
              </w:rPr>
              <w:t>Remerciement</w:t>
            </w:r>
            <w:r w:rsidR="00DC62CD">
              <w:rPr>
                <w:noProof/>
                <w:webHidden/>
              </w:rPr>
              <w:tab/>
            </w:r>
            <w:r w:rsidR="00DC62CD">
              <w:rPr>
                <w:noProof/>
                <w:webHidden/>
              </w:rPr>
              <w:fldChar w:fldCharType="begin"/>
            </w:r>
            <w:r w:rsidR="00DC62CD">
              <w:rPr>
                <w:noProof/>
                <w:webHidden/>
              </w:rPr>
              <w:instrText xml:space="preserve"> PAGEREF _Toc182735145 \h </w:instrText>
            </w:r>
            <w:r w:rsidR="00DC62CD">
              <w:rPr>
                <w:noProof/>
                <w:webHidden/>
              </w:rPr>
            </w:r>
            <w:r w:rsidR="00DC62CD">
              <w:rPr>
                <w:noProof/>
                <w:webHidden/>
              </w:rPr>
              <w:fldChar w:fldCharType="separate"/>
            </w:r>
            <w:r w:rsidR="00427D57">
              <w:rPr>
                <w:noProof/>
                <w:webHidden/>
              </w:rPr>
              <w:t>ii</w:t>
            </w:r>
            <w:r w:rsidR="00DC62CD">
              <w:rPr>
                <w:noProof/>
                <w:webHidden/>
              </w:rPr>
              <w:fldChar w:fldCharType="end"/>
            </w:r>
          </w:hyperlink>
        </w:p>
        <w:p w14:paraId="554D696E" w14:textId="7394A700"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46" w:history="1">
            <w:r w:rsidR="00DC62CD" w:rsidRPr="008E5B1A">
              <w:rPr>
                <w:rStyle w:val="Hyperlien"/>
                <w:noProof/>
              </w:rPr>
              <w:t>Avant-propos</w:t>
            </w:r>
            <w:r w:rsidR="00DC62CD">
              <w:rPr>
                <w:noProof/>
                <w:webHidden/>
              </w:rPr>
              <w:tab/>
            </w:r>
            <w:r w:rsidR="00DC62CD">
              <w:rPr>
                <w:noProof/>
                <w:webHidden/>
              </w:rPr>
              <w:fldChar w:fldCharType="begin"/>
            </w:r>
            <w:r w:rsidR="00DC62CD">
              <w:rPr>
                <w:noProof/>
                <w:webHidden/>
              </w:rPr>
              <w:instrText xml:space="preserve"> PAGEREF _Toc182735146 \h </w:instrText>
            </w:r>
            <w:r w:rsidR="00DC62CD">
              <w:rPr>
                <w:noProof/>
                <w:webHidden/>
              </w:rPr>
            </w:r>
            <w:r w:rsidR="00DC62CD">
              <w:rPr>
                <w:noProof/>
                <w:webHidden/>
              </w:rPr>
              <w:fldChar w:fldCharType="separate"/>
            </w:r>
            <w:r w:rsidR="00427D57">
              <w:rPr>
                <w:noProof/>
                <w:webHidden/>
              </w:rPr>
              <w:t>iii</w:t>
            </w:r>
            <w:r w:rsidR="00DC62CD">
              <w:rPr>
                <w:noProof/>
                <w:webHidden/>
              </w:rPr>
              <w:fldChar w:fldCharType="end"/>
            </w:r>
          </w:hyperlink>
        </w:p>
        <w:p w14:paraId="15D2739C" w14:textId="71436480"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47" w:history="1">
            <w:r w:rsidR="00DC62CD" w:rsidRPr="008E5B1A">
              <w:rPr>
                <w:rStyle w:val="Hyperlien"/>
                <w:noProof/>
              </w:rPr>
              <w:t>Sommaire</w:t>
            </w:r>
            <w:r w:rsidR="00DC62CD">
              <w:rPr>
                <w:noProof/>
                <w:webHidden/>
              </w:rPr>
              <w:tab/>
            </w:r>
            <w:r w:rsidR="00DC62CD">
              <w:rPr>
                <w:noProof/>
                <w:webHidden/>
              </w:rPr>
              <w:fldChar w:fldCharType="begin"/>
            </w:r>
            <w:r w:rsidR="00DC62CD">
              <w:rPr>
                <w:noProof/>
                <w:webHidden/>
              </w:rPr>
              <w:instrText xml:space="preserve"> PAGEREF _Toc182735147 \h </w:instrText>
            </w:r>
            <w:r w:rsidR="00DC62CD">
              <w:rPr>
                <w:noProof/>
                <w:webHidden/>
              </w:rPr>
            </w:r>
            <w:r w:rsidR="00DC62CD">
              <w:rPr>
                <w:noProof/>
                <w:webHidden/>
              </w:rPr>
              <w:fldChar w:fldCharType="separate"/>
            </w:r>
            <w:r w:rsidR="00427D57">
              <w:rPr>
                <w:noProof/>
                <w:webHidden/>
              </w:rPr>
              <w:t>iv</w:t>
            </w:r>
            <w:r w:rsidR="00DC62CD">
              <w:rPr>
                <w:noProof/>
                <w:webHidden/>
              </w:rPr>
              <w:fldChar w:fldCharType="end"/>
            </w:r>
          </w:hyperlink>
        </w:p>
        <w:p w14:paraId="45A9E88F" w14:textId="08139D96"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48" w:history="1">
            <w:r w:rsidR="00DC62CD" w:rsidRPr="008E5B1A">
              <w:rPr>
                <w:rStyle w:val="Hyperlien"/>
                <w:noProof/>
              </w:rPr>
              <w:t>Sigles et abréviations</w:t>
            </w:r>
            <w:r w:rsidR="00DC62CD">
              <w:rPr>
                <w:noProof/>
                <w:webHidden/>
              </w:rPr>
              <w:tab/>
            </w:r>
            <w:r w:rsidR="00DC62CD">
              <w:rPr>
                <w:noProof/>
                <w:webHidden/>
              </w:rPr>
              <w:fldChar w:fldCharType="begin"/>
            </w:r>
            <w:r w:rsidR="00DC62CD">
              <w:rPr>
                <w:noProof/>
                <w:webHidden/>
              </w:rPr>
              <w:instrText xml:space="preserve"> PAGEREF _Toc182735148 \h </w:instrText>
            </w:r>
            <w:r w:rsidR="00DC62CD">
              <w:rPr>
                <w:noProof/>
                <w:webHidden/>
              </w:rPr>
            </w:r>
            <w:r w:rsidR="00DC62CD">
              <w:rPr>
                <w:noProof/>
                <w:webHidden/>
              </w:rPr>
              <w:fldChar w:fldCharType="separate"/>
            </w:r>
            <w:r w:rsidR="00427D57">
              <w:rPr>
                <w:noProof/>
                <w:webHidden/>
              </w:rPr>
              <w:t>v</w:t>
            </w:r>
            <w:r w:rsidR="00DC62CD">
              <w:rPr>
                <w:noProof/>
                <w:webHidden/>
              </w:rPr>
              <w:fldChar w:fldCharType="end"/>
            </w:r>
          </w:hyperlink>
        </w:p>
        <w:p w14:paraId="224B9B54" w14:textId="250AB8DD"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49" w:history="1">
            <w:r w:rsidR="00DC62CD" w:rsidRPr="008E5B1A">
              <w:rPr>
                <w:rStyle w:val="Hyperlien"/>
                <w:noProof/>
              </w:rPr>
              <w:t>Liste des tableaux</w:t>
            </w:r>
            <w:r w:rsidR="00DC62CD">
              <w:rPr>
                <w:noProof/>
                <w:webHidden/>
              </w:rPr>
              <w:tab/>
            </w:r>
            <w:r w:rsidR="00DC62CD">
              <w:rPr>
                <w:noProof/>
                <w:webHidden/>
              </w:rPr>
              <w:fldChar w:fldCharType="begin"/>
            </w:r>
            <w:r w:rsidR="00DC62CD">
              <w:rPr>
                <w:noProof/>
                <w:webHidden/>
              </w:rPr>
              <w:instrText xml:space="preserve"> PAGEREF _Toc182735149 \h </w:instrText>
            </w:r>
            <w:r w:rsidR="00DC62CD">
              <w:rPr>
                <w:noProof/>
                <w:webHidden/>
              </w:rPr>
            </w:r>
            <w:r w:rsidR="00DC62CD">
              <w:rPr>
                <w:noProof/>
                <w:webHidden/>
              </w:rPr>
              <w:fldChar w:fldCharType="separate"/>
            </w:r>
            <w:r w:rsidR="00427D57">
              <w:rPr>
                <w:noProof/>
                <w:webHidden/>
              </w:rPr>
              <w:t>vi</w:t>
            </w:r>
            <w:r w:rsidR="00DC62CD">
              <w:rPr>
                <w:noProof/>
                <w:webHidden/>
              </w:rPr>
              <w:fldChar w:fldCharType="end"/>
            </w:r>
          </w:hyperlink>
        </w:p>
        <w:p w14:paraId="4992B623" w14:textId="10761FBD"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50" w:history="1">
            <w:r w:rsidR="00DC62CD" w:rsidRPr="008E5B1A">
              <w:rPr>
                <w:rStyle w:val="Hyperlien"/>
                <w:noProof/>
              </w:rPr>
              <w:t>Liste des Graphiques</w:t>
            </w:r>
            <w:r w:rsidR="00DC62CD">
              <w:rPr>
                <w:noProof/>
                <w:webHidden/>
              </w:rPr>
              <w:tab/>
            </w:r>
            <w:r w:rsidR="00DC62CD">
              <w:rPr>
                <w:noProof/>
                <w:webHidden/>
              </w:rPr>
              <w:fldChar w:fldCharType="begin"/>
            </w:r>
            <w:r w:rsidR="00DC62CD">
              <w:rPr>
                <w:noProof/>
                <w:webHidden/>
              </w:rPr>
              <w:instrText xml:space="preserve"> PAGEREF _Toc182735150 \h </w:instrText>
            </w:r>
            <w:r w:rsidR="00DC62CD">
              <w:rPr>
                <w:noProof/>
                <w:webHidden/>
              </w:rPr>
            </w:r>
            <w:r w:rsidR="00DC62CD">
              <w:rPr>
                <w:noProof/>
                <w:webHidden/>
              </w:rPr>
              <w:fldChar w:fldCharType="separate"/>
            </w:r>
            <w:r w:rsidR="00427D57">
              <w:rPr>
                <w:noProof/>
                <w:webHidden/>
              </w:rPr>
              <w:t>vii</w:t>
            </w:r>
            <w:r w:rsidR="00DC62CD">
              <w:rPr>
                <w:noProof/>
                <w:webHidden/>
              </w:rPr>
              <w:fldChar w:fldCharType="end"/>
            </w:r>
          </w:hyperlink>
        </w:p>
        <w:p w14:paraId="1C6247A4" w14:textId="51D21D25"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51" w:history="1">
            <w:r w:rsidR="00DC62CD" w:rsidRPr="008E5B1A">
              <w:rPr>
                <w:rStyle w:val="Hyperlien"/>
                <w:noProof/>
              </w:rPr>
              <w:t>Résumé</w:t>
            </w:r>
            <w:r w:rsidR="00DC62CD">
              <w:rPr>
                <w:noProof/>
                <w:webHidden/>
              </w:rPr>
              <w:tab/>
            </w:r>
            <w:r w:rsidR="00DC62CD">
              <w:rPr>
                <w:noProof/>
                <w:webHidden/>
              </w:rPr>
              <w:fldChar w:fldCharType="begin"/>
            </w:r>
            <w:r w:rsidR="00DC62CD">
              <w:rPr>
                <w:noProof/>
                <w:webHidden/>
              </w:rPr>
              <w:instrText xml:space="preserve"> PAGEREF _Toc182735151 \h </w:instrText>
            </w:r>
            <w:r w:rsidR="00DC62CD">
              <w:rPr>
                <w:noProof/>
                <w:webHidden/>
              </w:rPr>
            </w:r>
            <w:r w:rsidR="00DC62CD">
              <w:rPr>
                <w:noProof/>
                <w:webHidden/>
              </w:rPr>
              <w:fldChar w:fldCharType="separate"/>
            </w:r>
            <w:r w:rsidR="00427D57">
              <w:rPr>
                <w:noProof/>
                <w:webHidden/>
              </w:rPr>
              <w:t>viii</w:t>
            </w:r>
            <w:r w:rsidR="00DC62CD">
              <w:rPr>
                <w:noProof/>
                <w:webHidden/>
              </w:rPr>
              <w:fldChar w:fldCharType="end"/>
            </w:r>
          </w:hyperlink>
        </w:p>
        <w:p w14:paraId="016319C7" w14:textId="2EA4351E"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52" w:history="1">
            <w:r w:rsidR="00DC62CD" w:rsidRPr="008E5B1A">
              <w:rPr>
                <w:rStyle w:val="Hyperlien"/>
                <w:noProof/>
              </w:rPr>
              <w:t>Introduction</w:t>
            </w:r>
            <w:r w:rsidR="00DC62CD">
              <w:rPr>
                <w:noProof/>
                <w:webHidden/>
              </w:rPr>
              <w:tab/>
            </w:r>
            <w:r w:rsidR="00DC62CD">
              <w:rPr>
                <w:noProof/>
                <w:webHidden/>
              </w:rPr>
              <w:fldChar w:fldCharType="begin"/>
            </w:r>
            <w:r w:rsidR="00DC62CD">
              <w:rPr>
                <w:noProof/>
                <w:webHidden/>
              </w:rPr>
              <w:instrText xml:space="preserve"> PAGEREF _Toc182735152 \h </w:instrText>
            </w:r>
            <w:r w:rsidR="00DC62CD">
              <w:rPr>
                <w:noProof/>
                <w:webHidden/>
              </w:rPr>
            </w:r>
            <w:r w:rsidR="00DC62CD">
              <w:rPr>
                <w:noProof/>
                <w:webHidden/>
              </w:rPr>
              <w:fldChar w:fldCharType="separate"/>
            </w:r>
            <w:r w:rsidR="00427D57">
              <w:rPr>
                <w:noProof/>
                <w:webHidden/>
              </w:rPr>
              <w:t>1</w:t>
            </w:r>
            <w:r w:rsidR="00DC62CD">
              <w:rPr>
                <w:noProof/>
                <w:webHidden/>
              </w:rPr>
              <w:fldChar w:fldCharType="end"/>
            </w:r>
          </w:hyperlink>
        </w:p>
        <w:p w14:paraId="51E08770" w14:textId="6963B005"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53" w:history="1">
            <w:r w:rsidR="00DC62CD" w:rsidRPr="008E5B1A">
              <w:rPr>
                <w:rStyle w:val="Hyperlien"/>
                <w:noProof/>
              </w:rPr>
              <w:t>Chapitre 1 : Présentation de la structure d’accueil</w:t>
            </w:r>
            <w:r w:rsidR="00DC62CD">
              <w:rPr>
                <w:noProof/>
                <w:webHidden/>
              </w:rPr>
              <w:tab/>
            </w:r>
            <w:r w:rsidR="00DC62CD">
              <w:rPr>
                <w:noProof/>
                <w:webHidden/>
              </w:rPr>
              <w:fldChar w:fldCharType="begin"/>
            </w:r>
            <w:r w:rsidR="00DC62CD">
              <w:rPr>
                <w:noProof/>
                <w:webHidden/>
              </w:rPr>
              <w:instrText xml:space="preserve"> PAGEREF _Toc182735153 \h </w:instrText>
            </w:r>
            <w:r w:rsidR="00DC62CD">
              <w:rPr>
                <w:noProof/>
                <w:webHidden/>
              </w:rPr>
            </w:r>
            <w:r w:rsidR="00DC62CD">
              <w:rPr>
                <w:noProof/>
                <w:webHidden/>
              </w:rPr>
              <w:fldChar w:fldCharType="separate"/>
            </w:r>
            <w:r w:rsidR="00427D57">
              <w:rPr>
                <w:noProof/>
                <w:webHidden/>
              </w:rPr>
              <w:t>3</w:t>
            </w:r>
            <w:r w:rsidR="00DC62CD">
              <w:rPr>
                <w:noProof/>
                <w:webHidden/>
              </w:rPr>
              <w:fldChar w:fldCharType="end"/>
            </w:r>
          </w:hyperlink>
        </w:p>
        <w:p w14:paraId="2DB8AA9B" w14:textId="1D7D32A2"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54" w:history="1">
            <w:r w:rsidR="00DC62CD" w:rsidRPr="008E5B1A">
              <w:rPr>
                <w:rStyle w:val="Hyperlien"/>
                <w:noProof/>
              </w:rPr>
              <w:t>Chapitre 2 : Cadre conceptuel</w:t>
            </w:r>
            <w:r w:rsidR="00DC62CD">
              <w:rPr>
                <w:noProof/>
                <w:webHidden/>
              </w:rPr>
              <w:tab/>
            </w:r>
            <w:r w:rsidR="00DC62CD">
              <w:rPr>
                <w:noProof/>
                <w:webHidden/>
              </w:rPr>
              <w:fldChar w:fldCharType="begin"/>
            </w:r>
            <w:r w:rsidR="00DC62CD">
              <w:rPr>
                <w:noProof/>
                <w:webHidden/>
              </w:rPr>
              <w:instrText xml:space="preserve"> PAGEREF _Toc182735154 \h </w:instrText>
            </w:r>
            <w:r w:rsidR="00DC62CD">
              <w:rPr>
                <w:noProof/>
                <w:webHidden/>
              </w:rPr>
            </w:r>
            <w:r w:rsidR="00DC62CD">
              <w:rPr>
                <w:noProof/>
                <w:webHidden/>
              </w:rPr>
              <w:fldChar w:fldCharType="separate"/>
            </w:r>
            <w:r w:rsidR="00427D57">
              <w:rPr>
                <w:noProof/>
                <w:webHidden/>
              </w:rPr>
              <w:t>13</w:t>
            </w:r>
            <w:r w:rsidR="00DC62CD">
              <w:rPr>
                <w:noProof/>
                <w:webHidden/>
              </w:rPr>
              <w:fldChar w:fldCharType="end"/>
            </w:r>
          </w:hyperlink>
        </w:p>
        <w:p w14:paraId="2075D63A" w14:textId="5C8086A5"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55" w:history="1">
            <w:r w:rsidR="00DC62CD" w:rsidRPr="008E5B1A">
              <w:rPr>
                <w:rStyle w:val="Hyperlien"/>
                <w:noProof/>
              </w:rPr>
              <w:t>Chapitre 3 : Analyse de l’évolution des pondérations de 2014 et de 202</w:t>
            </w:r>
            <w:r w:rsidR="00B42C1B">
              <w:rPr>
                <w:rStyle w:val="Hyperlien"/>
                <w:noProof/>
              </w:rPr>
              <w:t>1</w:t>
            </w:r>
            <w:r w:rsidR="00DC62CD">
              <w:rPr>
                <w:noProof/>
                <w:webHidden/>
              </w:rPr>
              <w:tab/>
            </w:r>
            <w:r w:rsidR="00DC62CD">
              <w:rPr>
                <w:noProof/>
                <w:webHidden/>
              </w:rPr>
              <w:fldChar w:fldCharType="begin"/>
            </w:r>
            <w:r w:rsidR="00DC62CD">
              <w:rPr>
                <w:noProof/>
                <w:webHidden/>
              </w:rPr>
              <w:instrText xml:space="preserve"> PAGEREF _Toc182735155 \h </w:instrText>
            </w:r>
            <w:r w:rsidR="00DC62CD">
              <w:rPr>
                <w:noProof/>
                <w:webHidden/>
              </w:rPr>
            </w:r>
            <w:r w:rsidR="00DC62CD">
              <w:rPr>
                <w:noProof/>
                <w:webHidden/>
              </w:rPr>
              <w:fldChar w:fldCharType="separate"/>
            </w:r>
            <w:r w:rsidR="00427D57">
              <w:rPr>
                <w:noProof/>
                <w:webHidden/>
              </w:rPr>
              <w:t>19</w:t>
            </w:r>
            <w:r w:rsidR="00DC62CD">
              <w:rPr>
                <w:noProof/>
                <w:webHidden/>
              </w:rPr>
              <w:fldChar w:fldCharType="end"/>
            </w:r>
          </w:hyperlink>
        </w:p>
        <w:p w14:paraId="63A82158" w14:textId="339FCF63" w:rsidR="00DC62CD" w:rsidRDefault="00000000">
          <w:pPr>
            <w:pStyle w:val="TM1"/>
            <w:tabs>
              <w:tab w:val="right" w:leader="dot" w:pos="9350"/>
            </w:tabs>
            <w:rPr>
              <w:rFonts w:eastAsiaTheme="minorEastAsia" w:cstheme="minorBidi"/>
              <w:b w:val="0"/>
              <w:bCs w:val="0"/>
              <w:i w:val="0"/>
              <w:iCs w:val="0"/>
              <w:noProof/>
              <w:lang w:val="fr-SN" w:eastAsia="fr-SN"/>
            </w:rPr>
          </w:pPr>
          <w:hyperlink w:anchor="_Toc182735156" w:history="1">
            <w:r w:rsidR="00DC62CD" w:rsidRPr="008E5B1A">
              <w:rPr>
                <w:rStyle w:val="Hyperlien"/>
                <w:noProof/>
              </w:rPr>
              <w:t xml:space="preserve">Chapitre 4 : </w:t>
            </w:r>
            <w:r w:rsidR="00A60A0F" w:rsidRPr="00BD376D">
              <w:t xml:space="preserve">Rôle des pondérations dans les </w:t>
            </w:r>
            <w:r w:rsidR="00A60A0F">
              <w:t>variations</w:t>
            </w:r>
            <w:r w:rsidR="00A60A0F" w:rsidRPr="00BD376D">
              <w:t xml:space="preserve"> de l’IHPC</w:t>
            </w:r>
            <w:r w:rsidR="00DC62CD">
              <w:rPr>
                <w:noProof/>
                <w:webHidden/>
              </w:rPr>
              <w:tab/>
            </w:r>
            <w:r w:rsidR="00DC62CD">
              <w:rPr>
                <w:noProof/>
                <w:webHidden/>
              </w:rPr>
              <w:fldChar w:fldCharType="begin"/>
            </w:r>
            <w:r w:rsidR="00DC62CD">
              <w:rPr>
                <w:noProof/>
                <w:webHidden/>
              </w:rPr>
              <w:instrText xml:space="preserve"> PAGEREF _Toc182735156 \h </w:instrText>
            </w:r>
            <w:r w:rsidR="00DC62CD">
              <w:rPr>
                <w:noProof/>
                <w:webHidden/>
              </w:rPr>
            </w:r>
            <w:r w:rsidR="00DC62CD">
              <w:rPr>
                <w:noProof/>
                <w:webHidden/>
              </w:rPr>
              <w:fldChar w:fldCharType="separate"/>
            </w:r>
            <w:r w:rsidR="00427D57">
              <w:rPr>
                <w:noProof/>
                <w:webHidden/>
              </w:rPr>
              <w:t>41</w:t>
            </w:r>
            <w:r w:rsidR="00DC62CD">
              <w:rPr>
                <w:noProof/>
                <w:webHidden/>
              </w:rPr>
              <w:fldChar w:fldCharType="end"/>
            </w:r>
          </w:hyperlink>
        </w:p>
        <w:p w14:paraId="08ABDA06" w14:textId="4414289A" w:rsidR="00DC62CD" w:rsidRDefault="00DC62CD">
          <w:r>
            <w:rPr>
              <w:b/>
              <w:bCs/>
              <w:lang w:val="fr-CA"/>
            </w:rPr>
            <w:fldChar w:fldCharType="end"/>
          </w:r>
        </w:p>
      </w:sdtContent>
    </w:sdt>
    <w:p w14:paraId="28C53294" w14:textId="77777777" w:rsidR="00D708D6" w:rsidRDefault="00D708D6"/>
    <w:p w14:paraId="6FDFB377" w14:textId="77777777" w:rsidR="00DC62CD" w:rsidRDefault="00D708D6" w:rsidP="00DC62CD">
      <w:pPr>
        <w:pStyle w:val="Titre1"/>
      </w:pPr>
      <w:r>
        <w:br w:type="page"/>
      </w:r>
      <w:bookmarkStart w:id="20" w:name="_Toc152530390"/>
      <w:bookmarkStart w:id="21" w:name="_Toc153059947"/>
      <w:bookmarkStart w:id="22" w:name="_Toc182735148"/>
      <w:bookmarkStart w:id="23" w:name="_Toc182822552"/>
      <w:r w:rsidR="00DC62CD">
        <w:t>Sigles et abréviations</w:t>
      </w:r>
      <w:bookmarkEnd w:id="20"/>
      <w:bookmarkEnd w:id="21"/>
      <w:bookmarkEnd w:id="22"/>
      <w:bookmarkEnd w:id="23"/>
    </w:p>
    <w:p w14:paraId="73F4D89C" w14:textId="77777777" w:rsidR="00DC62CD" w:rsidRDefault="00DC62CD" w:rsidP="00DC62CD">
      <w:pPr>
        <w:rPr>
          <w:rFonts w:cs="Times New Roman"/>
          <w:szCs w:val="24"/>
        </w:rPr>
      </w:pPr>
    </w:p>
    <w:tbl>
      <w:tblPr>
        <w:tblW w:w="10766" w:type="dxa"/>
        <w:tblInd w:w="-707" w:type="dxa"/>
        <w:tblCellMar>
          <w:left w:w="70" w:type="dxa"/>
          <w:right w:w="70" w:type="dxa"/>
        </w:tblCellMar>
        <w:tblLook w:val="04A0" w:firstRow="1" w:lastRow="0" w:firstColumn="1" w:lastColumn="0" w:noHBand="0" w:noVBand="1"/>
      </w:tblPr>
      <w:tblGrid>
        <w:gridCol w:w="2189"/>
        <w:gridCol w:w="8577"/>
      </w:tblGrid>
      <w:tr w:rsidR="00CA4F0E" w:rsidRPr="008A62A8" w14:paraId="6D004E93" w14:textId="7326DEC3" w:rsidTr="00CA4F0E">
        <w:trPr>
          <w:trHeight w:val="310"/>
        </w:trPr>
        <w:tc>
          <w:tcPr>
            <w:tcW w:w="2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87065" w14:textId="77777777" w:rsidR="00CA4F0E" w:rsidRPr="006F1695" w:rsidRDefault="00CA4F0E" w:rsidP="00427D57">
            <w:pPr>
              <w:spacing w:after="0"/>
              <w:rPr>
                <w:rFonts w:eastAsia="Times New Roman" w:cs="Times New Roman"/>
                <w:color w:val="4472C4"/>
                <w:kern w:val="0"/>
                <w:szCs w:val="24"/>
                <w:lang w:eastAsia="fr-FR"/>
                <w14:ligatures w14:val="none"/>
              </w:rPr>
            </w:pPr>
            <w:r w:rsidRPr="006F1695">
              <w:rPr>
                <w:rFonts w:eastAsia="Times New Roman" w:cs="Times New Roman"/>
                <w:color w:val="4472C4"/>
                <w:kern w:val="0"/>
                <w:szCs w:val="24"/>
                <w:lang w:eastAsia="fr-FR"/>
                <w14:ligatures w14:val="none"/>
              </w:rPr>
              <w:t xml:space="preserve">ANSD       </w:t>
            </w:r>
          </w:p>
        </w:tc>
        <w:tc>
          <w:tcPr>
            <w:tcW w:w="8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C87BE" w14:textId="18E83E33" w:rsidR="00CA4F0E" w:rsidRPr="006F1695" w:rsidRDefault="00CA4F0E" w:rsidP="00427D57">
            <w:pPr>
              <w:spacing w:after="0"/>
              <w:rPr>
                <w:rFonts w:eastAsia="Times New Roman" w:cs="Times New Roman"/>
                <w:color w:val="4472C4"/>
                <w:kern w:val="0"/>
                <w:szCs w:val="24"/>
                <w:lang w:eastAsia="fr-FR"/>
                <w14:ligatures w14:val="none"/>
              </w:rPr>
            </w:pPr>
            <w:r w:rsidRPr="006F1695">
              <w:rPr>
                <w:rFonts w:eastAsia="Times New Roman" w:cs="Times New Roman"/>
                <w:color w:val="4472C4"/>
                <w:kern w:val="0"/>
                <w:szCs w:val="24"/>
                <w:lang w:eastAsia="fr-FR"/>
                <w14:ligatures w14:val="none"/>
              </w:rPr>
              <w:t>Agence nationale de la Statistique et de Démographie</w:t>
            </w:r>
          </w:p>
        </w:tc>
      </w:tr>
      <w:tr w:rsidR="00CA4F0E" w:rsidRPr="008A62A8" w14:paraId="58E08F4B" w14:textId="33EDA68C" w:rsidTr="00CA4F0E">
        <w:trPr>
          <w:trHeight w:val="310"/>
        </w:trPr>
        <w:tc>
          <w:tcPr>
            <w:tcW w:w="2189" w:type="dxa"/>
            <w:tcBorders>
              <w:top w:val="single" w:sz="4" w:space="0" w:color="auto"/>
              <w:left w:val="single" w:sz="4" w:space="0" w:color="auto"/>
              <w:bottom w:val="single" w:sz="4" w:space="0" w:color="auto"/>
              <w:right w:val="single" w:sz="4" w:space="0" w:color="auto"/>
            </w:tcBorders>
            <w:shd w:val="clear" w:color="auto" w:fill="auto"/>
            <w:vAlign w:val="center"/>
          </w:tcPr>
          <w:p w14:paraId="3FD35357" w14:textId="5FA318BB" w:rsidR="00CA4F0E" w:rsidRPr="006F1695" w:rsidRDefault="00CA4F0E" w:rsidP="00427D57">
            <w:pPr>
              <w:spacing w:after="0"/>
              <w:rPr>
                <w:rFonts w:eastAsia="Times New Roman" w:cs="Times New Roman"/>
                <w:color w:val="4472C4"/>
                <w:kern w:val="0"/>
                <w:szCs w:val="24"/>
                <w:lang w:eastAsia="fr-FR"/>
                <w14:ligatures w14:val="none"/>
              </w:rPr>
            </w:pPr>
            <w:r w:rsidRPr="00771C04">
              <w:rPr>
                <w:rFonts w:eastAsia="Times New Roman" w:cs="Times New Roman"/>
                <w:color w:val="4472C4"/>
                <w:kern w:val="0"/>
                <w:szCs w:val="24"/>
                <w:lang w:eastAsia="fr-FR"/>
                <w14:ligatures w14:val="none"/>
              </w:rPr>
              <w:t>EHCVM</w:t>
            </w:r>
          </w:p>
        </w:tc>
        <w:tc>
          <w:tcPr>
            <w:tcW w:w="8577" w:type="dxa"/>
            <w:tcBorders>
              <w:top w:val="single" w:sz="4" w:space="0" w:color="auto"/>
              <w:left w:val="single" w:sz="4" w:space="0" w:color="auto"/>
              <w:bottom w:val="single" w:sz="4" w:space="0" w:color="auto"/>
              <w:right w:val="single" w:sz="4" w:space="0" w:color="auto"/>
            </w:tcBorders>
            <w:shd w:val="clear" w:color="auto" w:fill="auto"/>
            <w:vAlign w:val="center"/>
          </w:tcPr>
          <w:p w14:paraId="293106DA" w14:textId="41D57E14" w:rsidR="00CA4F0E" w:rsidRPr="006F1695" w:rsidRDefault="00CA4F0E" w:rsidP="00427D57">
            <w:pPr>
              <w:spacing w:after="0"/>
              <w:rPr>
                <w:rFonts w:eastAsia="Times New Roman" w:cs="Times New Roman"/>
                <w:color w:val="4472C4"/>
                <w:kern w:val="0"/>
                <w:szCs w:val="24"/>
                <w:lang w:eastAsia="fr-FR"/>
                <w14:ligatures w14:val="none"/>
              </w:rPr>
            </w:pPr>
            <w:r w:rsidRPr="00771C04">
              <w:rPr>
                <w:rFonts w:eastAsia="Times New Roman" w:cs="Times New Roman"/>
                <w:color w:val="4472C4"/>
                <w:kern w:val="0"/>
                <w:szCs w:val="24"/>
                <w:lang w:eastAsia="fr-FR"/>
                <w14:ligatures w14:val="none"/>
              </w:rPr>
              <w:t>Enquête Harmonisée sur les Conditions de Vie des Ménages</w:t>
            </w:r>
          </w:p>
        </w:tc>
      </w:tr>
      <w:tr w:rsidR="00CA4F0E" w:rsidRPr="008A62A8" w14:paraId="75356F67" w14:textId="29514636" w:rsidTr="00CA4F0E">
        <w:trPr>
          <w:trHeight w:val="310"/>
        </w:trPr>
        <w:tc>
          <w:tcPr>
            <w:tcW w:w="2189" w:type="dxa"/>
            <w:tcBorders>
              <w:top w:val="single" w:sz="4" w:space="0" w:color="auto"/>
              <w:left w:val="single" w:sz="4" w:space="0" w:color="auto"/>
              <w:bottom w:val="single" w:sz="4" w:space="0" w:color="auto"/>
              <w:right w:val="single" w:sz="4" w:space="0" w:color="auto"/>
            </w:tcBorders>
            <w:shd w:val="clear" w:color="auto" w:fill="auto"/>
            <w:vAlign w:val="center"/>
          </w:tcPr>
          <w:p w14:paraId="6DB80711" w14:textId="1C7C5A2D" w:rsidR="00CA4F0E" w:rsidRPr="006F1695" w:rsidRDefault="00CA4F0E" w:rsidP="00427D57">
            <w:pPr>
              <w:spacing w:after="0"/>
              <w:rPr>
                <w:rFonts w:eastAsia="Times New Roman" w:cs="Times New Roman"/>
                <w:color w:val="4472C4"/>
                <w:kern w:val="0"/>
                <w:szCs w:val="24"/>
                <w:lang w:eastAsia="fr-FR"/>
                <w14:ligatures w14:val="none"/>
              </w:rPr>
            </w:pPr>
            <w:r w:rsidRPr="00771C04">
              <w:rPr>
                <w:rFonts w:eastAsia="Times New Roman" w:cs="Times New Roman"/>
                <w:color w:val="4472C4"/>
                <w:kern w:val="0"/>
                <w:szCs w:val="24"/>
                <w:lang w:eastAsia="fr-FR"/>
                <w14:ligatures w14:val="none"/>
              </w:rPr>
              <w:t>ESPS-II</w:t>
            </w:r>
          </w:p>
        </w:tc>
        <w:tc>
          <w:tcPr>
            <w:tcW w:w="8577" w:type="dxa"/>
            <w:tcBorders>
              <w:top w:val="single" w:sz="4" w:space="0" w:color="auto"/>
              <w:left w:val="single" w:sz="4" w:space="0" w:color="auto"/>
              <w:bottom w:val="single" w:sz="4" w:space="0" w:color="auto"/>
              <w:right w:val="single" w:sz="4" w:space="0" w:color="auto"/>
            </w:tcBorders>
            <w:shd w:val="clear" w:color="auto" w:fill="auto"/>
            <w:vAlign w:val="center"/>
          </w:tcPr>
          <w:p w14:paraId="47F3F61C" w14:textId="3A414B1A" w:rsidR="00CA4F0E" w:rsidRPr="006F1695" w:rsidRDefault="00CA4F0E" w:rsidP="00427D57">
            <w:pPr>
              <w:spacing w:after="0"/>
              <w:rPr>
                <w:rFonts w:eastAsia="Times New Roman" w:cs="Times New Roman"/>
                <w:color w:val="4472C4"/>
                <w:kern w:val="0"/>
                <w:szCs w:val="24"/>
                <w:lang w:eastAsia="fr-FR"/>
                <w14:ligatures w14:val="none"/>
              </w:rPr>
            </w:pPr>
            <w:r w:rsidRPr="00771C04">
              <w:rPr>
                <w:rFonts w:eastAsia="Times New Roman" w:cs="Times New Roman"/>
                <w:color w:val="4472C4"/>
                <w:kern w:val="0"/>
                <w:szCs w:val="24"/>
                <w:lang w:eastAsia="fr-FR"/>
                <w14:ligatures w14:val="none"/>
              </w:rPr>
              <w:t>Enquête de Suivi de la Pauvreté au Sénégal (2e édition)</w:t>
            </w:r>
          </w:p>
        </w:tc>
      </w:tr>
      <w:tr w:rsidR="00CA4F0E" w:rsidRPr="008A62A8" w14:paraId="4F52D1D1" w14:textId="5ABB990A" w:rsidTr="00CA4F0E">
        <w:trPr>
          <w:trHeight w:val="310"/>
        </w:trPr>
        <w:tc>
          <w:tcPr>
            <w:tcW w:w="2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DCD08" w14:textId="77777777" w:rsidR="00CA4F0E" w:rsidRPr="006F1695" w:rsidRDefault="00CA4F0E" w:rsidP="00427D57">
            <w:pPr>
              <w:spacing w:after="0"/>
              <w:rPr>
                <w:rFonts w:eastAsia="Times New Roman" w:cs="Times New Roman"/>
                <w:color w:val="4472C4"/>
                <w:kern w:val="0"/>
                <w:szCs w:val="24"/>
                <w:lang w:eastAsia="fr-FR"/>
                <w14:ligatures w14:val="none"/>
              </w:rPr>
            </w:pPr>
            <w:r w:rsidRPr="006F1695">
              <w:rPr>
                <w:rFonts w:eastAsia="Times New Roman" w:cs="Times New Roman"/>
                <w:color w:val="4472C4"/>
                <w:kern w:val="0"/>
                <w:szCs w:val="24"/>
                <w:lang w:eastAsia="fr-FR"/>
                <w14:ligatures w14:val="none"/>
              </w:rPr>
              <w:t xml:space="preserve">IHPC     </w:t>
            </w:r>
          </w:p>
          <w:p w14:paraId="3B6FA61D" w14:textId="5293958F" w:rsidR="00CA4F0E" w:rsidRPr="006F1695" w:rsidRDefault="00CA4F0E" w:rsidP="00427D57">
            <w:pPr>
              <w:spacing w:after="0"/>
              <w:rPr>
                <w:rFonts w:eastAsia="Times New Roman" w:cs="Times New Roman"/>
                <w:color w:val="4472C4"/>
                <w:kern w:val="0"/>
                <w:szCs w:val="24"/>
                <w:lang w:eastAsia="fr-FR"/>
                <w14:ligatures w14:val="none"/>
              </w:rPr>
            </w:pPr>
          </w:p>
        </w:tc>
        <w:tc>
          <w:tcPr>
            <w:tcW w:w="8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92379" w14:textId="59C614C6" w:rsidR="00CA4F0E" w:rsidRPr="006F1695" w:rsidRDefault="00CA4F0E" w:rsidP="00427D57">
            <w:pPr>
              <w:spacing w:after="0"/>
              <w:rPr>
                <w:rFonts w:eastAsia="Times New Roman" w:cs="Times New Roman"/>
                <w:color w:val="4472C4"/>
                <w:kern w:val="0"/>
                <w:szCs w:val="24"/>
                <w:lang w:eastAsia="fr-FR"/>
                <w14:ligatures w14:val="none"/>
              </w:rPr>
            </w:pPr>
            <w:bookmarkStart w:id="24" w:name="_Hlk152498418"/>
            <w:r w:rsidRPr="006F1695">
              <w:rPr>
                <w:rFonts w:eastAsia="Times New Roman" w:cs="Times New Roman"/>
                <w:color w:val="4472C4"/>
                <w:kern w:val="0"/>
                <w:szCs w:val="24"/>
                <w:lang w:eastAsia="fr-FR"/>
                <w14:ligatures w14:val="none"/>
              </w:rPr>
              <w:t>Indice harmonisé des Prix à la consommation</w:t>
            </w:r>
            <w:bookmarkEnd w:id="24"/>
          </w:p>
        </w:tc>
      </w:tr>
      <w:tr w:rsidR="00CA4F0E" w:rsidRPr="008A62A8" w14:paraId="304E376C" w14:textId="32A70E78" w:rsidTr="00CA4F0E">
        <w:trPr>
          <w:trHeight w:val="310"/>
        </w:trPr>
        <w:tc>
          <w:tcPr>
            <w:tcW w:w="2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81851" w14:textId="77777777" w:rsidR="00CA4F0E" w:rsidRPr="006F1695" w:rsidRDefault="00CA4F0E" w:rsidP="00427D57">
            <w:pPr>
              <w:spacing w:after="0"/>
              <w:rPr>
                <w:rFonts w:eastAsia="Times New Roman" w:cs="Times New Roman"/>
                <w:color w:val="4472C4"/>
                <w:kern w:val="0"/>
                <w:szCs w:val="24"/>
                <w:lang w:eastAsia="fr-FR"/>
                <w14:ligatures w14:val="none"/>
              </w:rPr>
            </w:pPr>
            <w:r w:rsidRPr="006F1695">
              <w:rPr>
                <w:rFonts w:eastAsia="Times New Roman" w:cs="Times New Roman"/>
                <w:color w:val="4472C4"/>
                <w:kern w:val="0"/>
                <w:szCs w:val="24"/>
                <w:lang w:eastAsia="fr-FR"/>
                <w14:ligatures w14:val="none"/>
              </w:rPr>
              <w:t>IPC          </w:t>
            </w:r>
          </w:p>
        </w:tc>
        <w:tc>
          <w:tcPr>
            <w:tcW w:w="8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9A9A6" w14:textId="08B716AE" w:rsidR="00CA4F0E" w:rsidRPr="006F1695" w:rsidRDefault="00CA4F0E" w:rsidP="00427D57">
            <w:pPr>
              <w:spacing w:after="0"/>
              <w:rPr>
                <w:rFonts w:eastAsia="Times New Roman" w:cs="Times New Roman"/>
                <w:color w:val="4472C4"/>
                <w:kern w:val="0"/>
                <w:szCs w:val="24"/>
                <w:lang w:eastAsia="fr-FR"/>
                <w14:ligatures w14:val="none"/>
              </w:rPr>
            </w:pPr>
            <w:r w:rsidRPr="006F1695">
              <w:rPr>
                <w:rFonts w:eastAsia="Times New Roman" w:cs="Times New Roman"/>
                <w:color w:val="4472C4"/>
                <w:kern w:val="0"/>
                <w:szCs w:val="24"/>
                <w:lang w:eastAsia="fr-FR"/>
                <w14:ligatures w14:val="none"/>
              </w:rPr>
              <w:t>Indice des Prix à la Consommation</w:t>
            </w:r>
          </w:p>
        </w:tc>
      </w:tr>
      <w:tr w:rsidR="00CA4F0E" w:rsidRPr="008A62A8" w14:paraId="490051E2" w14:textId="24928007" w:rsidTr="00CA4F0E">
        <w:trPr>
          <w:trHeight w:val="310"/>
        </w:trPr>
        <w:tc>
          <w:tcPr>
            <w:tcW w:w="2189" w:type="dxa"/>
            <w:tcBorders>
              <w:top w:val="single" w:sz="4" w:space="0" w:color="auto"/>
              <w:left w:val="single" w:sz="4" w:space="0" w:color="auto"/>
              <w:bottom w:val="single" w:sz="4" w:space="0" w:color="auto"/>
              <w:right w:val="single" w:sz="4" w:space="0" w:color="auto"/>
            </w:tcBorders>
            <w:shd w:val="clear" w:color="auto" w:fill="auto"/>
            <w:vAlign w:val="center"/>
          </w:tcPr>
          <w:p w14:paraId="0C72EBF6" w14:textId="2B2325FB" w:rsidR="00CA4F0E" w:rsidRPr="006F1695" w:rsidRDefault="00CA4F0E" w:rsidP="00427D57">
            <w:pPr>
              <w:spacing w:after="0"/>
              <w:rPr>
                <w:rFonts w:eastAsia="Times New Roman" w:cs="Times New Roman"/>
                <w:color w:val="4472C4"/>
                <w:kern w:val="0"/>
                <w:szCs w:val="24"/>
                <w:lang w:eastAsia="fr-FR"/>
                <w14:ligatures w14:val="none"/>
              </w:rPr>
            </w:pPr>
            <w:r w:rsidRPr="00771C04">
              <w:rPr>
                <w:rFonts w:eastAsia="Times New Roman" w:cs="Times New Roman"/>
                <w:color w:val="4472C4"/>
                <w:kern w:val="0"/>
                <w:szCs w:val="24"/>
                <w:lang w:eastAsia="fr-FR"/>
                <w14:ligatures w14:val="none"/>
              </w:rPr>
              <w:t>PPA</w:t>
            </w:r>
          </w:p>
        </w:tc>
        <w:tc>
          <w:tcPr>
            <w:tcW w:w="8577" w:type="dxa"/>
            <w:tcBorders>
              <w:top w:val="single" w:sz="4" w:space="0" w:color="auto"/>
              <w:left w:val="single" w:sz="4" w:space="0" w:color="auto"/>
              <w:bottom w:val="single" w:sz="4" w:space="0" w:color="auto"/>
              <w:right w:val="single" w:sz="4" w:space="0" w:color="auto"/>
            </w:tcBorders>
            <w:shd w:val="clear" w:color="auto" w:fill="auto"/>
            <w:vAlign w:val="center"/>
          </w:tcPr>
          <w:p w14:paraId="2FD2E74D" w14:textId="0A302143" w:rsidR="00CA4F0E" w:rsidRPr="006F1695" w:rsidRDefault="00CA4F0E" w:rsidP="00427D57">
            <w:pPr>
              <w:spacing w:after="0"/>
              <w:rPr>
                <w:rFonts w:eastAsia="Times New Roman" w:cs="Times New Roman"/>
                <w:color w:val="4472C4"/>
                <w:kern w:val="0"/>
                <w:szCs w:val="24"/>
                <w:lang w:eastAsia="fr-FR"/>
                <w14:ligatures w14:val="none"/>
              </w:rPr>
            </w:pPr>
            <w:r w:rsidRPr="00771C04">
              <w:rPr>
                <w:rFonts w:eastAsia="Times New Roman" w:cs="Times New Roman"/>
                <w:color w:val="4472C4"/>
                <w:kern w:val="0"/>
                <w:szCs w:val="24"/>
                <w:lang w:eastAsia="fr-FR"/>
                <w14:ligatures w14:val="none"/>
              </w:rPr>
              <w:t>Parités de Pouvoir d'Achat</w:t>
            </w:r>
          </w:p>
        </w:tc>
      </w:tr>
      <w:tr w:rsidR="00CA4F0E" w:rsidRPr="008A62A8" w14:paraId="6235B5DF" w14:textId="05B19860" w:rsidTr="00CA4F0E">
        <w:trPr>
          <w:trHeight w:val="310"/>
        </w:trPr>
        <w:tc>
          <w:tcPr>
            <w:tcW w:w="2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E36930" w14:textId="77777777" w:rsidR="00CA4F0E" w:rsidRPr="006F1695" w:rsidRDefault="00CA4F0E" w:rsidP="00427D57">
            <w:pPr>
              <w:spacing w:after="0"/>
              <w:rPr>
                <w:rFonts w:eastAsia="Times New Roman" w:cs="Times New Roman"/>
                <w:color w:val="4472C4"/>
                <w:kern w:val="0"/>
                <w:szCs w:val="24"/>
                <w:lang w:eastAsia="fr-FR"/>
                <w14:ligatures w14:val="none"/>
              </w:rPr>
            </w:pPr>
            <w:r w:rsidRPr="006F1695">
              <w:rPr>
                <w:rFonts w:eastAsia="Times New Roman" w:cs="Times New Roman"/>
                <w:color w:val="4472C4"/>
                <w:kern w:val="0"/>
                <w:szCs w:val="24"/>
                <w:lang w:eastAsia="fr-FR"/>
                <w14:ligatures w14:val="none"/>
              </w:rPr>
              <w:t xml:space="preserve">UEMOA   </w:t>
            </w:r>
          </w:p>
        </w:tc>
        <w:tc>
          <w:tcPr>
            <w:tcW w:w="8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74BD9" w14:textId="08D25A8C" w:rsidR="00CA4F0E" w:rsidRPr="006F1695" w:rsidRDefault="00CA4F0E" w:rsidP="00427D57">
            <w:pPr>
              <w:spacing w:after="0"/>
              <w:rPr>
                <w:rFonts w:eastAsia="Times New Roman" w:cs="Times New Roman"/>
                <w:color w:val="4472C4"/>
                <w:kern w:val="0"/>
                <w:szCs w:val="24"/>
                <w:lang w:eastAsia="fr-FR"/>
                <w14:ligatures w14:val="none"/>
              </w:rPr>
            </w:pPr>
            <w:r w:rsidRPr="006F1695">
              <w:rPr>
                <w:rFonts w:eastAsia="Times New Roman" w:cs="Times New Roman"/>
                <w:color w:val="4472C4"/>
                <w:kern w:val="0"/>
                <w:szCs w:val="24"/>
                <w:lang w:eastAsia="fr-FR"/>
                <w14:ligatures w14:val="none"/>
              </w:rPr>
              <w:t>Union économique et monétaire Ouest Africaine</w:t>
            </w:r>
          </w:p>
        </w:tc>
      </w:tr>
    </w:tbl>
    <w:p w14:paraId="418F1789" w14:textId="77777777" w:rsidR="00DC62CD" w:rsidRDefault="00DC62CD" w:rsidP="00DC62CD">
      <w:pPr>
        <w:rPr>
          <w:rFonts w:cs="Times New Roman"/>
          <w:szCs w:val="24"/>
        </w:rPr>
      </w:pPr>
    </w:p>
    <w:p w14:paraId="2986AF59" w14:textId="77777777" w:rsidR="00DC62CD" w:rsidRDefault="00DC62CD" w:rsidP="00DC62CD">
      <w:pPr>
        <w:rPr>
          <w:rFonts w:cs="Times New Roman"/>
          <w:szCs w:val="24"/>
        </w:rPr>
      </w:pPr>
    </w:p>
    <w:p w14:paraId="2F01B53C" w14:textId="77777777" w:rsidR="00DC62CD" w:rsidRDefault="00DC62CD" w:rsidP="00DC62CD">
      <w:pPr>
        <w:rPr>
          <w:rFonts w:cs="Times New Roman"/>
          <w:szCs w:val="24"/>
        </w:rPr>
      </w:pPr>
    </w:p>
    <w:p w14:paraId="6F9298B5" w14:textId="77777777" w:rsidR="00DC62CD" w:rsidRPr="001917B2" w:rsidRDefault="00DC62CD" w:rsidP="00DC62CD">
      <w:pPr>
        <w:rPr>
          <w:rFonts w:cs="Times New Roman"/>
          <w:szCs w:val="24"/>
        </w:rPr>
      </w:pPr>
    </w:p>
    <w:p w14:paraId="65F956C1" w14:textId="77777777" w:rsidR="00DC62CD" w:rsidRPr="001917B2" w:rsidRDefault="00DC62CD" w:rsidP="00DC62CD">
      <w:pPr>
        <w:rPr>
          <w:rFonts w:cs="Times New Roman"/>
          <w:szCs w:val="24"/>
        </w:rPr>
      </w:pPr>
    </w:p>
    <w:p w14:paraId="298225D2" w14:textId="77777777" w:rsidR="00DC62CD" w:rsidRPr="001917B2" w:rsidRDefault="00DC62CD" w:rsidP="00DC62CD">
      <w:pPr>
        <w:rPr>
          <w:rFonts w:cs="Times New Roman"/>
          <w:szCs w:val="24"/>
        </w:rPr>
      </w:pPr>
    </w:p>
    <w:p w14:paraId="00F1BEDD" w14:textId="77777777" w:rsidR="00DC62CD" w:rsidRDefault="00DC62CD" w:rsidP="00DC62CD">
      <w:pPr>
        <w:rPr>
          <w:rFonts w:cs="Times New Roman"/>
          <w:szCs w:val="24"/>
        </w:rPr>
      </w:pPr>
    </w:p>
    <w:p w14:paraId="5533C208" w14:textId="77777777" w:rsidR="00DC62CD" w:rsidRDefault="00DC62CD" w:rsidP="00DC62CD">
      <w:pPr>
        <w:rPr>
          <w:rFonts w:cs="Times New Roman"/>
          <w:szCs w:val="24"/>
        </w:rPr>
      </w:pPr>
    </w:p>
    <w:p w14:paraId="3DA78B05" w14:textId="77777777" w:rsidR="00DC62CD" w:rsidRDefault="00DC62CD" w:rsidP="00DC62CD">
      <w:pPr>
        <w:rPr>
          <w:rFonts w:cs="Times New Roman"/>
          <w:szCs w:val="24"/>
        </w:rPr>
      </w:pPr>
    </w:p>
    <w:p w14:paraId="5F8D0326" w14:textId="77777777" w:rsidR="00DC62CD" w:rsidRDefault="00DC62CD" w:rsidP="00DC62CD">
      <w:pPr>
        <w:rPr>
          <w:rFonts w:cs="Times New Roman"/>
          <w:szCs w:val="24"/>
        </w:rPr>
      </w:pPr>
    </w:p>
    <w:p w14:paraId="0DA37BA5" w14:textId="3FBEBBD2" w:rsidR="00DC62CD" w:rsidRDefault="00DC62CD">
      <w:pPr>
        <w:spacing w:after="200" w:line="276" w:lineRule="auto"/>
      </w:pPr>
      <w:r>
        <w:br w:type="page"/>
      </w:r>
    </w:p>
    <w:p w14:paraId="14FF59B2" w14:textId="77777777" w:rsidR="00D708D6" w:rsidRDefault="00D708D6"/>
    <w:p w14:paraId="49130693" w14:textId="54EAFE11" w:rsidR="00D708D6" w:rsidRPr="00D708D6" w:rsidRDefault="00D708D6" w:rsidP="0019380B">
      <w:pPr>
        <w:pStyle w:val="Titre1"/>
      </w:pPr>
      <w:bookmarkStart w:id="25" w:name="_Toc182735149"/>
      <w:bookmarkStart w:id="26" w:name="_Toc182822553"/>
      <w:r w:rsidRPr="00D708D6">
        <w:t>Liste des tableaux</w:t>
      </w:r>
      <w:bookmarkEnd w:id="25"/>
      <w:bookmarkEnd w:id="26"/>
    </w:p>
    <w:p w14:paraId="0AD8BFF0" w14:textId="77777777" w:rsidR="00D708D6" w:rsidRDefault="00D708D6">
      <w:pPr>
        <w:pStyle w:val="Tabledesillustrations"/>
        <w:tabs>
          <w:tab w:val="right" w:leader="underscore" w:pos="9350"/>
        </w:tabs>
      </w:pPr>
    </w:p>
    <w:p w14:paraId="16E3F432" w14:textId="2EC41DB4" w:rsidR="00D708D6" w:rsidRPr="00D708D6" w:rsidRDefault="00D708D6">
      <w:pPr>
        <w:pStyle w:val="Tabledesillustrations"/>
        <w:tabs>
          <w:tab w:val="right" w:leader="underscore" w:pos="9350"/>
        </w:tabs>
        <w:rPr>
          <w:i w:val="0"/>
          <w:iCs w:val="0"/>
          <w:noProof/>
          <w:sz w:val="28"/>
          <w:szCs w:val="28"/>
          <w:lang w:val="fr-SN" w:eastAsia="fr-SN"/>
        </w:rPr>
      </w:pPr>
      <w:r>
        <w:fldChar w:fldCharType="begin"/>
      </w:r>
      <w:r>
        <w:instrText xml:space="preserve"> TOC \h \z \c "Tableau" </w:instrText>
      </w:r>
      <w:r>
        <w:fldChar w:fldCharType="separate"/>
      </w:r>
      <w:hyperlink w:anchor="_Toc180927595" w:history="1">
        <w:r w:rsidRPr="00D708D6">
          <w:rPr>
            <w:rStyle w:val="Hyperlien"/>
            <w:noProof/>
            <w:sz w:val="22"/>
            <w:szCs w:val="22"/>
          </w:rPr>
          <w:t xml:space="preserve">Tableau 1 : </w:t>
        </w:r>
        <w:r w:rsidRPr="00D708D6">
          <w:rPr>
            <w:rStyle w:val="Hyperlien"/>
            <w:noProof/>
            <w:sz w:val="22"/>
            <w:szCs w:val="22"/>
            <w:lang w:val="fr-SN"/>
          </w:rPr>
          <w:t>Structure de consommation (en %) des produits alimentaires et boissons non alcoolisées entre 2014, 2021.</w:t>
        </w:r>
        <w:r w:rsidRPr="00D708D6">
          <w:rPr>
            <w:noProof/>
            <w:webHidden/>
            <w:sz w:val="22"/>
            <w:szCs w:val="22"/>
          </w:rPr>
          <w:tab/>
        </w:r>
        <w:r w:rsidRPr="00D708D6">
          <w:rPr>
            <w:noProof/>
            <w:webHidden/>
            <w:sz w:val="22"/>
            <w:szCs w:val="22"/>
          </w:rPr>
          <w:fldChar w:fldCharType="begin"/>
        </w:r>
        <w:r w:rsidRPr="00D708D6">
          <w:rPr>
            <w:noProof/>
            <w:webHidden/>
            <w:sz w:val="22"/>
            <w:szCs w:val="22"/>
          </w:rPr>
          <w:instrText xml:space="preserve"> PAGEREF _Toc180927595 \h </w:instrText>
        </w:r>
        <w:r w:rsidRPr="00D708D6">
          <w:rPr>
            <w:noProof/>
            <w:webHidden/>
            <w:sz w:val="22"/>
            <w:szCs w:val="22"/>
          </w:rPr>
        </w:r>
        <w:r w:rsidRPr="00D708D6">
          <w:rPr>
            <w:noProof/>
            <w:webHidden/>
            <w:sz w:val="22"/>
            <w:szCs w:val="22"/>
          </w:rPr>
          <w:fldChar w:fldCharType="separate"/>
        </w:r>
        <w:r w:rsidR="00427D57">
          <w:rPr>
            <w:noProof/>
            <w:webHidden/>
            <w:sz w:val="22"/>
            <w:szCs w:val="22"/>
          </w:rPr>
          <w:t>23</w:t>
        </w:r>
        <w:r w:rsidRPr="00D708D6">
          <w:rPr>
            <w:noProof/>
            <w:webHidden/>
            <w:sz w:val="22"/>
            <w:szCs w:val="22"/>
          </w:rPr>
          <w:fldChar w:fldCharType="end"/>
        </w:r>
      </w:hyperlink>
    </w:p>
    <w:p w14:paraId="421BD275" w14:textId="0690B19E" w:rsidR="00D708D6" w:rsidRPr="00D708D6" w:rsidRDefault="00000000">
      <w:pPr>
        <w:pStyle w:val="Tabledesillustrations"/>
        <w:tabs>
          <w:tab w:val="right" w:leader="underscore" w:pos="9350"/>
        </w:tabs>
        <w:rPr>
          <w:i w:val="0"/>
          <w:iCs w:val="0"/>
          <w:noProof/>
          <w:sz w:val="28"/>
          <w:szCs w:val="28"/>
          <w:lang w:val="fr-SN" w:eastAsia="fr-SN"/>
        </w:rPr>
      </w:pPr>
      <w:hyperlink w:anchor="_Toc180927596" w:history="1">
        <w:r w:rsidR="00D708D6" w:rsidRPr="00D708D6">
          <w:rPr>
            <w:rStyle w:val="Hyperlien"/>
            <w:noProof/>
            <w:sz w:val="22"/>
            <w:szCs w:val="22"/>
          </w:rPr>
          <w:t xml:space="preserve">Tableau 2 : </w:t>
        </w:r>
        <w:r w:rsidR="00D708D6" w:rsidRPr="00D708D6">
          <w:rPr>
            <w:rStyle w:val="Hyperlien"/>
            <w:noProof/>
            <w:sz w:val="22"/>
            <w:szCs w:val="22"/>
            <w:lang w:val="fr-SN"/>
          </w:rPr>
          <w:t>Structure de consommation (en %) boissons alcoolisées tabac et stupéfiants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_Toc180927596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25</w:t>
        </w:r>
        <w:r w:rsidR="00D708D6" w:rsidRPr="00D708D6">
          <w:rPr>
            <w:noProof/>
            <w:webHidden/>
            <w:sz w:val="22"/>
            <w:szCs w:val="22"/>
          </w:rPr>
          <w:fldChar w:fldCharType="end"/>
        </w:r>
      </w:hyperlink>
    </w:p>
    <w:p w14:paraId="40659BBF" w14:textId="676E963A" w:rsidR="00D708D6" w:rsidRPr="00D708D6" w:rsidRDefault="00000000">
      <w:pPr>
        <w:pStyle w:val="Tabledesillustrations"/>
        <w:tabs>
          <w:tab w:val="right" w:leader="underscore" w:pos="9350"/>
        </w:tabs>
        <w:rPr>
          <w:i w:val="0"/>
          <w:iCs w:val="0"/>
          <w:noProof/>
          <w:sz w:val="28"/>
          <w:szCs w:val="28"/>
          <w:lang w:val="fr-SN" w:eastAsia="fr-SN"/>
        </w:rPr>
      </w:pPr>
      <w:hyperlink w:anchor="_Toc180927597" w:history="1">
        <w:r w:rsidR="00D708D6" w:rsidRPr="00D708D6">
          <w:rPr>
            <w:rStyle w:val="Hyperlien"/>
            <w:noProof/>
            <w:sz w:val="22"/>
            <w:szCs w:val="22"/>
          </w:rPr>
          <w:t xml:space="preserve">Tableau 3 : </w:t>
        </w:r>
        <w:r w:rsidR="00D708D6" w:rsidRPr="00D708D6">
          <w:rPr>
            <w:rStyle w:val="Hyperlien"/>
            <w:noProof/>
            <w:sz w:val="22"/>
            <w:szCs w:val="22"/>
            <w:lang w:val="fr-SN"/>
          </w:rPr>
          <w:t>Structure de consommation (en %) vêtements et chaussures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_Toc180927597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26</w:t>
        </w:r>
        <w:r w:rsidR="00D708D6" w:rsidRPr="00D708D6">
          <w:rPr>
            <w:noProof/>
            <w:webHidden/>
            <w:sz w:val="22"/>
            <w:szCs w:val="22"/>
          </w:rPr>
          <w:fldChar w:fldCharType="end"/>
        </w:r>
      </w:hyperlink>
    </w:p>
    <w:p w14:paraId="1514CA40" w14:textId="69F699F8" w:rsidR="00D708D6" w:rsidRPr="00D708D6" w:rsidRDefault="00000000">
      <w:pPr>
        <w:pStyle w:val="Tabledesillustrations"/>
        <w:tabs>
          <w:tab w:val="right" w:leader="underscore" w:pos="9350"/>
        </w:tabs>
        <w:rPr>
          <w:i w:val="0"/>
          <w:iCs w:val="0"/>
          <w:noProof/>
          <w:sz w:val="28"/>
          <w:szCs w:val="28"/>
          <w:lang w:val="fr-SN" w:eastAsia="fr-SN"/>
        </w:rPr>
      </w:pPr>
      <w:hyperlink w:anchor="_Toc180927598" w:history="1">
        <w:r w:rsidR="00D708D6" w:rsidRPr="00D708D6">
          <w:rPr>
            <w:rStyle w:val="Hyperlien"/>
            <w:noProof/>
            <w:sz w:val="22"/>
            <w:szCs w:val="22"/>
          </w:rPr>
          <w:t xml:space="preserve">Tableau 4 : </w:t>
        </w:r>
        <w:r w:rsidR="00D708D6" w:rsidRPr="00D708D6">
          <w:rPr>
            <w:rStyle w:val="Hyperlien"/>
            <w:noProof/>
            <w:sz w:val="22"/>
            <w:szCs w:val="22"/>
            <w:lang w:val="fr-SN"/>
          </w:rPr>
          <w:t>Structure de consommation (en %) logement, eau, électricité, gaz et autres combustibles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_Toc180927598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27</w:t>
        </w:r>
        <w:r w:rsidR="00D708D6" w:rsidRPr="00D708D6">
          <w:rPr>
            <w:noProof/>
            <w:webHidden/>
            <w:sz w:val="22"/>
            <w:szCs w:val="22"/>
          </w:rPr>
          <w:fldChar w:fldCharType="end"/>
        </w:r>
      </w:hyperlink>
    </w:p>
    <w:p w14:paraId="599FC740" w14:textId="53A5805F" w:rsidR="00D708D6" w:rsidRPr="00D708D6" w:rsidRDefault="00000000">
      <w:pPr>
        <w:pStyle w:val="Tabledesillustrations"/>
        <w:tabs>
          <w:tab w:val="right" w:leader="underscore" w:pos="9350"/>
        </w:tabs>
        <w:rPr>
          <w:i w:val="0"/>
          <w:iCs w:val="0"/>
          <w:noProof/>
          <w:sz w:val="28"/>
          <w:szCs w:val="28"/>
          <w:lang w:val="fr-SN" w:eastAsia="fr-SN"/>
        </w:rPr>
      </w:pPr>
      <w:hyperlink w:anchor="_Toc180927599" w:history="1">
        <w:r w:rsidR="00D708D6" w:rsidRPr="00D708D6">
          <w:rPr>
            <w:rStyle w:val="Hyperlien"/>
            <w:noProof/>
            <w:sz w:val="22"/>
            <w:szCs w:val="22"/>
          </w:rPr>
          <w:t xml:space="preserve">Tableau 5 : </w:t>
        </w:r>
        <w:r w:rsidR="00D708D6" w:rsidRPr="00D708D6">
          <w:rPr>
            <w:rStyle w:val="Hyperlien"/>
            <w:noProof/>
            <w:sz w:val="22"/>
            <w:szCs w:val="22"/>
            <w:lang w:val="fr-SN"/>
          </w:rPr>
          <w:t>Structure de consommation (en %) ameublement, équipement ménager et entretien courant du ménage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_Toc180927599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29</w:t>
        </w:r>
        <w:r w:rsidR="00D708D6" w:rsidRPr="00D708D6">
          <w:rPr>
            <w:noProof/>
            <w:webHidden/>
            <w:sz w:val="22"/>
            <w:szCs w:val="22"/>
          </w:rPr>
          <w:fldChar w:fldCharType="end"/>
        </w:r>
      </w:hyperlink>
    </w:p>
    <w:p w14:paraId="61ABBF76" w14:textId="5750393A" w:rsidR="00D708D6" w:rsidRPr="00D708D6" w:rsidRDefault="00000000">
      <w:pPr>
        <w:pStyle w:val="Tabledesillustrations"/>
        <w:tabs>
          <w:tab w:val="right" w:leader="underscore" w:pos="9350"/>
        </w:tabs>
        <w:rPr>
          <w:i w:val="0"/>
          <w:iCs w:val="0"/>
          <w:noProof/>
          <w:sz w:val="28"/>
          <w:szCs w:val="28"/>
          <w:lang w:val="fr-SN" w:eastAsia="fr-SN"/>
        </w:rPr>
      </w:pPr>
      <w:hyperlink w:anchor="_Toc180927600" w:history="1">
        <w:r w:rsidR="00D708D6" w:rsidRPr="00D708D6">
          <w:rPr>
            <w:rStyle w:val="Hyperlien"/>
            <w:noProof/>
            <w:sz w:val="22"/>
            <w:szCs w:val="22"/>
          </w:rPr>
          <w:t xml:space="preserve">Tableau 6 : </w:t>
        </w:r>
        <w:r w:rsidR="00D708D6" w:rsidRPr="00D708D6">
          <w:rPr>
            <w:rStyle w:val="Hyperlien"/>
            <w:noProof/>
            <w:sz w:val="22"/>
            <w:szCs w:val="22"/>
            <w:lang w:val="fr-SN"/>
          </w:rPr>
          <w:t>Structure de consommation (en %) en dépense de santé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_Toc180927600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30</w:t>
        </w:r>
        <w:r w:rsidR="00D708D6" w:rsidRPr="00D708D6">
          <w:rPr>
            <w:noProof/>
            <w:webHidden/>
            <w:sz w:val="22"/>
            <w:szCs w:val="22"/>
          </w:rPr>
          <w:fldChar w:fldCharType="end"/>
        </w:r>
      </w:hyperlink>
    </w:p>
    <w:p w14:paraId="14DCEA36" w14:textId="7414D95D" w:rsidR="00D708D6" w:rsidRPr="00D708D6" w:rsidRDefault="00000000">
      <w:pPr>
        <w:pStyle w:val="Tabledesillustrations"/>
        <w:tabs>
          <w:tab w:val="right" w:leader="underscore" w:pos="9350"/>
        </w:tabs>
        <w:rPr>
          <w:i w:val="0"/>
          <w:iCs w:val="0"/>
          <w:noProof/>
          <w:sz w:val="28"/>
          <w:szCs w:val="28"/>
          <w:lang w:val="fr-SN" w:eastAsia="fr-SN"/>
        </w:rPr>
      </w:pPr>
      <w:hyperlink w:anchor="_Toc180927601" w:history="1">
        <w:r w:rsidR="00D708D6" w:rsidRPr="00D708D6">
          <w:rPr>
            <w:rStyle w:val="Hyperlien"/>
            <w:noProof/>
            <w:sz w:val="22"/>
            <w:szCs w:val="22"/>
          </w:rPr>
          <w:t xml:space="preserve">Tableau 7 : </w:t>
        </w:r>
        <w:r w:rsidR="00D708D6" w:rsidRPr="00D708D6">
          <w:rPr>
            <w:rStyle w:val="Hyperlien"/>
            <w:noProof/>
            <w:sz w:val="22"/>
            <w:szCs w:val="22"/>
            <w:lang w:val="fr-SN"/>
          </w:rPr>
          <w:t>Structure de consommation (en %) en transport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_Toc180927601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32</w:t>
        </w:r>
        <w:r w:rsidR="00D708D6" w:rsidRPr="00D708D6">
          <w:rPr>
            <w:noProof/>
            <w:webHidden/>
            <w:sz w:val="22"/>
            <w:szCs w:val="22"/>
          </w:rPr>
          <w:fldChar w:fldCharType="end"/>
        </w:r>
      </w:hyperlink>
    </w:p>
    <w:p w14:paraId="7A11D302" w14:textId="634DEC8D" w:rsidR="00D708D6" w:rsidRPr="00D708D6" w:rsidRDefault="00000000">
      <w:pPr>
        <w:pStyle w:val="Tabledesillustrations"/>
        <w:tabs>
          <w:tab w:val="right" w:leader="underscore" w:pos="9350"/>
        </w:tabs>
        <w:rPr>
          <w:i w:val="0"/>
          <w:iCs w:val="0"/>
          <w:noProof/>
          <w:sz w:val="28"/>
          <w:szCs w:val="28"/>
          <w:lang w:val="fr-SN" w:eastAsia="fr-SN"/>
        </w:rPr>
      </w:pPr>
      <w:hyperlink w:anchor="_Toc180927602" w:history="1">
        <w:r w:rsidR="00D708D6" w:rsidRPr="00D708D6">
          <w:rPr>
            <w:rStyle w:val="Hyperlien"/>
            <w:noProof/>
            <w:sz w:val="22"/>
            <w:szCs w:val="22"/>
          </w:rPr>
          <w:t xml:space="preserve">Tableau 8 : </w:t>
        </w:r>
        <w:r w:rsidR="00D708D6" w:rsidRPr="00D708D6">
          <w:rPr>
            <w:rStyle w:val="Hyperlien"/>
            <w:noProof/>
            <w:sz w:val="22"/>
            <w:szCs w:val="22"/>
            <w:lang w:val="fr-SN"/>
          </w:rPr>
          <w:t>Structure de consommation (en %) informations et communication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_Toc180927602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33</w:t>
        </w:r>
        <w:r w:rsidR="00D708D6" w:rsidRPr="00D708D6">
          <w:rPr>
            <w:noProof/>
            <w:webHidden/>
            <w:sz w:val="22"/>
            <w:szCs w:val="22"/>
          </w:rPr>
          <w:fldChar w:fldCharType="end"/>
        </w:r>
      </w:hyperlink>
    </w:p>
    <w:p w14:paraId="18D8F92D" w14:textId="187AAB4D" w:rsidR="00D708D6" w:rsidRPr="00D708D6" w:rsidRDefault="00000000">
      <w:pPr>
        <w:pStyle w:val="Tabledesillustrations"/>
        <w:tabs>
          <w:tab w:val="right" w:leader="underscore" w:pos="9350"/>
        </w:tabs>
        <w:rPr>
          <w:i w:val="0"/>
          <w:iCs w:val="0"/>
          <w:noProof/>
          <w:sz w:val="28"/>
          <w:szCs w:val="28"/>
          <w:lang w:val="fr-SN" w:eastAsia="fr-SN"/>
        </w:rPr>
      </w:pPr>
      <w:hyperlink w:anchor="_Toc180927603" w:history="1">
        <w:r w:rsidR="00D708D6" w:rsidRPr="00D708D6">
          <w:rPr>
            <w:rStyle w:val="Hyperlien"/>
            <w:noProof/>
            <w:sz w:val="22"/>
            <w:szCs w:val="22"/>
          </w:rPr>
          <w:t xml:space="preserve">Tableau 9 : </w:t>
        </w:r>
        <w:r w:rsidR="00D708D6" w:rsidRPr="00D708D6">
          <w:rPr>
            <w:rStyle w:val="Hyperlien"/>
            <w:noProof/>
            <w:sz w:val="22"/>
            <w:szCs w:val="22"/>
            <w:lang w:val="fr-SN"/>
          </w:rPr>
          <w:t>Structure de consommation (en %) des dépenses en loisirs, sport et culture entre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_Toc180927603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35</w:t>
        </w:r>
        <w:r w:rsidR="00D708D6" w:rsidRPr="00D708D6">
          <w:rPr>
            <w:noProof/>
            <w:webHidden/>
            <w:sz w:val="22"/>
            <w:szCs w:val="22"/>
          </w:rPr>
          <w:fldChar w:fldCharType="end"/>
        </w:r>
      </w:hyperlink>
    </w:p>
    <w:p w14:paraId="56DBFA27" w14:textId="6C103C59" w:rsidR="00D708D6" w:rsidRPr="00D708D6" w:rsidRDefault="00000000">
      <w:pPr>
        <w:pStyle w:val="Tabledesillustrations"/>
        <w:tabs>
          <w:tab w:val="right" w:leader="underscore" w:pos="9350"/>
        </w:tabs>
        <w:rPr>
          <w:i w:val="0"/>
          <w:iCs w:val="0"/>
          <w:noProof/>
          <w:sz w:val="28"/>
          <w:szCs w:val="28"/>
          <w:lang w:val="fr-SN" w:eastAsia="fr-SN"/>
        </w:rPr>
      </w:pPr>
      <w:hyperlink w:anchor="_Toc180927604" w:history="1">
        <w:r w:rsidR="00D708D6" w:rsidRPr="00D708D6">
          <w:rPr>
            <w:rStyle w:val="Hyperlien"/>
            <w:noProof/>
            <w:sz w:val="22"/>
            <w:szCs w:val="22"/>
          </w:rPr>
          <w:t xml:space="preserve">Tableau 10 :  </w:t>
        </w:r>
        <w:r w:rsidR="00D708D6" w:rsidRPr="00D708D6">
          <w:rPr>
            <w:rStyle w:val="Hyperlien"/>
            <w:noProof/>
            <w:sz w:val="22"/>
            <w:szCs w:val="22"/>
            <w:lang w:val="fr-SN"/>
          </w:rPr>
          <w:t>Structure de consommation (en %) des dépenses en services d’enseignement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_Toc180927604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37</w:t>
        </w:r>
        <w:r w:rsidR="00D708D6" w:rsidRPr="00D708D6">
          <w:rPr>
            <w:noProof/>
            <w:webHidden/>
            <w:sz w:val="22"/>
            <w:szCs w:val="22"/>
          </w:rPr>
          <w:fldChar w:fldCharType="end"/>
        </w:r>
      </w:hyperlink>
    </w:p>
    <w:p w14:paraId="50189CF5" w14:textId="74765F9E" w:rsidR="00D708D6" w:rsidRPr="00D708D6" w:rsidRDefault="00000000">
      <w:pPr>
        <w:pStyle w:val="Tabledesillustrations"/>
        <w:tabs>
          <w:tab w:val="right" w:leader="underscore" w:pos="9350"/>
        </w:tabs>
        <w:rPr>
          <w:i w:val="0"/>
          <w:iCs w:val="0"/>
          <w:noProof/>
          <w:sz w:val="28"/>
          <w:szCs w:val="28"/>
          <w:lang w:val="fr-SN" w:eastAsia="fr-SN"/>
        </w:rPr>
      </w:pPr>
      <w:hyperlink w:anchor="_Toc180927605" w:history="1">
        <w:r w:rsidR="00D708D6" w:rsidRPr="00D708D6">
          <w:rPr>
            <w:rStyle w:val="Hyperlien"/>
            <w:noProof/>
            <w:sz w:val="22"/>
            <w:szCs w:val="22"/>
          </w:rPr>
          <w:t xml:space="preserve">Tableau 11 : </w:t>
        </w:r>
        <w:r w:rsidR="00D708D6" w:rsidRPr="00D708D6">
          <w:rPr>
            <w:rStyle w:val="Hyperlien"/>
            <w:noProof/>
            <w:sz w:val="22"/>
            <w:szCs w:val="22"/>
            <w:lang w:val="fr-SN"/>
          </w:rPr>
          <w:t>Structure de consommation (en %) restaurants et services d’hébergement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_Toc180927605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38</w:t>
        </w:r>
        <w:r w:rsidR="00D708D6" w:rsidRPr="00D708D6">
          <w:rPr>
            <w:noProof/>
            <w:webHidden/>
            <w:sz w:val="22"/>
            <w:szCs w:val="22"/>
          </w:rPr>
          <w:fldChar w:fldCharType="end"/>
        </w:r>
      </w:hyperlink>
    </w:p>
    <w:p w14:paraId="5B4A4755" w14:textId="1B6FA15A" w:rsidR="00D708D6" w:rsidRPr="00D708D6" w:rsidRDefault="00000000">
      <w:pPr>
        <w:pStyle w:val="Tabledesillustrations"/>
        <w:tabs>
          <w:tab w:val="right" w:leader="underscore" w:pos="9350"/>
        </w:tabs>
        <w:rPr>
          <w:i w:val="0"/>
          <w:iCs w:val="0"/>
          <w:noProof/>
          <w:sz w:val="28"/>
          <w:szCs w:val="28"/>
          <w:lang w:val="fr-SN" w:eastAsia="fr-SN"/>
        </w:rPr>
      </w:pPr>
      <w:hyperlink w:anchor="_Toc180927606" w:history="1">
        <w:r w:rsidR="00D708D6" w:rsidRPr="00D708D6">
          <w:rPr>
            <w:rStyle w:val="Hyperlien"/>
            <w:noProof/>
            <w:sz w:val="22"/>
            <w:szCs w:val="22"/>
          </w:rPr>
          <w:t xml:space="preserve">Tableau 12 : </w:t>
        </w:r>
        <w:r w:rsidR="00D708D6" w:rsidRPr="00D708D6">
          <w:rPr>
            <w:rStyle w:val="Hyperlien"/>
            <w:noProof/>
            <w:sz w:val="22"/>
            <w:szCs w:val="22"/>
            <w:lang w:val="fr-SN"/>
          </w:rPr>
          <w:t>Structure de consommation (en %) des dépenses en assurances et services financiers ; soins personnels, protection sociale et biens divers 2014 et 2021</w:t>
        </w:r>
        <w:r w:rsidR="00D708D6" w:rsidRPr="00D708D6">
          <w:rPr>
            <w:noProof/>
            <w:webHidden/>
            <w:sz w:val="22"/>
            <w:szCs w:val="22"/>
          </w:rPr>
          <w:tab/>
        </w:r>
        <w:r w:rsidR="00D708D6" w:rsidRPr="00D708D6">
          <w:rPr>
            <w:noProof/>
            <w:webHidden/>
            <w:sz w:val="22"/>
            <w:szCs w:val="22"/>
          </w:rPr>
          <w:fldChar w:fldCharType="begin"/>
        </w:r>
        <w:r w:rsidR="00D708D6" w:rsidRPr="00D708D6">
          <w:rPr>
            <w:noProof/>
            <w:webHidden/>
            <w:sz w:val="22"/>
            <w:szCs w:val="22"/>
          </w:rPr>
          <w:instrText xml:space="preserve"> PAGEREF _Toc180927606 \h </w:instrText>
        </w:r>
        <w:r w:rsidR="00D708D6" w:rsidRPr="00D708D6">
          <w:rPr>
            <w:noProof/>
            <w:webHidden/>
            <w:sz w:val="22"/>
            <w:szCs w:val="22"/>
          </w:rPr>
        </w:r>
        <w:r w:rsidR="00D708D6" w:rsidRPr="00D708D6">
          <w:rPr>
            <w:noProof/>
            <w:webHidden/>
            <w:sz w:val="22"/>
            <w:szCs w:val="22"/>
          </w:rPr>
          <w:fldChar w:fldCharType="separate"/>
        </w:r>
        <w:r w:rsidR="00427D57">
          <w:rPr>
            <w:noProof/>
            <w:webHidden/>
            <w:sz w:val="22"/>
            <w:szCs w:val="22"/>
          </w:rPr>
          <w:t>40</w:t>
        </w:r>
        <w:r w:rsidR="00D708D6" w:rsidRPr="00D708D6">
          <w:rPr>
            <w:noProof/>
            <w:webHidden/>
            <w:sz w:val="22"/>
            <w:szCs w:val="22"/>
          </w:rPr>
          <w:fldChar w:fldCharType="end"/>
        </w:r>
      </w:hyperlink>
    </w:p>
    <w:p w14:paraId="4922C587" w14:textId="4B9F6A09" w:rsidR="00747953" w:rsidRDefault="00D708D6">
      <w:r>
        <w:fldChar w:fldCharType="end"/>
      </w:r>
      <w:r w:rsidR="00747953">
        <w:br w:type="page"/>
      </w:r>
    </w:p>
    <w:p w14:paraId="19CAD96C" w14:textId="3CFEF13E" w:rsidR="00D708D6" w:rsidRDefault="00D708D6">
      <w:pPr>
        <w:pStyle w:val="Tabledesillustrations"/>
        <w:tabs>
          <w:tab w:val="right" w:leader="underscore" w:pos="9350"/>
        </w:tabs>
        <w:rPr>
          <w:rFonts w:eastAsiaTheme="majorEastAsia" w:cstheme="majorBidi"/>
          <w:bCs/>
          <w:i w:val="0"/>
          <w:iCs w:val="0"/>
          <w:color w:val="365F91" w:themeColor="accent1" w:themeShade="BF"/>
          <w:sz w:val="32"/>
          <w:szCs w:val="28"/>
        </w:rPr>
      </w:pPr>
    </w:p>
    <w:p w14:paraId="23C76ECA" w14:textId="5902D488" w:rsidR="00D708D6" w:rsidRPr="00D708D6" w:rsidRDefault="00D708D6" w:rsidP="00A47DD6">
      <w:pPr>
        <w:pStyle w:val="Titre1"/>
      </w:pPr>
      <w:bookmarkStart w:id="27" w:name="_Toc182735150"/>
      <w:bookmarkStart w:id="28" w:name="_Toc182822554"/>
      <w:r w:rsidRPr="00D708D6">
        <w:t xml:space="preserve">Liste des </w:t>
      </w:r>
      <w:r>
        <w:t>Graphiques</w:t>
      </w:r>
      <w:bookmarkEnd w:id="27"/>
      <w:bookmarkEnd w:id="28"/>
    </w:p>
    <w:p w14:paraId="11E4B987" w14:textId="6D699DED" w:rsidR="00D708D6" w:rsidRDefault="00D708D6">
      <w:pPr>
        <w:pStyle w:val="Tabledesillustrations"/>
        <w:tabs>
          <w:tab w:val="right" w:leader="underscore" w:pos="9350"/>
        </w:tabs>
        <w:rPr>
          <w:i w:val="0"/>
          <w:iCs w:val="0"/>
          <w:noProof/>
          <w:sz w:val="24"/>
          <w:szCs w:val="24"/>
          <w:lang w:val="fr-SN" w:eastAsia="fr-SN"/>
        </w:rPr>
      </w:pPr>
      <w:r>
        <w:rPr>
          <w:rFonts w:eastAsiaTheme="majorEastAsia" w:cstheme="majorBidi"/>
          <w:bCs/>
          <w:color w:val="365F91" w:themeColor="accent1" w:themeShade="BF"/>
          <w:sz w:val="32"/>
          <w:szCs w:val="28"/>
        </w:rPr>
        <w:fldChar w:fldCharType="begin"/>
      </w:r>
      <w:r>
        <w:rPr>
          <w:rFonts w:eastAsiaTheme="majorEastAsia" w:cstheme="majorBidi"/>
          <w:bCs/>
          <w:color w:val="365F91" w:themeColor="accent1" w:themeShade="BF"/>
          <w:sz w:val="32"/>
          <w:szCs w:val="28"/>
        </w:rPr>
        <w:instrText xml:space="preserve"> TOC \h \z \c "Graphique" </w:instrText>
      </w:r>
      <w:r>
        <w:rPr>
          <w:rFonts w:eastAsiaTheme="majorEastAsia" w:cstheme="majorBidi"/>
          <w:bCs/>
          <w:color w:val="365F91" w:themeColor="accent1" w:themeShade="BF"/>
          <w:sz w:val="32"/>
          <w:szCs w:val="28"/>
        </w:rPr>
        <w:fldChar w:fldCharType="separate"/>
      </w:r>
      <w:hyperlink w:anchor="_Toc180927673" w:history="1">
        <w:r w:rsidRPr="007057EF">
          <w:rPr>
            <w:rStyle w:val="Hyperlien"/>
            <w:noProof/>
          </w:rPr>
          <w:t>Graphique 1 : Pondération des divisions en 2014</w:t>
        </w:r>
        <w:r>
          <w:rPr>
            <w:noProof/>
            <w:webHidden/>
          </w:rPr>
          <w:tab/>
        </w:r>
        <w:r>
          <w:rPr>
            <w:noProof/>
            <w:webHidden/>
          </w:rPr>
          <w:fldChar w:fldCharType="begin"/>
        </w:r>
        <w:r>
          <w:rPr>
            <w:noProof/>
            <w:webHidden/>
          </w:rPr>
          <w:instrText xml:space="preserve"> PAGEREF _Toc180927673 \h </w:instrText>
        </w:r>
        <w:r>
          <w:rPr>
            <w:noProof/>
            <w:webHidden/>
          </w:rPr>
        </w:r>
        <w:r>
          <w:rPr>
            <w:noProof/>
            <w:webHidden/>
          </w:rPr>
          <w:fldChar w:fldCharType="separate"/>
        </w:r>
        <w:r w:rsidR="00427D57">
          <w:rPr>
            <w:noProof/>
            <w:webHidden/>
          </w:rPr>
          <w:t>20</w:t>
        </w:r>
        <w:r>
          <w:rPr>
            <w:noProof/>
            <w:webHidden/>
          </w:rPr>
          <w:fldChar w:fldCharType="end"/>
        </w:r>
      </w:hyperlink>
    </w:p>
    <w:p w14:paraId="0EAE19C8" w14:textId="3028F71F" w:rsidR="00D708D6" w:rsidRDefault="00000000">
      <w:pPr>
        <w:pStyle w:val="Tabledesillustrations"/>
        <w:tabs>
          <w:tab w:val="right" w:leader="underscore" w:pos="9350"/>
        </w:tabs>
        <w:rPr>
          <w:i w:val="0"/>
          <w:iCs w:val="0"/>
          <w:noProof/>
          <w:sz w:val="24"/>
          <w:szCs w:val="24"/>
          <w:lang w:val="fr-SN" w:eastAsia="fr-SN"/>
        </w:rPr>
      </w:pPr>
      <w:hyperlink w:anchor="_Toc180927674" w:history="1">
        <w:r w:rsidR="00D708D6" w:rsidRPr="007057EF">
          <w:rPr>
            <w:rStyle w:val="Hyperlien"/>
            <w:noProof/>
          </w:rPr>
          <w:t xml:space="preserve">Graphique 2 : Pondération des divisions en </w:t>
        </w:r>
        <w:r w:rsidR="004A5619">
          <w:rPr>
            <w:rStyle w:val="Hyperlien"/>
            <w:noProof/>
          </w:rPr>
          <w:t>2021</w:t>
        </w:r>
        <w:r w:rsidR="00D708D6">
          <w:rPr>
            <w:noProof/>
            <w:webHidden/>
          </w:rPr>
          <w:tab/>
        </w:r>
        <w:r w:rsidR="00D708D6">
          <w:rPr>
            <w:noProof/>
            <w:webHidden/>
          </w:rPr>
          <w:fldChar w:fldCharType="begin"/>
        </w:r>
        <w:r w:rsidR="00D708D6">
          <w:rPr>
            <w:noProof/>
            <w:webHidden/>
          </w:rPr>
          <w:instrText xml:space="preserve"> PAGEREF _Toc180927674 \h </w:instrText>
        </w:r>
        <w:r w:rsidR="00D708D6">
          <w:rPr>
            <w:noProof/>
            <w:webHidden/>
          </w:rPr>
        </w:r>
        <w:r w:rsidR="00D708D6">
          <w:rPr>
            <w:noProof/>
            <w:webHidden/>
          </w:rPr>
          <w:fldChar w:fldCharType="separate"/>
        </w:r>
        <w:r w:rsidR="00427D57">
          <w:rPr>
            <w:noProof/>
            <w:webHidden/>
          </w:rPr>
          <w:t>21</w:t>
        </w:r>
        <w:r w:rsidR="00D708D6">
          <w:rPr>
            <w:noProof/>
            <w:webHidden/>
          </w:rPr>
          <w:fldChar w:fldCharType="end"/>
        </w:r>
      </w:hyperlink>
    </w:p>
    <w:p w14:paraId="481FC7CD" w14:textId="5F523A0F" w:rsidR="00D708D6" w:rsidRDefault="00000000">
      <w:pPr>
        <w:pStyle w:val="Tabledesillustrations"/>
        <w:tabs>
          <w:tab w:val="right" w:leader="underscore" w:pos="9350"/>
        </w:tabs>
        <w:rPr>
          <w:i w:val="0"/>
          <w:iCs w:val="0"/>
          <w:noProof/>
          <w:sz w:val="24"/>
          <w:szCs w:val="24"/>
          <w:lang w:val="fr-SN" w:eastAsia="fr-SN"/>
        </w:rPr>
      </w:pPr>
      <w:hyperlink w:anchor="_Toc180927675" w:history="1">
        <w:r w:rsidR="00D708D6" w:rsidRPr="007057EF">
          <w:rPr>
            <w:rStyle w:val="Hyperlien"/>
            <w:noProof/>
          </w:rPr>
          <w:t>Graphique 3 : Comparaison pondérations 2014-</w:t>
        </w:r>
        <w:r w:rsidR="004A5619">
          <w:rPr>
            <w:rStyle w:val="Hyperlien"/>
            <w:noProof/>
          </w:rPr>
          <w:t>2021</w:t>
        </w:r>
        <w:r w:rsidR="00D708D6">
          <w:rPr>
            <w:noProof/>
            <w:webHidden/>
          </w:rPr>
          <w:tab/>
        </w:r>
        <w:r w:rsidR="00D708D6">
          <w:rPr>
            <w:noProof/>
            <w:webHidden/>
          </w:rPr>
          <w:fldChar w:fldCharType="begin"/>
        </w:r>
        <w:r w:rsidR="00D708D6">
          <w:rPr>
            <w:noProof/>
            <w:webHidden/>
          </w:rPr>
          <w:instrText xml:space="preserve"> PAGEREF _Toc180927675 \h </w:instrText>
        </w:r>
        <w:r w:rsidR="00D708D6">
          <w:rPr>
            <w:noProof/>
            <w:webHidden/>
          </w:rPr>
        </w:r>
        <w:r w:rsidR="00D708D6">
          <w:rPr>
            <w:noProof/>
            <w:webHidden/>
          </w:rPr>
          <w:fldChar w:fldCharType="separate"/>
        </w:r>
        <w:r w:rsidR="00427D57">
          <w:rPr>
            <w:noProof/>
            <w:webHidden/>
          </w:rPr>
          <w:t>22</w:t>
        </w:r>
        <w:r w:rsidR="00D708D6">
          <w:rPr>
            <w:noProof/>
            <w:webHidden/>
          </w:rPr>
          <w:fldChar w:fldCharType="end"/>
        </w:r>
      </w:hyperlink>
    </w:p>
    <w:p w14:paraId="1A40C0DF" w14:textId="012F687B" w:rsidR="00A47DD6" w:rsidRDefault="00D708D6">
      <w:pPr>
        <w:spacing w:after="200" w:line="276" w:lineRule="auto"/>
        <w:rPr>
          <w:rFonts w:eastAsiaTheme="majorEastAsia" w:cstheme="majorBidi"/>
          <w:bCs/>
          <w:color w:val="365F91" w:themeColor="accent1" w:themeShade="BF"/>
          <w:sz w:val="32"/>
          <w:szCs w:val="28"/>
        </w:rPr>
      </w:pPr>
      <w:r>
        <w:rPr>
          <w:rFonts w:eastAsiaTheme="majorEastAsia" w:cstheme="majorBidi"/>
          <w:bCs/>
          <w:color w:val="365F91" w:themeColor="accent1" w:themeShade="BF"/>
          <w:sz w:val="32"/>
          <w:szCs w:val="28"/>
        </w:rPr>
        <w:fldChar w:fldCharType="end"/>
      </w:r>
      <w:r>
        <w:rPr>
          <w:rFonts w:eastAsiaTheme="majorEastAsia" w:cstheme="majorBidi"/>
          <w:bCs/>
          <w:color w:val="365F91" w:themeColor="accent1" w:themeShade="BF"/>
          <w:sz w:val="32"/>
          <w:szCs w:val="28"/>
        </w:rPr>
        <w:br w:type="page"/>
      </w:r>
    </w:p>
    <w:p w14:paraId="232E0156" w14:textId="77777777" w:rsidR="002D28BF" w:rsidRDefault="00A47DD6" w:rsidP="003F3638">
      <w:pPr>
        <w:pStyle w:val="Titre1"/>
      </w:pPr>
      <w:bookmarkStart w:id="29" w:name="_Toc182735151"/>
      <w:bookmarkStart w:id="30" w:name="_Toc182822555"/>
      <w:r>
        <w:t>Résumé</w:t>
      </w:r>
      <w:bookmarkEnd w:id="29"/>
      <w:bookmarkEnd w:id="30"/>
    </w:p>
    <w:p w14:paraId="175F6B51" w14:textId="77777777" w:rsidR="00B90B43" w:rsidRDefault="00B90B43" w:rsidP="00B90B43"/>
    <w:p w14:paraId="4059EA60" w14:textId="000258E1" w:rsidR="00B90B43" w:rsidRDefault="00B90B43" w:rsidP="00B90B43">
      <w:r w:rsidRPr="00B90B43">
        <w:t xml:space="preserve">Cette étude vise à examiner les changements dans les pondérations de l’Indice Harmonisé des Prix à la Consommation (IHPC) au Sénégal entre 2014 et </w:t>
      </w:r>
      <w:r w:rsidR="00023158">
        <w:t>2021</w:t>
      </w:r>
      <w:r w:rsidRPr="00B90B43">
        <w:t xml:space="preserve">, en mettant en évidence les facteurs économiques et sociaux à l’origine de ces évolutions et en analysant leurs répercussions sur la mesure de l’inflation. </w:t>
      </w:r>
    </w:p>
    <w:p w14:paraId="1625E010" w14:textId="7F10A31A" w:rsidR="00B90B43" w:rsidRPr="00B90B43" w:rsidRDefault="00B90B43" w:rsidP="00B90B43">
      <w:pPr>
        <w:rPr>
          <w:lang w:val="fr-SN"/>
        </w:rPr>
      </w:pPr>
      <w:r w:rsidRPr="00B90B43">
        <w:rPr>
          <w:lang w:val="fr-SN"/>
        </w:rPr>
        <w:t>Les résultats montrent des évolutions notables dans les habitudes de consommation des ménages. D’une part, la part des dépenses alimentaires et boissons non alcoolisées a diminué</w:t>
      </w:r>
      <w:r w:rsidR="00881B1C">
        <w:rPr>
          <w:lang w:val="fr-SN"/>
        </w:rPr>
        <w:t xml:space="preserve"> passant de 49,6% en 2014 à 45,47% en </w:t>
      </w:r>
      <w:r w:rsidR="00023158">
        <w:rPr>
          <w:lang w:val="fr-SN"/>
        </w:rPr>
        <w:t>2021</w:t>
      </w:r>
      <w:r w:rsidRPr="00B90B43">
        <w:rPr>
          <w:lang w:val="fr-SN"/>
        </w:rPr>
        <w:t>. Cette baisse reflète une diversification des dépenses des ménages, qui allouent une part croissante de leurs ressources à d’autres catégories. Par exemple, les services de restauration et d’hébergement ont enregistré une progression remarquable, leur pondération passant de 3,76 % à 9,</w:t>
      </w:r>
      <w:r w:rsidR="00881B1C">
        <w:rPr>
          <w:lang w:val="fr-SN"/>
        </w:rPr>
        <w:t>20</w:t>
      </w:r>
      <w:r w:rsidRPr="00B90B43">
        <w:rPr>
          <w:lang w:val="fr-SN"/>
        </w:rPr>
        <w:t xml:space="preserve"> %, témoignant d’une tendance accrue à consommer en dehors des foyers. De même, les services d’information et de communication ont vu leur importance dans le panier des ménages doubler, atteignant 7,</w:t>
      </w:r>
      <w:r w:rsidR="00881B1C">
        <w:rPr>
          <w:lang w:val="fr-SN"/>
        </w:rPr>
        <w:t>46</w:t>
      </w:r>
      <w:r w:rsidRPr="00B90B43">
        <w:rPr>
          <w:lang w:val="fr-SN"/>
        </w:rPr>
        <w:t xml:space="preserve"> % en </w:t>
      </w:r>
      <w:r w:rsidR="00023158">
        <w:rPr>
          <w:lang w:val="fr-SN"/>
        </w:rPr>
        <w:t>2021</w:t>
      </w:r>
      <w:r w:rsidRPr="00B90B43">
        <w:rPr>
          <w:lang w:val="fr-SN"/>
        </w:rPr>
        <w:t>, indiquant une adoption croissante des technologies numériques et des outils de communication.</w:t>
      </w:r>
    </w:p>
    <w:p w14:paraId="46117F35" w14:textId="209061FE" w:rsidR="00B90B43" w:rsidRPr="00B90B43" w:rsidRDefault="00B90B43" w:rsidP="00B90B43">
      <w:pPr>
        <w:rPr>
          <w:lang w:val="fr-SN"/>
        </w:rPr>
      </w:pPr>
      <w:r w:rsidRPr="00B90B43">
        <w:rPr>
          <w:lang w:val="fr-SN"/>
        </w:rPr>
        <w:t xml:space="preserve">D’autre part, certaines catégories ont vu leur pondération diminuer. Les vêtements et chaussures, par exemple, sont passés de 7,30 % à 4,77 %, traduisant </w:t>
      </w:r>
      <w:r>
        <w:rPr>
          <w:lang w:val="fr-SN"/>
        </w:rPr>
        <w:t>une baisse</w:t>
      </w:r>
      <w:r w:rsidRPr="00B90B43">
        <w:rPr>
          <w:lang w:val="fr-SN"/>
        </w:rPr>
        <w:t xml:space="preserve"> des dépenses dans ce domaine. Le logement, l’eau, l’électricité et les combustibles</w:t>
      </w:r>
      <w:r>
        <w:rPr>
          <w:lang w:val="fr-SN"/>
        </w:rPr>
        <w:t xml:space="preserve"> </w:t>
      </w:r>
      <w:r w:rsidRPr="00B90B43">
        <w:rPr>
          <w:lang w:val="fr-SN"/>
        </w:rPr>
        <w:t>ont également connu une baisse, passant de 12,04 % à 9,1</w:t>
      </w:r>
      <w:r w:rsidR="00881B1C">
        <w:rPr>
          <w:lang w:val="fr-SN"/>
        </w:rPr>
        <w:t>6</w:t>
      </w:r>
      <w:r w:rsidRPr="00B90B43">
        <w:rPr>
          <w:lang w:val="fr-SN"/>
        </w:rPr>
        <w:t xml:space="preserve"> %. Ces évolutions sont influencées par des facteurs tels que l’urbanisation croissante, le pouvoir d’achat amélioré (avec un PIB par habitant passant de 1 060 USD en 2014 à 1 540 USD en 2021, selon la Banque Mondiale),</w:t>
      </w:r>
      <w:r>
        <w:rPr>
          <w:lang w:val="fr-SN"/>
        </w:rPr>
        <w:t xml:space="preserve"> la hausse des importations de certains biens et services</w:t>
      </w:r>
      <w:r w:rsidRPr="00B90B43">
        <w:rPr>
          <w:lang w:val="fr-SN"/>
        </w:rPr>
        <w:t xml:space="preserve"> et les changements dans les modes de vie des ménages sénégalais</w:t>
      </w:r>
      <w:r w:rsidR="00C31D6A">
        <w:rPr>
          <w:lang w:val="fr-SN"/>
        </w:rPr>
        <w:t xml:space="preserve"> etc</w:t>
      </w:r>
      <w:r w:rsidRPr="00B90B43">
        <w:rPr>
          <w:lang w:val="fr-SN"/>
        </w:rPr>
        <w:t>.</w:t>
      </w:r>
    </w:p>
    <w:p w14:paraId="12C7D51C" w14:textId="18D97EA5" w:rsidR="00B90B43" w:rsidRPr="00B90B43" w:rsidRDefault="00C31D6A" w:rsidP="00B90B43">
      <w:pPr>
        <w:rPr>
          <w:lang w:val="fr-SN"/>
        </w:rPr>
        <w:sectPr w:rsidR="00B90B43" w:rsidRPr="00B90B43" w:rsidSect="00F4299F">
          <w:headerReference w:type="default" r:id="rId12"/>
          <w:pgSz w:w="12240" w:h="15840"/>
          <w:pgMar w:top="1440" w:right="1440" w:bottom="1440" w:left="1440" w:header="720" w:footer="720" w:gutter="0"/>
          <w:pgNumType w:start="1"/>
          <w:cols w:space="720"/>
          <w:docGrid w:linePitch="360"/>
        </w:sectPr>
      </w:pPr>
      <w:r w:rsidRPr="00C31D6A">
        <w:t xml:space="preserve">L’étude met </w:t>
      </w:r>
      <w:r>
        <w:t xml:space="preserve">également </w:t>
      </w:r>
      <w:r w:rsidRPr="00C31D6A">
        <w:t>en évidence l’importance des pondérations de l’IHPC dans la mesure de l’inflation, en reflétant la part relative des différentes catégories de biens et services dans les dépenses des ménages. Les produits à forte pondération, comme les aliments (45,</w:t>
      </w:r>
      <w:r w:rsidR="00881B1C">
        <w:t>4</w:t>
      </w:r>
      <w:r w:rsidRPr="00C31D6A">
        <w:t xml:space="preserve">7 % en </w:t>
      </w:r>
      <w:r w:rsidR="00023158">
        <w:t>2021</w:t>
      </w:r>
      <w:r w:rsidRPr="00C31D6A">
        <w:t xml:space="preserve">), influencent significativement l’inflation, tandis que les catégories à faible pondération, comme les assurances (0,1 %), ont un impact global limité mais peuvent affecter certains ménages de manière importante. </w:t>
      </w:r>
    </w:p>
    <w:p w14:paraId="4BD73522" w14:textId="77777777" w:rsidR="00747953" w:rsidRPr="003F3638" w:rsidRDefault="00747953" w:rsidP="003F3638"/>
    <w:p w14:paraId="36633148" w14:textId="2AB05111" w:rsidR="00C41B5B" w:rsidRDefault="00C41B5B" w:rsidP="003F3638">
      <w:pPr>
        <w:pStyle w:val="Titre1"/>
      </w:pPr>
      <w:bookmarkStart w:id="31" w:name="_Toc180927850"/>
      <w:bookmarkStart w:id="32" w:name="_Toc182735152"/>
      <w:bookmarkStart w:id="33" w:name="_Toc182822556"/>
      <w:r>
        <w:t>Introduction</w:t>
      </w:r>
      <w:bookmarkEnd w:id="31"/>
      <w:bookmarkEnd w:id="32"/>
      <w:bookmarkEnd w:id="33"/>
    </w:p>
    <w:p w14:paraId="249FB5AF" w14:textId="77777777" w:rsidR="00C41B5B" w:rsidRPr="00C41B5B" w:rsidRDefault="00C41B5B" w:rsidP="00C41B5B"/>
    <w:p w14:paraId="6D868523" w14:textId="2CAD8C14" w:rsidR="00AB0337" w:rsidRPr="00062B68" w:rsidRDefault="00AB0337" w:rsidP="00AB0337">
      <w:r w:rsidRPr="00062B68">
        <w:t xml:space="preserve">L’indice harmonisé des prix à la consommation (IHPC) est un outil statistique de référence </w:t>
      </w:r>
      <w:r>
        <w:t xml:space="preserve">qui permet, aux </w:t>
      </w:r>
      <w:r w:rsidRPr="00062B68">
        <w:t xml:space="preserve">pays membres de l'Union </w:t>
      </w:r>
      <w:r w:rsidR="00BD6EA0">
        <w:t>é</w:t>
      </w:r>
      <w:r w:rsidRPr="00062B68">
        <w:t xml:space="preserve">conomique et </w:t>
      </w:r>
      <w:r w:rsidR="00BD6EA0">
        <w:t>m</w:t>
      </w:r>
      <w:r w:rsidRPr="00062B68">
        <w:t>onétaire Ouest-Africaine (UEMOA)</w:t>
      </w:r>
      <w:r>
        <w:t xml:space="preserve">, de suivre l’évolution des prix des biens et services de consommation, de </w:t>
      </w:r>
      <w:r w:rsidRPr="00062B68">
        <w:t>mesurer l'inflation</w:t>
      </w:r>
      <w:r>
        <w:t>, entre autres</w:t>
      </w:r>
      <w:r w:rsidRPr="00062B68">
        <w:t>. Il a été mis en place pour harmoniser les méthodes de calcul des indices de prix à la consommation au sein de l</w:t>
      </w:r>
      <w:r>
        <w:t>’Union</w:t>
      </w:r>
      <w:r w:rsidRPr="00062B68">
        <w:t>, garantissant ainsi une comparabilité des</w:t>
      </w:r>
      <w:r>
        <w:t xml:space="preserve"> niveaux des prix </w:t>
      </w:r>
      <w:r w:rsidRPr="00062B68">
        <w:t>entre les différents États membres. Cette harmonisation est essentielle pour une analyse cohérente des fluctuations des prix et facilite la coordination des politiques monétaires et économiques à l'échelle régionale.</w:t>
      </w:r>
    </w:p>
    <w:p w14:paraId="5CAE88DF" w14:textId="77777777" w:rsidR="00AB0337" w:rsidRPr="00062B68" w:rsidRDefault="00AB0337" w:rsidP="00AB0337">
      <w:r w:rsidRPr="00062B68">
        <w:t>L’IHPC permet de suivre l’évolution des prix des biens et services consommés par les ménages. Cet indice est utilisé comme un indicateur clé pour mesurer le coût de la vie et évaluer le pouvoir d’achat des populations. Il joue également un rôle central dans la prise de décisions économiques, en fournissant une base solide pour ajuster les salaires, fixer les taux d'intérêt, et élaborer des prévisions macroéconomiques.</w:t>
      </w:r>
    </w:p>
    <w:p w14:paraId="2EC5C847" w14:textId="77777777" w:rsidR="00AB0337" w:rsidRPr="00062B68" w:rsidRDefault="00AB0337" w:rsidP="00AB0337">
      <w:r w:rsidRPr="00062B68">
        <w:t xml:space="preserve">Un élément crucial dans la construction de l'IHPC est la pondération, qui attribue un poids spécifique à chaque bien </w:t>
      </w:r>
      <w:r>
        <w:t xml:space="preserve">ou </w:t>
      </w:r>
      <w:r w:rsidRPr="00062B68">
        <w:t xml:space="preserve">service, en fonction de </w:t>
      </w:r>
      <w:r>
        <w:t xml:space="preserve">sa </w:t>
      </w:r>
      <w:r w:rsidRPr="00062B68">
        <w:t>part dans l</w:t>
      </w:r>
      <w:r>
        <w:t>a</w:t>
      </w:r>
      <w:r w:rsidRPr="00062B68">
        <w:t xml:space="preserve"> dépense globale des ménages. Ces pondérations reflètent la structure de la consommation </w:t>
      </w:r>
      <w:r>
        <w:t xml:space="preserve">des ménages </w:t>
      </w:r>
      <w:r w:rsidRPr="00062B68">
        <w:t xml:space="preserve">d’un pays </w:t>
      </w:r>
      <w:r>
        <w:t xml:space="preserve">au cours de l’année de référence </w:t>
      </w:r>
      <w:r w:rsidRPr="00062B68">
        <w:t xml:space="preserve">et influencent directement la mesure de </w:t>
      </w:r>
      <w:r>
        <w:t xml:space="preserve">l’indice et par conséquent celle de </w:t>
      </w:r>
      <w:r w:rsidRPr="00062B68">
        <w:t>l'inflation. Cependant, les comportements de consommation évoluent sous l'effet des changements économiques, sociaux et technologiques. Pour que l'IHPC demeure pertinent, les pondérations doivent être révisées régulièrement. La méthodologie de l'UEMOA prévoit une révision tous les cinq ans, mais en pratique, cette réactualisation peut être retardée en raison de contraintes budgétaires ou logistiques.</w:t>
      </w:r>
    </w:p>
    <w:p w14:paraId="74A10988" w14:textId="2B1917DE" w:rsidR="00AB0337" w:rsidRPr="00062B68" w:rsidRDefault="00AB0337" w:rsidP="00AB0337">
      <w:r w:rsidRPr="00062B68">
        <w:t xml:space="preserve">Actuellement, les pondérations de l'IHPC au Sénégal sont en cours de révision, avec comme année de </w:t>
      </w:r>
      <w:r w:rsidR="002A040A">
        <w:t>référence</w:t>
      </w:r>
      <w:r w:rsidR="002A040A" w:rsidRPr="00062B68">
        <w:t xml:space="preserve"> </w:t>
      </w:r>
      <w:r w:rsidRPr="00062B68">
        <w:t xml:space="preserve">2021 pour les pondérations et 2023 pour les prix. La base des pondérations de 2014 a été élaborée </w:t>
      </w:r>
      <w:r>
        <w:t xml:space="preserve">principalement </w:t>
      </w:r>
      <w:r w:rsidRPr="00062B68">
        <w:t xml:space="preserve">à partir des données de l'enquête ESPS-II </w:t>
      </w:r>
      <w:r>
        <w:t>(</w:t>
      </w:r>
      <w:r w:rsidRPr="00F26947">
        <w:t xml:space="preserve">Enquête de Suivi de la Pauvreté au </w:t>
      </w:r>
      <w:r w:rsidR="005401AD" w:rsidRPr="00F26947">
        <w:t>Sénégal</w:t>
      </w:r>
      <w:r w:rsidR="005401AD">
        <w:t>)</w:t>
      </w:r>
      <w:r w:rsidR="005401AD" w:rsidRPr="00062B68">
        <w:t xml:space="preserve"> de</w:t>
      </w:r>
      <w:r w:rsidRPr="00062B68">
        <w:t xml:space="preserve"> 2011. Cependant, en 2021, l</w:t>
      </w:r>
      <w:r>
        <w:t>a deuxième édition de l</w:t>
      </w:r>
      <w:r w:rsidRPr="00062B68">
        <w:t xml:space="preserve">’Enquête </w:t>
      </w:r>
      <w:r w:rsidR="007E7228">
        <w:t>h</w:t>
      </w:r>
      <w:r w:rsidRPr="00062B68">
        <w:t>armonisée sur les Conditions de Vie des Ménages (EHCVM</w:t>
      </w:r>
      <w:r>
        <w:t>-II</w:t>
      </w:r>
      <w:r w:rsidRPr="00062B68">
        <w:t>) a fourni de nouvelles données sur les habitudes de consommation, permettant ainsi d'actualiser</w:t>
      </w:r>
      <w:r>
        <w:t xml:space="preserve"> </w:t>
      </w:r>
      <w:r w:rsidRPr="00062B68">
        <w:t>les pondérations utilisées pour le calcul de l’IHPC</w:t>
      </w:r>
      <w:r>
        <w:t>, dans le cadre du projet de rénovation</w:t>
      </w:r>
      <w:r w:rsidRPr="00062B68">
        <w:t>. Ces révisions tiennent également compte d'autres sources de données, telles que la comptabilité nationale et les statistiques du commerce extérieur. La mise à jour des pondérations est essentielle pour garantir que l'indice reflète fidèlement les réalités économiques et sociales des ménages sénégalais.</w:t>
      </w:r>
    </w:p>
    <w:p w14:paraId="60F79A05" w14:textId="77777777" w:rsidR="00AB0337" w:rsidRPr="00062B68" w:rsidRDefault="00AB0337" w:rsidP="00AB0337">
      <w:r w:rsidRPr="00062B68">
        <w:t xml:space="preserve">Le calcul des indices de prix repose sur la méthode de </w:t>
      </w:r>
      <w:proofErr w:type="spellStart"/>
      <w:r w:rsidRPr="00062B68">
        <w:t>Laspeyres</w:t>
      </w:r>
      <w:proofErr w:type="spellEnd"/>
      <w:r w:rsidRPr="00062B68">
        <w:t>, qui utilise des pondérations fixes basées sur une année de référence. Jusqu'en 2023, les pondérations de 2014 étaient encore utilisées. Cependant, la rénovation en cours introduira les pondérations de 2021, permettant ainsi une meilleure représentativité des structures de consommation actuelles.</w:t>
      </w:r>
    </w:p>
    <w:p w14:paraId="15DC9626" w14:textId="1E0EF1A3" w:rsidR="00AB0337" w:rsidRPr="00062B68" w:rsidRDefault="00AB0337" w:rsidP="00AB0337">
      <w:r w:rsidRPr="00062B68">
        <w:t xml:space="preserve">Entre 2014 et </w:t>
      </w:r>
      <w:r w:rsidR="00023158">
        <w:t>2021</w:t>
      </w:r>
      <w:r w:rsidRPr="00062B68">
        <w:t>, le Sénégal a connu des transformations économiques importantes qui ont justifié ces ajustements. Cette étude a pour objectif d’analyser les évolutions des pondérations de l’IHPC sur cette période</w:t>
      </w:r>
      <w:r w:rsidR="00BD6EA0">
        <w:t xml:space="preserve"> et</w:t>
      </w:r>
      <w:r w:rsidRPr="00062B68">
        <w:t xml:space="preserve"> d’identifier les facteurs économiques</w:t>
      </w:r>
      <w:r>
        <w:t xml:space="preserve"> qui auraient</w:t>
      </w:r>
      <w:r w:rsidRPr="00062B68">
        <w:t xml:space="preserve"> influencé ces changements</w:t>
      </w:r>
      <w:r w:rsidR="00BD6EA0">
        <w:t>.</w:t>
      </w:r>
    </w:p>
    <w:p w14:paraId="4136EE36" w14:textId="77777777" w:rsidR="001443D2" w:rsidRDefault="00AB0337" w:rsidP="00AB0337">
      <w:r w:rsidRPr="00062B68">
        <w:t xml:space="preserve">L'objectif principal de cette étude est d’analyser les évolutions des pondérations de l'IHPC au Sénégal entre 2014 et </w:t>
      </w:r>
      <w:r w:rsidR="00023158">
        <w:t>2021</w:t>
      </w:r>
      <w:r w:rsidRPr="00062B68">
        <w:t xml:space="preserve">. </w:t>
      </w:r>
    </w:p>
    <w:p w14:paraId="4A78EB99" w14:textId="6B1935EE" w:rsidR="00AB0337" w:rsidRPr="00062B68" w:rsidRDefault="00AB0337" w:rsidP="00AB0337">
      <w:r w:rsidRPr="00062B68">
        <w:t>Spécifiquement, il s'agit d</w:t>
      </w:r>
      <w:r>
        <w:t xml:space="preserve">’analyser, pour chaque </w:t>
      </w:r>
      <w:r w:rsidR="00AB75DF">
        <w:t>d</w:t>
      </w:r>
      <w:r>
        <w:t>ivision </w:t>
      </w:r>
      <w:r w:rsidR="0076226E">
        <w:t>et</w:t>
      </w:r>
      <w:r>
        <w:t xml:space="preserve"> </w:t>
      </w:r>
      <w:r w:rsidR="00AB75DF">
        <w:t>g</w:t>
      </w:r>
      <w:r>
        <w:t>roupe</w:t>
      </w:r>
      <w:r w:rsidR="0076226E">
        <w:t xml:space="preserve">, </w:t>
      </w:r>
      <w:r>
        <w:t xml:space="preserve">les écarts entre </w:t>
      </w:r>
      <w:r w:rsidR="0076226E">
        <w:t xml:space="preserve">les </w:t>
      </w:r>
      <w:r>
        <w:t xml:space="preserve">poids de 2014 et </w:t>
      </w:r>
      <w:r w:rsidR="0076226E">
        <w:t>2021</w:t>
      </w:r>
      <w:r>
        <w:t xml:space="preserve">, de </w:t>
      </w:r>
      <w:r w:rsidRPr="00062B68">
        <w:t xml:space="preserve">comprendre les facteurs économiques et sociaux </w:t>
      </w:r>
      <w:r>
        <w:t>qui seraient à l’origine de c</w:t>
      </w:r>
      <w:r w:rsidRPr="00062B68">
        <w:t>es</w:t>
      </w:r>
      <w:r>
        <w:t xml:space="preserve"> évolu</w:t>
      </w:r>
      <w:r w:rsidRPr="00062B68">
        <w:t xml:space="preserve">tions et d’évaluer leurs </w:t>
      </w:r>
      <w:r>
        <w:t>im</w:t>
      </w:r>
      <w:r w:rsidRPr="00062B68">
        <w:t>pa</w:t>
      </w:r>
      <w:r>
        <w:t>c</w:t>
      </w:r>
      <w:r w:rsidRPr="00062B68">
        <w:t>ts sur</w:t>
      </w:r>
      <w:r w:rsidR="00BD6EA0">
        <w:t xml:space="preserve"> la mesure de</w:t>
      </w:r>
      <w:r w:rsidRPr="00062B68">
        <w:t xml:space="preserve"> l’inflation.</w:t>
      </w:r>
    </w:p>
    <w:p w14:paraId="4FACAC35" w14:textId="5E20888E" w:rsidR="00425B15" w:rsidRPr="00AB0337" w:rsidRDefault="00815AF0" w:rsidP="00815AF0">
      <w:r w:rsidRPr="00815AF0">
        <w:t xml:space="preserve">Afin de répondre à cette problématique, le rapport s’organise en quatre (4) chapitres : dans le premier chapitre, nous présenterons la structure d’accueil, en abordant l’historique de l’ANSD, ses missions principales, ainsi que son organisation et un focus particulier sur le Bureau des Prix. Le deuxième chapitre sera consacré au cadre conceptuel, notamment à la définition et aux objectifs de l’Indice Harmonisé des Prix à la Consommation (IHPC) </w:t>
      </w:r>
      <w:r w:rsidR="00CF1632">
        <w:t xml:space="preserve">et </w:t>
      </w:r>
      <w:r w:rsidRPr="00815AF0">
        <w:t>à sa méthodologie de calcul</w:t>
      </w:r>
      <w:r w:rsidR="00CF1632">
        <w:t xml:space="preserve">. </w:t>
      </w:r>
      <w:r w:rsidRPr="00815AF0">
        <w:t xml:space="preserve">Le troisième chapitre traitera de l’analyse de l’évolution des pondérations de l’IHPC entre 2014 et </w:t>
      </w:r>
      <w:r w:rsidR="00023158">
        <w:t>2021</w:t>
      </w:r>
      <w:r w:rsidRPr="00815AF0">
        <w:t>, en détaillant les variations observées pour chaque catégorie de biens et services ainsi que les facteurs explicatifs de ces évolutions. Enfin, le quatrième chapitre examinera les impacts de ces ajustements sur l’inflation</w:t>
      </w:r>
      <w:r>
        <w:t>.</w:t>
      </w:r>
    </w:p>
    <w:p w14:paraId="4198A912" w14:textId="5F71A199" w:rsidR="00585C8A" w:rsidRDefault="00C41B5B" w:rsidP="00585C8A">
      <w:pPr>
        <w:pStyle w:val="Titre1"/>
      </w:pPr>
      <w:bookmarkStart w:id="34" w:name="_Toc180927851"/>
      <w:bookmarkStart w:id="35" w:name="_Toc182735153"/>
      <w:bookmarkStart w:id="36" w:name="_Toc182822557"/>
      <w:r>
        <w:t xml:space="preserve">Chapitre 1 : </w:t>
      </w:r>
      <w:r w:rsidR="005401AD">
        <w:t>Présentation de la structure d’accueil</w:t>
      </w:r>
      <w:bookmarkStart w:id="37" w:name="_Toc182822558"/>
      <w:bookmarkEnd w:id="34"/>
      <w:bookmarkEnd w:id="35"/>
      <w:bookmarkEnd w:id="36"/>
    </w:p>
    <w:p w14:paraId="3EE4F96B" w14:textId="77777777" w:rsidR="00585C8A" w:rsidRPr="00585C8A" w:rsidRDefault="00585C8A" w:rsidP="00585C8A"/>
    <w:p w14:paraId="0D55AEF4" w14:textId="751D4887" w:rsidR="00585C8A" w:rsidRDefault="00585C8A" w:rsidP="00585C8A">
      <w:r w:rsidRPr="00585C8A">
        <w:t>Dans cette section, nous présenterons l’Agence nationale de la Statistique et de la Démographie, structure d’accueil de ce stage, avec un focus particulier sur le Bureau des Prix, tout en détaillant les travaux réalisés au cours de cette période.</w:t>
      </w:r>
    </w:p>
    <w:p w14:paraId="48DD22B0" w14:textId="5739AAB8" w:rsidR="00940CCC" w:rsidRPr="006B4FAA" w:rsidRDefault="00940CCC" w:rsidP="00D60FD8">
      <w:pPr>
        <w:pStyle w:val="Titre2"/>
        <w:numPr>
          <w:ilvl w:val="0"/>
          <w:numId w:val="0"/>
        </w:numPr>
        <w:ind w:left="576"/>
      </w:pPr>
      <w:r w:rsidRPr="006B4FAA">
        <w:t>1. Historique de l’ANSD</w:t>
      </w:r>
      <w:bookmarkEnd w:id="37"/>
    </w:p>
    <w:p w14:paraId="73E43898" w14:textId="60C7A45E" w:rsidR="005401AD" w:rsidRDefault="00940CCC" w:rsidP="005401AD">
      <w:r w:rsidRPr="00940CCC">
        <w:t>L’Agence nationale de la Statistique et de la Démographie a été officiellement créée par la loi 21-2004 du 21 juillet 2004 portant organisation des activités statistiques. Elle est née d’un désir de se munir d’une structure administrative chargée d’assurer la coordination technique du système statistique national sur la base des principes fondamentaux de la statistique publique adoptés en 1994 par la Commission de statistique des Nations Unies tout en restant elle-même un membre à part entière produisant et publiant des données statistiques. Cette nouvelle loi vient au-delà d’installer un cadre institutionnel pallier les manquements de la loi no 66-59 du 30 juin 1966 devenue obsolète face aux nouvelles réalités économiques et sociales. La recherche d’une organisation efficace, fiable, transparente et adaptée aux objectifs de développement se poursuit avec les modifications liées à la Loi no 2012-03 introduite pour résoudre certaines lacunes du dispositif et préciser les clauses de confidentialité des données. Cela se fait dans un contexte particulier à l’origine de l’élaboration du premier Schéma Directeur Statistique (le SDS 2008-2013) : les exigences de la bonne gouvernance et la lutte contre la pauvreté, les possibilités de plus en plus grandes qu’offrent les Technologies de l’Information et de la Communication et la mondialisation des économies.</w:t>
      </w:r>
    </w:p>
    <w:p w14:paraId="5DE7CE27" w14:textId="31046A6B" w:rsidR="00940CCC" w:rsidRPr="006B4FAA" w:rsidRDefault="00940CCC" w:rsidP="00D60FD8">
      <w:pPr>
        <w:pStyle w:val="Titre2"/>
        <w:numPr>
          <w:ilvl w:val="0"/>
          <w:numId w:val="0"/>
        </w:numPr>
        <w:ind w:left="576"/>
      </w:pPr>
      <w:bookmarkStart w:id="38" w:name="_Toc182822559"/>
      <w:r w:rsidRPr="006B4FAA">
        <w:t>2. Missions de l’ANSD</w:t>
      </w:r>
      <w:bookmarkEnd w:id="38"/>
    </w:p>
    <w:p w14:paraId="081AD3FF" w14:textId="77777777" w:rsidR="006B4FAA" w:rsidRPr="006B4FAA" w:rsidRDefault="006B4FAA" w:rsidP="006B4FAA">
      <w:r w:rsidRPr="006B4FAA">
        <w:t>Les 3 premiers articles du décret présidentiel N° 2005-43 relatif à l’Agence nationale de la Statistique et de la Démographie du 23 mai 2005 précisent les missions de l’institution :</w:t>
      </w:r>
    </w:p>
    <w:p w14:paraId="08437F95" w14:textId="77777777" w:rsidR="006B4FAA" w:rsidRPr="006B4FAA" w:rsidRDefault="006B4FAA">
      <w:pPr>
        <w:numPr>
          <w:ilvl w:val="0"/>
          <w:numId w:val="7"/>
        </w:numPr>
      </w:pPr>
      <w:r w:rsidRPr="006B4FAA">
        <w:t xml:space="preserve">De veiller à l’élaboration et à la mise en œuvre des programmes pluriannuels et annuels d’activités statistiques ; </w:t>
      </w:r>
    </w:p>
    <w:p w14:paraId="20823579" w14:textId="77777777" w:rsidR="006B4FAA" w:rsidRPr="006B4FAA" w:rsidRDefault="006B4FAA">
      <w:pPr>
        <w:numPr>
          <w:ilvl w:val="0"/>
          <w:numId w:val="7"/>
        </w:numPr>
      </w:pPr>
      <w:r w:rsidRPr="006B4FAA">
        <w:t>D’assurer la mise en application des méthodes, concepts, définitions, normes, classifications et nomenclatures approuvés par le Comité technique des programmes statistiques ;</w:t>
      </w:r>
    </w:p>
    <w:p w14:paraId="3E4A1B3B" w14:textId="77777777" w:rsidR="006B4FAA" w:rsidRPr="006B4FAA" w:rsidRDefault="006B4FAA">
      <w:pPr>
        <w:numPr>
          <w:ilvl w:val="0"/>
          <w:numId w:val="7"/>
        </w:numPr>
      </w:pPr>
      <w:r w:rsidRPr="006B4FAA">
        <w:t xml:space="preserve">De préparer les dossiers à soumettre aux réunions du Conseil national de la statistique et du Comité technique des programmes statistiques ; </w:t>
      </w:r>
    </w:p>
    <w:p w14:paraId="3C0369B8" w14:textId="77777777" w:rsidR="006B4FAA" w:rsidRPr="006B4FAA" w:rsidRDefault="006B4FAA">
      <w:pPr>
        <w:numPr>
          <w:ilvl w:val="0"/>
          <w:numId w:val="7"/>
        </w:numPr>
      </w:pPr>
      <w:r w:rsidRPr="006B4FAA">
        <w:t>D’assurer le secrétariat et l’organisation des réunions du Conseil national de la statistique et du Comité technique des programmes statistiques ainsi que de ses sous-comités sectoriels ;</w:t>
      </w:r>
    </w:p>
    <w:p w14:paraId="69FB9607" w14:textId="77777777" w:rsidR="006B4FAA" w:rsidRPr="006B4FAA" w:rsidRDefault="006B4FAA">
      <w:pPr>
        <w:numPr>
          <w:ilvl w:val="0"/>
          <w:numId w:val="7"/>
        </w:numPr>
      </w:pPr>
      <w:r w:rsidRPr="006B4FAA">
        <w:t>De réaliser des enquêtes d’inventaire à couverture nationale notamment les recensements généraux de la population et les recensements d’entreprises ;</w:t>
      </w:r>
    </w:p>
    <w:p w14:paraId="73B770BE" w14:textId="77777777" w:rsidR="006B4FAA" w:rsidRPr="006B4FAA" w:rsidRDefault="006B4FAA">
      <w:pPr>
        <w:numPr>
          <w:ilvl w:val="0"/>
          <w:numId w:val="7"/>
        </w:numPr>
      </w:pPr>
      <w:r w:rsidRPr="006B4FAA">
        <w:t>De produire les comptes de la nation ;</w:t>
      </w:r>
    </w:p>
    <w:p w14:paraId="5F6D1FEF" w14:textId="77777777" w:rsidR="006B4FAA" w:rsidRPr="006B4FAA" w:rsidRDefault="006B4FAA">
      <w:pPr>
        <w:numPr>
          <w:ilvl w:val="0"/>
          <w:numId w:val="7"/>
        </w:numPr>
      </w:pPr>
      <w:r w:rsidRPr="006B4FAA">
        <w:t>De suivre la conjoncture et la prévision économique en rapport avec le service en charge de la prévision et de la conjoncture économique ;</w:t>
      </w:r>
    </w:p>
    <w:p w14:paraId="786EF7DA" w14:textId="77777777" w:rsidR="006B4FAA" w:rsidRPr="006B4FAA" w:rsidRDefault="006B4FAA">
      <w:pPr>
        <w:numPr>
          <w:ilvl w:val="0"/>
          <w:numId w:val="7"/>
        </w:numPr>
      </w:pPr>
      <w:r w:rsidRPr="006B4FAA">
        <w:t>D’élaborer et de gérer les fichiers des entreprises et des localités ;</w:t>
      </w:r>
    </w:p>
    <w:p w14:paraId="542752D7" w14:textId="77777777" w:rsidR="006B4FAA" w:rsidRPr="006B4FAA" w:rsidRDefault="006B4FAA">
      <w:pPr>
        <w:numPr>
          <w:ilvl w:val="0"/>
          <w:numId w:val="7"/>
        </w:numPr>
      </w:pPr>
      <w:r w:rsidRPr="006B4FAA">
        <w:t xml:space="preserve">D’élaborer les indicateurs économiques, sociaux et démographiques ; </w:t>
      </w:r>
    </w:p>
    <w:p w14:paraId="03A1EAA2" w14:textId="77777777" w:rsidR="006B4FAA" w:rsidRPr="006B4FAA" w:rsidRDefault="006B4FAA">
      <w:pPr>
        <w:numPr>
          <w:ilvl w:val="0"/>
          <w:numId w:val="7"/>
        </w:numPr>
      </w:pPr>
      <w:r w:rsidRPr="006B4FAA">
        <w:t xml:space="preserve">De centraliser et de diffuser les synthèses des données statistiques produites par l’ensemble du système statistique national ; </w:t>
      </w:r>
    </w:p>
    <w:p w14:paraId="75B30B3C" w14:textId="77777777" w:rsidR="006B4FAA" w:rsidRPr="006B4FAA" w:rsidRDefault="006B4FAA">
      <w:pPr>
        <w:numPr>
          <w:ilvl w:val="0"/>
          <w:numId w:val="7"/>
        </w:numPr>
      </w:pPr>
      <w:r w:rsidRPr="006B4FAA">
        <w:t xml:space="preserve">De favoriser le développement des sciences statistiques et la recherche économique appliquée relevant de sa compétence ; </w:t>
      </w:r>
    </w:p>
    <w:p w14:paraId="70C2FA73" w14:textId="77777777" w:rsidR="006B4FAA" w:rsidRPr="006B4FAA" w:rsidRDefault="006B4FAA">
      <w:pPr>
        <w:numPr>
          <w:ilvl w:val="0"/>
          <w:numId w:val="7"/>
        </w:numPr>
      </w:pPr>
      <w:r w:rsidRPr="006B4FAA">
        <w:t xml:space="preserve">De promouvoir la formation du personnel spécialisé pour le fonctionnement du système national d’information statistique par l’organisation des cycles de formation appropriés notamment au sein d’une école à vocation régionale ou sous régionale intégrée à l’agence.  </w:t>
      </w:r>
    </w:p>
    <w:p w14:paraId="030EFF26" w14:textId="77777777" w:rsidR="006B4FAA" w:rsidRPr="006B4FAA" w:rsidRDefault="006B4FAA">
      <w:pPr>
        <w:numPr>
          <w:ilvl w:val="0"/>
          <w:numId w:val="7"/>
        </w:numPr>
      </w:pPr>
      <w:r w:rsidRPr="006B4FAA">
        <w:t>De suivre de la coopération technique internationale en matière statistique ;</w:t>
      </w:r>
    </w:p>
    <w:p w14:paraId="715F0189" w14:textId="77777777" w:rsidR="006B4FAA" w:rsidRPr="006B4FAA" w:rsidRDefault="006B4FAA">
      <w:pPr>
        <w:numPr>
          <w:ilvl w:val="0"/>
          <w:numId w:val="7"/>
        </w:numPr>
      </w:pPr>
      <w:r w:rsidRPr="006B4FAA">
        <w:t>De mener des recherches et études statistiques pour les administrations publiques à titre onéreux ou gracieux.</w:t>
      </w:r>
    </w:p>
    <w:p w14:paraId="0B57924C" w14:textId="77777777" w:rsidR="006B4FAA" w:rsidRDefault="006B4FAA" w:rsidP="005401AD"/>
    <w:p w14:paraId="3D55E197" w14:textId="26224256" w:rsidR="006B4FAA" w:rsidRPr="006B4FAA" w:rsidRDefault="006B4FAA" w:rsidP="00D60FD8">
      <w:pPr>
        <w:pStyle w:val="Titre2"/>
        <w:numPr>
          <w:ilvl w:val="0"/>
          <w:numId w:val="0"/>
        </w:numPr>
        <w:ind w:left="576"/>
      </w:pPr>
      <w:bookmarkStart w:id="39" w:name="_Toc182822560"/>
      <w:r w:rsidRPr="006B4FAA">
        <w:t>3. Organisation de l’ANSD</w:t>
      </w:r>
      <w:bookmarkEnd w:id="39"/>
      <w:r w:rsidRPr="006B4FAA">
        <w:t xml:space="preserve"> </w:t>
      </w:r>
    </w:p>
    <w:p w14:paraId="72670B05" w14:textId="68BD0909" w:rsidR="006B4FAA" w:rsidRPr="0003278A" w:rsidRDefault="0003278A" w:rsidP="0003278A">
      <w:pPr>
        <w:pStyle w:val="Titre3"/>
      </w:pPr>
      <w:r w:rsidRPr="0003278A">
        <w:t xml:space="preserve"> </w:t>
      </w:r>
      <w:bookmarkStart w:id="40" w:name="_Toc182822561"/>
      <w:r w:rsidR="006B4FAA" w:rsidRPr="0003278A">
        <w:t>Présentation des directions</w:t>
      </w:r>
      <w:bookmarkEnd w:id="40"/>
    </w:p>
    <w:p w14:paraId="007BB50D" w14:textId="4B918A9E" w:rsidR="006B4FAA" w:rsidRDefault="006B4FAA" w:rsidP="005401AD">
      <w:r w:rsidRPr="006B4FAA">
        <w:t>En dehors de la Direction générale composée du Directeur général et de son adjoint, les Conseillers techniques, la Cellule juridique, la Cellule du Contrôle de gestion, le Conseiller à</w:t>
      </w:r>
      <w:r>
        <w:t xml:space="preserve"> </w:t>
      </w:r>
      <w:r w:rsidRPr="006B4FAA">
        <w:t xml:space="preserve">l’action statistique régionale, l’Auditoire interne, la Cellule de communication, la Cellule de passation de marchés, le Service médical, le Service de sécurité et les secrétariats du Directeur général et de son adjoint, l’ANSD est composé de services centraux, de services régionaux et est organisé en </w:t>
      </w:r>
      <w:r>
        <w:t>d</w:t>
      </w:r>
      <w:r w:rsidRPr="006B4FAA">
        <w:t xml:space="preserve">irections, </w:t>
      </w:r>
      <w:r>
        <w:t>c</w:t>
      </w:r>
      <w:r w:rsidRPr="006B4FAA">
        <w:t xml:space="preserve">ellules, </w:t>
      </w:r>
      <w:r>
        <w:t>d</w:t>
      </w:r>
      <w:r w:rsidRPr="006B4FAA">
        <w:t xml:space="preserve">ivisions, </w:t>
      </w:r>
      <w:r>
        <w:t>b</w:t>
      </w:r>
      <w:r w:rsidRPr="006B4FAA">
        <w:t xml:space="preserve">ureaux et </w:t>
      </w:r>
      <w:r>
        <w:t>s</w:t>
      </w:r>
      <w:r w:rsidRPr="006B4FAA">
        <w:t>ervices.</w:t>
      </w:r>
    </w:p>
    <w:p w14:paraId="5E05FB8B" w14:textId="39920E79" w:rsidR="006B4FAA" w:rsidRPr="00D60FD8" w:rsidRDefault="0003278A" w:rsidP="0003278A">
      <w:pPr>
        <w:pStyle w:val="Titre3"/>
      </w:pPr>
      <w:r>
        <w:t xml:space="preserve"> </w:t>
      </w:r>
      <w:bookmarkStart w:id="41" w:name="_Toc182822562"/>
      <w:r w:rsidR="006B4FAA" w:rsidRPr="00D60FD8">
        <w:t>Services régionaux</w:t>
      </w:r>
      <w:bookmarkEnd w:id="41"/>
    </w:p>
    <w:p w14:paraId="40F357C6" w14:textId="77777777" w:rsidR="006B4FAA" w:rsidRPr="006B4FAA" w:rsidRDefault="006B4FAA" w:rsidP="006B4FAA">
      <w:r w:rsidRPr="006B4FAA">
        <w:t>Les services régionaux représentent l’ANSD au niveau régional. Placés sous l’autorité du directeur général adjoint et sous la supervision directe d’un Conseiller à l’action statistique régionale, ils sont chargés :</w:t>
      </w:r>
    </w:p>
    <w:p w14:paraId="527B1F92" w14:textId="77777777" w:rsidR="006B4FAA" w:rsidRPr="006B4FAA" w:rsidRDefault="006B4FAA">
      <w:pPr>
        <w:numPr>
          <w:ilvl w:val="0"/>
          <w:numId w:val="8"/>
        </w:numPr>
      </w:pPr>
      <w:r w:rsidRPr="006B4FAA">
        <w:t>De la gestion du personnel, du matériel et des moyens financiers mis à la disposition des Services ;</w:t>
      </w:r>
    </w:p>
    <w:p w14:paraId="5876F94E" w14:textId="77777777" w:rsidR="006B4FAA" w:rsidRPr="006B4FAA" w:rsidRDefault="006B4FAA">
      <w:pPr>
        <w:numPr>
          <w:ilvl w:val="0"/>
          <w:numId w:val="8"/>
        </w:numPr>
      </w:pPr>
      <w:r w:rsidRPr="006B4FAA">
        <w:t>D’assurer la coordination et l’animation du système statistique régional ;</w:t>
      </w:r>
    </w:p>
    <w:p w14:paraId="67471A4C" w14:textId="77777777" w:rsidR="006B4FAA" w:rsidRPr="006B4FAA" w:rsidRDefault="006B4FAA">
      <w:pPr>
        <w:numPr>
          <w:ilvl w:val="0"/>
          <w:numId w:val="8"/>
        </w:numPr>
      </w:pPr>
      <w:r w:rsidRPr="006B4FAA">
        <w:t>De piloter les opérations de collecte, de procéder au traitement et à l’analyse des données au niveau régional et local ;</w:t>
      </w:r>
    </w:p>
    <w:p w14:paraId="2DC8C434" w14:textId="77777777" w:rsidR="006B4FAA" w:rsidRPr="006B4FAA" w:rsidRDefault="006B4FAA">
      <w:pPr>
        <w:numPr>
          <w:ilvl w:val="0"/>
          <w:numId w:val="8"/>
        </w:numPr>
      </w:pPr>
      <w:r w:rsidRPr="006B4FAA">
        <w:t>De coordonner et gérer, au niveau décentralisé, l’ensemble des enquêtes conçues par les directions techniques de l’ANSD ;</w:t>
      </w:r>
    </w:p>
    <w:p w14:paraId="0A1BDCA1" w14:textId="77777777" w:rsidR="006B4FAA" w:rsidRPr="006B4FAA" w:rsidRDefault="006B4FAA">
      <w:pPr>
        <w:numPr>
          <w:ilvl w:val="0"/>
          <w:numId w:val="8"/>
        </w:numPr>
      </w:pPr>
      <w:r w:rsidRPr="006B4FAA">
        <w:t>D’élaborer des documents sur la situation économique et sociale de la région ;</w:t>
      </w:r>
    </w:p>
    <w:p w14:paraId="69EBC8E1" w14:textId="77777777" w:rsidR="006B4FAA" w:rsidRPr="006B4FAA" w:rsidRDefault="006B4FAA">
      <w:pPr>
        <w:numPr>
          <w:ilvl w:val="0"/>
          <w:numId w:val="8"/>
        </w:numPr>
      </w:pPr>
      <w:r w:rsidRPr="006B4FAA">
        <w:t>De diffuser des statistiques et études nationales et régionales dans la région ;</w:t>
      </w:r>
    </w:p>
    <w:p w14:paraId="0B271E31" w14:textId="15864904" w:rsidR="006B4FAA" w:rsidRDefault="006B4FAA" w:rsidP="006B4FAA">
      <w:r w:rsidRPr="006B4FAA">
        <w:t>De mener des études spécifiques (monographies, notes de conjoncture, etc.) nécessaires à la connaissance de la situation économique, démographique et sociale de la région ;</w:t>
      </w:r>
    </w:p>
    <w:p w14:paraId="7E536CCF" w14:textId="1B3C8D85" w:rsidR="006B4FAA" w:rsidRPr="006B4FAA" w:rsidRDefault="0003278A" w:rsidP="0003278A">
      <w:pPr>
        <w:pStyle w:val="Titre3"/>
      </w:pPr>
      <w:r>
        <w:t xml:space="preserve"> </w:t>
      </w:r>
      <w:bookmarkStart w:id="42" w:name="_Toc182822563"/>
      <w:r w:rsidR="006B4FAA" w:rsidRPr="006B4FAA">
        <w:t>Services centraux</w:t>
      </w:r>
      <w:bookmarkEnd w:id="42"/>
    </w:p>
    <w:p w14:paraId="1722DFAF" w14:textId="65B9DC89" w:rsidR="006B4FAA" w:rsidRPr="006B4FAA" w:rsidRDefault="006B4FAA" w:rsidP="006B4FAA">
      <w:bookmarkStart w:id="43" w:name="_Hlk149746122"/>
      <w:r w:rsidRPr="006B4FAA">
        <w:t>Au niveau central, l’ANSD compte sept (</w:t>
      </w:r>
      <w:r w:rsidR="00562A22">
        <w:t>8</w:t>
      </w:r>
      <w:r w:rsidRPr="006B4FAA">
        <w:t>) directions</w:t>
      </w:r>
      <w:r w:rsidR="00562A22">
        <w:t> :</w:t>
      </w:r>
    </w:p>
    <w:p w14:paraId="2FEBF838" w14:textId="77777777" w:rsidR="006B4FAA" w:rsidRPr="006B4FAA" w:rsidRDefault="006B4FAA">
      <w:pPr>
        <w:numPr>
          <w:ilvl w:val="0"/>
          <w:numId w:val="9"/>
        </w:numPr>
      </w:pPr>
      <w:r w:rsidRPr="006B4FAA">
        <w:t>Direction des statistiques économiques et de la comptabilité nationale (DSECN) ;</w:t>
      </w:r>
    </w:p>
    <w:p w14:paraId="0A9E464D" w14:textId="77777777" w:rsidR="006B4FAA" w:rsidRPr="006B4FAA" w:rsidRDefault="006B4FAA">
      <w:pPr>
        <w:numPr>
          <w:ilvl w:val="0"/>
          <w:numId w:val="9"/>
        </w:numPr>
      </w:pPr>
      <w:r w:rsidRPr="006B4FAA">
        <w:t>Direction des statistiques démographiques et sociales (DSDS) ;</w:t>
      </w:r>
    </w:p>
    <w:p w14:paraId="74FBB629" w14:textId="74B33536" w:rsidR="006B4FAA" w:rsidRPr="006B4FAA" w:rsidRDefault="00562A22">
      <w:pPr>
        <w:pStyle w:val="Paragraphedeliste"/>
        <w:numPr>
          <w:ilvl w:val="0"/>
          <w:numId w:val="9"/>
        </w:numPr>
      </w:pPr>
      <w:r w:rsidRPr="00562A22">
        <w:t>Direction de la Méthodologie, de la Coordination statistique et de l’Innovation (DMCI)</w:t>
      </w:r>
      <w:r>
        <w:t xml:space="preserve"> </w:t>
      </w:r>
      <w:r w:rsidRPr="00562A22">
        <w:t>;</w:t>
      </w:r>
    </w:p>
    <w:p w14:paraId="778839F4" w14:textId="77777777" w:rsidR="006B4FAA" w:rsidRPr="006B4FAA" w:rsidRDefault="006B4FAA">
      <w:pPr>
        <w:numPr>
          <w:ilvl w:val="0"/>
          <w:numId w:val="9"/>
        </w:numPr>
      </w:pPr>
      <w:r w:rsidRPr="006B4FAA">
        <w:t>Direction des systèmes d’information et de la diffusion (DSID) ;</w:t>
      </w:r>
    </w:p>
    <w:p w14:paraId="4024379B" w14:textId="77777777" w:rsidR="006B4FAA" w:rsidRPr="006B4FAA" w:rsidRDefault="006B4FAA">
      <w:pPr>
        <w:numPr>
          <w:ilvl w:val="0"/>
          <w:numId w:val="9"/>
        </w:numPr>
      </w:pPr>
      <w:r w:rsidRPr="006B4FAA">
        <w:t>Direction de l’administration générale et des ressources humaines (DAGRH) ;</w:t>
      </w:r>
    </w:p>
    <w:p w14:paraId="487619CA" w14:textId="77777777" w:rsidR="006B4FAA" w:rsidRPr="006B4FAA" w:rsidRDefault="006B4FAA">
      <w:pPr>
        <w:numPr>
          <w:ilvl w:val="0"/>
          <w:numId w:val="9"/>
        </w:numPr>
      </w:pPr>
      <w:r w:rsidRPr="006B4FAA">
        <w:t>Direction de l’Ecole Nationale de la Statistique et de l’Analyse Economique Pierre Ndiaye</w:t>
      </w:r>
    </w:p>
    <w:p w14:paraId="75C8241C" w14:textId="77777777" w:rsidR="006B4FAA" w:rsidRPr="006B4FAA" w:rsidRDefault="006B4FAA" w:rsidP="00562A22">
      <w:pPr>
        <w:ind w:left="360"/>
      </w:pPr>
      <w:r w:rsidRPr="006B4FAA">
        <w:t>(ENSAE) ;</w:t>
      </w:r>
    </w:p>
    <w:p w14:paraId="1A1E3C30" w14:textId="77777777" w:rsidR="006B4FAA" w:rsidRDefault="006B4FAA">
      <w:pPr>
        <w:numPr>
          <w:ilvl w:val="0"/>
          <w:numId w:val="9"/>
        </w:numPr>
      </w:pPr>
      <w:r w:rsidRPr="006B4FAA">
        <w:t>L’Agence Comptable (AC) qui est directement rattaché au Directeur général.</w:t>
      </w:r>
    </w:p>
    <w:p w14:paraId="2953F9AF" w14:textId="159E7E60" w:rsidR="00562A22" w:rsidRPr="006B4FAA" w:rsidRDefault="00562A22">
      <w:pPr>
        <w:pStyle w:val="Paragraphedeliste"/>
        <w:numPr>
          <w:ilvl w:val="0"/>
          <w:numId w:val="9"/>
        </w:numPr>
      </w:pPr>
      <w:r w:rsidRPr="001B7C04">
        <w:t>Direction à l’Action Régionale (DAR)</w:t>
      </w:r>
      <w:r>
        <w:t>.</w:t>
      </w:r>
    </w:p>
    <w:p w14:paraId="14F7B437" w14:textId="77777777" w:rsidR="006B4FAA" w:rsidRPr="006B4FAA" w:rsidRDefault="006B4FAA" w:rsidP="006B4FAA"/>
    <w:bookmarkEnd w:id="43"/>
    <w:p w14:paraId="2E9B69CA" w14:textId="1604A2EC" w:rsidR="006B4FAA" w:rsidRPr="00562A22" w:rsidRDefault="006B4FAA">
      <w:pPr>
        <w:numPr>
          <w:ilvl w:val="0"/>
          <w:numId w:val="10"/>
        </w:numPr>
        <w:rPr>
          <w:b/>
          <w:bCs/>
        </w:rPr>
      </w:pPr>
      <w:r w:rsidRPr="006B4FAA">
        <w:rPr>
          <w:b/>
          <w:bCs/>
        </w:rPr>
        <w:t>La Direction des statistiques économiques et de la comptabilité nationale (DSECN)</w:t>
      </w:r>
      <w:bookmarkStart w:id="44" w:name="_Hlk149746237"/>
    </w:p>
    <w:p w14:paraId="1B36492B" w14:textId="77777777" w:rsidR="006B4FAA" w:rsidRPr="006B4FAA" w:rsidRDefault="006B4FAA" w:rsidP="006B4FAA">
      <w:r w:rsidRPr="006B4FAA">
        <w:t>La DSECN est chargée de l’élaboration des statistiques économiques globales et de la production de comptes nationaux. Elle a également pour vocation de mener des études et recherches portant sur des domaines spécifiques. Elle est structurée en trois Divisions que sont :</w:t>
      </w:r>
    </w:p>
    <w:p w14:paraId="0CA1C7D9" w14:textId="77777777" w:rsidR="006B4FAA" w:rsidRPr="006B4FAA" w:rsidRDefault="006B4FAA">
      <w:pPr>
        <w:numPr>
          <w:ilvl w:val="0"/>
          <w:numId w:val="11"/>
        </w:numPr>
      </w:pPr>
      <w:r w:rsidRPr="006B4FAA">
        <w:rPr>
          <w:b/>
          <w:bCs/>
        </w:rPr>
        <w:t xml:space="preserve">La Division des statistiques économiques </w:t>
      </w:r>
      <w:r w:rsidRPr="006B4FAA">
        <w:t>qui est chargée de l’élaboration de la Banque de données économiques et financières (BDEF), du suivi de la démographie des entreprises et qui conçoit les systèmes d’information statistique des entreprises ;</w:t>
      </w:r>
    </w:p>
    <w:p w14:paraId="357C7F6A" w14:textId="77777777" w:rsidR="006B4FAA" w:rsidRPr="006B4FAA" w:rsidRDefault="006B4FAA">
      <w:pPr>
        <w:numPr>
          <w:ilvl w:val="0"/>
          <w:numId w:val="11"/>
        </w:numPr>
      </w:pPr>
      <w:r w:rsidRPr="006B4FAA">
        <w:rPr>
          <w:b/>
          <w:bCs/>
        </w:rPr>
        <w:t>La Division de la comptabilité nationale</w:t>
      </w:r>
      <w:r w:rsidRPr="006B4FAA">
        <w:t xml:space="preserve"> qui produit et analyse des comptes nationaux en synthétisant les statistiques et indicateurs que produisent les autres unités de l’ANSD ou les organismes extérieurs compétents. Elle contribue également à l’élaboration des comptes nationaux sectoriels et satellites.</w:t>
      </w:r>
    </w:p>
    <w:p w14:paraId="0430C61A" w14:textId="77777777" w:rsidR="006B4FAA" w:rsidRPr="006B4FAA" w:rsidRDefault="006B4FAA">
      <w:pPr>
        <w:numPr>
          <w:ilvl w:val="0"/>
          <w:numId w:val="11"/>
        </w:numPr>
      </w:pPr>
      <w:r w:rsidRPr="006B4FAA">
        <w:rPr>
          <w:b/>
          <w:bCs/>
        </w:rPr>
        <w:t xml:space="preserve">La Division des statistiques conjoncturelles </w:t>
      </w:r>
      <w:r w:rsidRPr="006B4FAA">
        <w:t>qui conçoit et réalise des enquêtes de conjoncture auprès des entreprises. Elle élabore les statistiques du commerce extérieur, et des indicateurs conjoncturels. Elle est composée de trois (3) bureaux que sont :</w:t>
      </w:r>
    </w:p>
    <w:p w14:paraId="5E2C7696" w14:textId="77777777" w:rsidR="006B4FAA" w:rsidRPr="006B4FAA" w:rsidRDefault="006B4FAA">
      <w:pPr>
        <w:numPr>
          <w:ilvl w:val="0"/>
          <w:numId w:val="12"/>
        </w:numPr>
      </w:pPr>
      <w:r w:rsidRPr="006B4FAA">
        <w:rPr>
          <w:b/>
          <w:bCs/>
        </w:rPr>
        <w:t>Le bureau des Enquêtes de Conjoncture (BEC)</w:t>
      </w:r>
      <w:r w:rsidRPr="006B4FAA">
        <w:t xml:space="preserve"> qui conçoit et établit l’indice de la production (IPPI), l’indice des prix de production des services (IPPS), l’indice du chiffre d’affaires et le suivi de l’offre d’emploi dans le secteur moderne de l’agriculture.</w:t>
      </w:r>
    </w:p>
    <w:p w14:paraId="6ACE3999" w14:textId="77777777" w:rsidR="006B4FAA" w:rsidRPr="006B4FAA" w:rsidRDefault="006B4FAA">
      <w:pPr>
        <w:numPr>
          <w:ilvl w:val="0"/>
          <w:numId w:val="12"/>
        </w:numPr>
      </w:pPr>
      <w:r w:rsidRPr="006B4FAA">
        <w:rPr>
          <w:b/>
          <w:bCs/>
        </w:rPr>
        <w:t>Le Bureau des Echanges extérieurs (BEE)</w:t>
      </w:r>
      <w:r w:rsidRPr="006B4FAA">
        <w:t xml:space="preserve"> qui établit et publie les statistiques du commerce extérieur sur la base des données douanières et d’enquêtes complémentaires auprès des opérateurs économiques.</w:t>
      </w:r>
    </w:p>
    <w:p w14:paraId="6BFBF214" w14:textId="2CFAFF81" w:rsidR="006B4FAA" w:rsidRPr="006B4FAA" w:rsidRDefault="006B4FAA">
      <w:pPr>
        <w:numPr>
          <w:ilvl w:val="0"/>
          <w:numId w:val="12"/>
        </w:numPr>
      </w:pPr>
      <w:r w:rsidRPr="006B4FAA">
        <w:rPr>
          <w:b/>
          <w:bCs/>
        </w:rPr>
        <w:t>Le Bureau des Prix (BP)</w:t>
      </w:r>
      <w:r w:rsidRPr="006B4FAA">
        <w:t xml:space="preserve"> qui élabore l'indice des prix à la consommation et les indices du Coût de la construction. Il est également chargé du suivi des indicateurs de pouvoir d’achat des ménages. Il mène des travaux visant à en améliorer la précision et la qualité des indices de prix.</w:t>
      </w:r>
    </w:p>
    <w:bookmarkEnd w:id="44"/>
    <w:p w14:paraId="27439DED" w14:textId="7E44A72D" w:rsidR="006B4FAA" w:rsidRPr="00562A22" w:rsidRDefault="006B4FAA">
      <w:pPr>
        <w:numPr>
          <w:ilvl w:val="0"/>
          <w:numId w:val="10"/>
        </w:numPr>
        <w:rPr>
          <w:b/>
          <w:bCs/>
        </w:rPr>
      </w:pPr>
      <w:r w:rsidRPr="006B4FAA">
        <w:rPr>
          <w:b/>
          <w:bCs/>
        </w:rPr>
        <w:t>La Direction des statistiques démographiques et sociales (DSDS)</w:t>
      </w:r>
    </w:p>
    <w:p w14:paraId="680E6390" w14:textId="77777777" w:rsidR="006B4FAA" w:rsidRPr="006B4FAA" w:rsidRDefault="006B4FAA" w:rsidP="006B4FAA">
      <w:r w:rsidRPr="006B4FAA">
        <w:t>La DSDS qui est chargée de la conception, de l’exécution et de l'analyse des enquêtes et recensements démographiques et socio-économiques auprès des ménages. Elle centralise et traite les fichiers 7 reprenant les copies des actes d’état civil reçues et saisies au niveau régional. Elle est chargée d’établir des statistiques sociodémographiques pour le suivi des programmes de développement. Elle coordonne toutes les activités relatives à la cartographie.  Elle comprend trois divisions que sont :</w:t>
      </w:r>
    </w:p>
    <w:p w14:paraId="0B0E7CAF" w14:textId="77777777" w:rsidR="006B4FAA" w:rsidRPr="006B4FAA" w:rsidRDefault="006B4FAA">
      <w:pPr>
        <w:numPr>
          <w:ilvl w:val="0"/>
          <w:numId w:val="13"/>
        </w:numPr>
      </w:pPr>
      <w:r w:rsidRPr="006B4FAA">
        <w:t>La Division du Recensement et des Statistiques démographiques (DRSD) ;</w:t>
      </w:r>
    </w:p>
    <w:p w14:paraId="45D1F23B" w14:textId="77777777" w:rsidR="006B4FAA" w:rsidRPr="006B4FAA" w:rsidRDefault="006B4FAA">
      <w:pPr>
        <w:numPr>
          <w:ilvl w:val="0"/>
          <w:numId w:val="13"/>
        </w:numPr>
      </w:pPr>
      <w:r w:rsidRPr="006B4FAA">
        <w:t>La Division des Statistiques sociales et du Suivi de la Pauvreté (DSSSP) ;</w:t>
      </w:r>
    </w:p>
    <w:p w14:paraId="0B3B0D09" w14:textId="1E493156" w:rsidR="006B4FAA" w:rsidRPr="006B4FAA" w:rsidRDefault="006B4FAA">
      <w:pPr>
        <w:numPr>
          <w:ilvl w:val="0"/>
          <w:numId w:val="13"/>
        </w:numPr>
      </w:pPr>
      <w:r w:rsidRPr="006B4FAA">
        <w:t>La Division de la Cartographie et de l’Echantillonnage (DCE).</w:t>
      </w:r>
    </w:p>
    <w:p w14:paraId="736FBE66" w14:textId="4D70545B" w:rsidR="006B4FAA" w:rsidRDefault="006B4FAA">
      <w:pPr>
        <w:numPr>
          <w:ilvl w:val="0"/>
          <w:numId w:val="10"/>
        </w:numPr>
        <w:rPr>
          <w:b/>
          <w:bCs/>
        </w:rPr>
      </w:pPr>
      <w:r w:rsidRPr="006B4FAA">
        <w:rPr>
          <w:b/>
          <w:bCs/>
        </w:rPr>
        <w:t>La Direction de la Méthodologie, de la Coopération</w:t>
      </w:r>
      <w:r w:rsidR="00562A22">
        <w:rPr>
          <w:b/>
          <w:bCs/>
        </w:rPr>
        <w:t xml:space="preserve"> statistique</w:t>
      </w:r>
      <w:r w:rsidRPr="006B4FAA">
        <w:rPr>
          <w:b/>
          <w:bCs/>
        </w:rPr>
        <w:t xml:space="preserve"> et de l’Innovation</w:t>
      </w:r>
      <w:bookmarkStart w:id="45" w:name="_Hlk149744934"/>
      <w:r w:rsidR="00590C92">
        <w:rPr>
          <w:b/>
          <w:bCs/>
        </w:rPr>
        <w:t xml:space="preserve"> (DMCI)</w:t>
      </w:r>
    </w:p>
    <w:p w14:paraId="30E767E1" w14:textId="77777777" w:rsidR="00590C92" w:rsidRPr="00B71D5F" w:rsidRDefault="00590C92" w:rsidP="00590C92">
      <w:r w:rsidRPr="00590C92">
        <w:t>La DMCI élabore et diffuse des méthodologies et bonnes pratiques statistiques, harmonise les concepts, nomenclatures et classifications utilisés à l'ANSD et au sein du Système statistique national (SSN). Elle met en place un cadre national d'assurance qualité, assure la veille technologique et promeut la recherche et l'innovation. En outre, elle coordonne et programme les activités statistiques du SSN, supervise la coopération internationale de l'ANSD et sert d'interlocuteur entre l'ANSD et les autres structures du SSN. Elle assiste le Directeur général dans la préparation des dossiers pour le Conseil national de la Statistique (CNS) et le Comité technique des Programmes statistiques (CTPS), et veille à l'exécution de leurs décisions. Enfin, elle garantit un haut niveau de maîtrise des techniques statistiques et assure la gestion de la qualité des résultats produits.</w:t>
      </w:r>
      <w:r>
        <w:t xml:space="preserve"> </w:t>
      </w:r>
      <w:r w:rsidRPr="00B71D5F">
        <w:t>La DMCI est composée de deux divisions :</w:t>
      </w:r>
    </w:p>
    <w:p w14:paraId="3888ED25" w14:textId="77777777" w:rsidR="00590C92" w:rsidRPr="00590C92" w:rsidRDefault="00590C92">
      <w:pPr>
        <w:pStyle w:val="Paragraphedeliste"/>
        <w:numPr>
          <w:ilvl w:val="0"/>
          <w:numId w:val="33"/>
        </w:numPr>
      </w:pPr>
      <w:r w:rsidRPr="00590C92">
        <w:t>La Division de la Méthodologie et de l’Innovation (DMI) ;</w:t>
      </w:r>
    </w:p>
    <w:p w14:paraId="21EE848B" w14:textId="7E64C9DC" w:rsidR="00564065" w:rsidRPr="00564065" w:rsidRDefault="00590C92">
      <w:pPr>
        <w:pStyle w:val="Paragraphedeliste"/>
        <w:numPr>
          <w:ilvl w:val="0"/>
          <w:numId w:val="32"/>
        </w:numPr>
        <w:rPr>
          <w:color w:val="000000"/>
        </w:rPr>
      </w:pPr>
      <w:r w:rsidRPr="00590C92">
        <w:rPr>
          <w:color w:val="000000"/>
        </w:rPr>
        <w:t>La Division de la Coopération et de la Coordination statistique (DCC).</w:t>
      </w:r>
    </w:p>
    <w:bookmarkEnd w:id="45"/>
    <w:p w14:paraId="4F294026" w14:textId="77777777" w:rsidR="00564065" w:rsidRPr="00564065" w:rsidRDefault="006B4FAA">
      <w:pPr>
        <w:numPr>
          <w:ilvl w:val="0"/>
          <w:numId w:val="10"/>
        </w:numPr>
        <w:rPr>
          <w:b/>
          <w:bCs/>
        </w:rPr>
      </w:pPr>
      <w:r w:rsidRPr="006B4FAA">
        <w:t xml:space="preserve"> </w:t>
      </w:r>
      <w:r w:rsidRPr="006B4FAA">
        <w:rPr>
          <w:b/>
          <w:bCs/>
        </w:rPr>
        <w:t>La Direction des Systèmes d’Information et de la Diffusion (DSID)</w:t>
      </w:r>
      <w:bookmarkStart w:id="46" w:name="_Hlk149745241"/>
      <w:r w:rsidR="00564065" w:rsidRPr="00564065">
        <w:t xml:space="preserve"> </w:t>
      </w:r>
    </w:p>
    <w:p w14:paraId="14B1F8C4" w14:textId="06539289" w:rsidR="006B4FAA" w:rsidRPr="00564065" w:rsidRDefault="00564065" w:rsidP="00564065">
      <w:pPr>
        <w:rPr>
          <w:b/>
          <w:bCs/>
        </w:rPr>
      </w:pPr>
      <w:r w:rsidRPr="006B4FAA">
        <w:t>La DSID est chargée d’assurer la mise à disposition d’un système d’information efficient pour l’ensemble des activités de l’ANSD et de gérer la diffusion des produits de l’ANSD. A cet égard, elle a pour mission de superviser la conception et la mise à disposition de l’infrastructure de base et des outils informatiques nécessaires aux différentes activités de l’ANSD, de constituer des bases de données exhaustives et fiables pour les activités de l’ANSD. Elle est structurée en deux divisions que sont :</w:t>
      </w:r>
    </w:p>
    <w:p w14:paraId="0AA1249D" w14:textId="77777777" w:rsidR="006B4FAA" w:rsidRPr="006B4FAA" w:rsidRDefault="006B4FAA">
      <w:pPr>
        <w:numPr>
          <w:ilvl w:val="0"/>
          <w:numId w:val="14"/>
        </w:numPr>
      </w:pPr>
      <w:r w:rsidRPr="006B4FAA">
        <w:t>La Division de la Diffusion (DD) ;</w:t>
      </w:r>
    </w:p>
    <w:p w14:paraId="63065CDC" w14:textId="77777777" w:rsidR="006B4FAA" w:rsidRPr="006B4FAA" w:rsidRDefault="006B4FAA">
      <w:pPr>
        <w:numPr>
          <w:ilvl w:val="0"/>
          <w:numId w:val="14"/>
        </w:numPr>
      </w:pPr>
      <w:r w:rsidRPr="006B4FAA">
        <w:t>La Division de l’Informatique (DI).</w:t>
      </w:r>
    </w:p>
    <w:p w14:paraId="06254080" w14:textId="77777777" w:rsidR="006B4FAA" w:rsidRPr="006B4FAA" w:rsidRDefault="006B4FAA" w:rsidP="006B4FAA">
      <w:r w:rsidRPr="006B4FAA">
        <w:t>Un responsable de la sécurité des systèmes d’information est rattaché au Directeur.</w:t>
      </w:r>
    </w:p>
    <w:bookmarkEnd w:id="46"/>
    <w:p w14:paraId="64BCC10F" w14:textId="77777777" w:rsidR="00564065" w:rsidRPr="00564065" w:rsidRDefault="006B4FAA">
      <w:pPr>
        <w:numPr>
          <w:ilvl w:val="0"/>
          <w:numId w:val="10"/>
        </w:numPr>
        <w:rPr>
          <w:b/>
          <w:bCs/>
        </w:rPr>
      </w:pPr>
      <w:r w:rsidRPr="006B4FAA">
        <w:rPr>
          <w:b/>
          <w:bCs/>
        </w:rPr>
        <w:t>La Direction de l’Administration générale et des Ressources humaines (DAGRH)</w:t>
      </w:r>
      <w:r w:rsidR="00564065" w:rsidRPr="00564065">
        <w:t xml:space="preserve"> </w:t>
      </w:r>
    </w:p>
    <w:p w14:paraId="4430AB0E" w14:textId="591DBBDC" w:rsidR="006B4FAA" w:rsidRPr="00564065" w:rsidRDefault="00564065" w:rsidP="00564065">
      <w:pPr>
        <w:rPr>
          <w:b/>
          <w:bCs/>
        </w:rPr>
      </w:pPr>
      <w:r w:rsidRPr="006B4FAA">
        <w:t>La DAGRH est chargée de la gestion du personnel et des compétences, d’assurer la sécurité de l’agence sur toutes les questions réglementaires, l’approvisionnement de l’Agence et la gestion de la logistique et du matériel. Elle coordonne la préparation du projet de budget de l’Agence et des projets. Elle supervise l’élaboration du compte administratif de l’Agence et la gestion des stocks. La DAGRH comprend deux divisions que sont :</w:t>
      </w:r>
    </w:p>
    <w:p w14:paraId="1A1F02DE" w14:textId="77777777" w:rsidR="006B4FAA" w:rsidRPr="006B4FAA" w:rsidRDefault="006B4FAA">
      <w:pPr>
        <w:numPr>
          <w:ilvl w:val="0"/>
          <w:numId w:val="15"/>
        </w:numPr>
      </w:pPr>
      <w:r w:rsidRPr="006B4FAA">
        <w:t>La Division des Ressources humaines (DRH) ;</w:t>
      </w:r>
    </w:p>
    <w:p w14:paraId="33FF74EF" w14:textId="660E423D" w:rsidR="006B4FAA" w:rsidRPr="006B4FAA" w:rsidRDefault="006B4FAA">
      <w:pPr>
        <w:numPr>
          <w:ilvl w:val="0"/>
          <w:numId w:val="15"/>
        </w:numPr>
      </w:pPr>
      <w:r w:rsidRPr="006B4FAA">
        <w:t>La Division de l’Administration générale et des Finances (DAGF).</w:t>
      </w:r>
    </w:p>
    <w:p w14:paraId="6A35C479" w14:textId="77777777" w:rsidR="006B4FAA" w:rsidRPr="006B4FAA" w:rsidRDefault="006B4FAA">
      <w:pPr>
        <w:numPr>
          <w:ilvl w:val="0"/>
          <w:numId w:val="10"/>
        </w:numPr>
        <w:rPr>
          <w:b/>
          <w:bCs/>
        </w:rPr>
      </w:pPr>
      <w:r w:rsidRPr="006B4FAA">
        <w:rPr>
          <w:b/>
          <w:bCs/>
        </w:rPr>
        <w:t>La Direction de l’Ecole nationale de la Statistique et de l’Analyse économique Pierre Ndiaye (ENSAE)</w:t>
      </w:r>
    </w:p>
    <w:p w14:paraId="2BBF3305" w14:textId="77777777" w:rsidR="006B4FAA" w:rsidRPr="006B4FAA" w:rsidRDefault="006B4FAA" w:rsidP="006B4FAA">
      <w:r w:rsidRPr="006B4FAA">
        <w:rPr>
          <w:b/>
          <w:bCs/>
        </w:rPr>
        <w:br/>
      </w:r>
      <w:r w:rsidRPr="006B4FAA">
        <w:t>L’ENSAE est un établissement d’enseignement supérieur rattaché à l’ANSD. Elle est chargée de la formation permanente des statisticiens de l’Agence et du Système statistique national (SSN). La Direction de l’Ecole exerce son autorité sur l’ensemble des services, du personnel et des élèves. Elle met en œuvre les orientations générales définies par le Conseil de Surveillance de l’ANSD sur proposition du Conseil de perfectionnement. Elle veille à l’observance des lois et règlements et au bon déroulement des enseignements. Outre la Direction, l’école est composée des entités suivantes :</w:t>
      </w:r>
    </w:p>
    <w:p w14:paraId="61151138" w14:textId="77777777" w:rsidR="006B4FAA" w:rsidRPr="006B4FAA" w:rsidRDefault="006B4FAA">
      <w:pPr>
        <w:numPr>
          <w:ilvl w:val="0"/>
          <w:numId w:val="16"/>
        </w:numPr>
      </w:pPr>
      <w:r w:rsidRPr="006B4FAA">
        <w:t>Direction des études et des stages ;</w:t>
      </w:r>
    </w:p>
    <w:p w14:paraId="00427959" w14:textId="77777777" w:rsidR="006B4FAA" w:rsidRPr="006B4FAA" w:rsidRDefault="006B4FAA">
      <w:pPr>
        <w:numPr>
          <w:ilvl w:val="0"/>
          <w:numId w:val="16"/>
        </w:numPr>
      </w:pPr>
      <w:r w:rsidRPr="006B4FAA">
        <w:t>Unité de recherche ;</w:t>
      </w:r>
    </w:p>
    <w:p w14:paraId="6029951D" w14:textId="22ED46E9" w:rsidR="006B4FAA" w:rsidRPr="006B4FAA" w:rsidRDefault="006B4FAA">
      <w:pPr>
        <w:numPr>
          <w:ilvl w:val="0"/>
          <w:numId w:val="16"/>
        </w:numPr>
      </w:pPr>
      <w:r w:rsidRPr="006B4FAA">
        <w:t>Secrétaire Administratif.</w:t>
      </w:r>
    </w:p>
    <w:p w14:paraId="0154DAED" w14:textId="77777777" w:rsidR="00564065" w:rsidRPr="00564065" w:rsidRDefault="006B4FAA">
      <w:pPr>
        <w:numPr>
          <w:ilvl w:val="0"/>
          <w:numId w:val="10"/>
        </w:numPr>
        <w:rPr>
          <w:b/>
          <w:bCs/>
        </w:rPr>
      </w:pPr>
      <w:r w:rsidRPr="006B4FAA">
        <w:rPr>
          <w:b/>
          <w:bCs/>
        </w:rPr>
        <w:t>L’Agence Comptable (AC)</w:t>
      </w:r>
      <w:r w:rsidR="00564065" w:rsidRPr="00564065">
        <w:t xml:space="preserve"> </w:t>
      </w:r>
    </w:p>
    <w:p w14:paraId="364A5036" w14:textId="60784751" w:rsidR="006B4FAA" w:rsidRPr="006B4FAA" w:rsidRDefault="00564065" w:rsidP="00564065">
      <w:pPr>
        <w:rPr>
          <w:b/>
          <w:bCs/>
        </w:rPr>
      </w:pPr>
      <w:r w:rsidRPr="006B4FAA">
        <w:t>L’AC est chargée de recouvrer les recettes régulièrement liquidées par l’Ordonnateur à travers des ordres de recettes. A ce titre, elle entreprend toutes les diligences nécessaires conformément à la règlementation en vigueur en matière de recouvrement. L’agence comptable est, conformément aux lois et règlements, responsable des opérations de recettes et de dépenses qu’elle exécute d’une part et d’autre part, de la conservation du patrimoine c’est-à-dire de la prise en charge comptable à l’inventaire des actifs financiers et non financiers acquis et de la conservation des droits, privilèges et hypothèques des immobilisations incorporelles et corporelles. Elle est placée sous la direction d’un Agent comptable nommé par arrêté du ministre en charge des Finances.</w:t>
      </w:r>
    </w:p>
    <w:p w14:paraId="373FA156" w14:textId="77777777" w:rsidR="006B4FAA" w:rsidRPr="006B4FAA" w:rsidRDefault="006B4FAA" w:rsidP="006B4FAA">
      <w:r w:rsidRPr="006B4FAA">
        <w:t>L’Agence Comptable est composée de :</w:t>
      </w:r>
    </w:p>
    <w:p w14:paraId="1F1D3A62" w14:textId="77777777" w:rsidR="006B4FAA" w:rsidRPr="006B4FAA" w:rsidRDefault="006B4FAA">
      <w:pPr>
        <w:numPr>
          <w:ilvl w:val="0"/>
          <w:numId w:val="17"/>
        </w:numPr>
      </w:pPr>
      <w:r w:rsidRPr="006B4FAA">
        <w:t>La Division de la Comptabilité générale, de la Trésorerie et du Recouvrement ;</w:t>
      </w:r>
    </w:p>
    <w:p w14:paraId="45CC8C9E" w14:textId="3F5588C9" w:rsidR="006B4FAA" w:rsidRDefault="006B4FAA">
      <w:pPr>
        <w:pStyle w:val="Paragraphedeliste"/>
        <w:numPr>
          <w:ilvl w:val="0"/>
          <w:numId w:val="17"/>
        </w:numPr>
      </w:pPr>
      <w:r w:rsidRPr="006B4FAA">
        <w:t>La Division des dépenses.</w:t>
      </w:r>
    </w:p>
    <w:p w14:paraId="7986C7B8" w14:textId="77777777" w:rsidR="00564065" w:rsidRDefault="00564065" w:rsidP="00564065">
      <w:pPr>
        <w:pStyle w:val="Paragraphedeliste"/>
      </w:pPr>
    </w:p>
    <w:p w14:paraId="1DDE6776" w14:textId="3DDE8DE4" w:rsidR="00564065" w:rsidRPr="00564065" w:rsidRDefault="00564065">
      <w:pPr>
        <w:pStyle w:val="Paragraphedeliste"/>
        <w:numPr>
          <w:ilvl w:val="0"/>
          <w:numId w:val="10"/>
        </w:numPr>
      </w:pPr>
      <w:r w:rsidRPr="00564065">
        <w:rPr>
          <w:b/>
        </w:rPr>
        <w:t>La Direction à l’Action Régionale (DAR)</w:t>
      </w:r>
    </w:p>
    <w:p w14:paraId="655FE3AD" w14:textId="3956AE19" w:rsidR="00564065" w:rsidRDefault="00564065" w:rsidP="00564065">
      <w:pPr>
        <w:ind w:left="360"/>
      </w:pPr>
      <w:r>
        <w:t xml:space="preserve">La DAR </w:t>
      </w:r>
      <w:r w:rsidRPr="00564065">
        <w:t>représente l’ANSD au niveau régional.</w:t>
      </w:r>
    </w:p>
    <w:p w14:paraId="47E6333F" w14:textId="5712E467" w:rsidR="00C71FA3" w:rsidRDefault="00C71FA3" w:rsidP="00564065">
      <w:pPr>
        <w:ind w:left="360"/>
      </w:pPr>
      <w:r>
        <w:t>A</w:t>
      </w:r>
      <w:r w:rsidRPr="00C71FA3">
        <w:t xml:space="preserve"> travers les Services régionaux de la Statistique et de la Démographie (SRSD),</w:t>
      </w:r>
      <w:r>
        <w:t xml:space="preserve"> elle</w:t>
      </w:r>
      <w:r w:rsidRPr="00C71FA3">
        <w:t xml:space="preserve"> assure la gestion des ressources humaines, matérielles et financières des services, coordonne le système statistique régional, pilote les enquêtes et collecte des données au niveau décentralisé. Elle élabore des documents sur la situation économique et sociale des régions, appuie les autorités locales et les ONG dans leurs projets, et mène des études spécifiques. La DAR contribue également à l’élaboration et au suivi du Programme national d’activités statistiques, tout en renforçant les capacités statistiques des services sectoriels régionaux.</w:t>
      </w:r>
    </w:p>
    <w:p w14:paraId="525E848A" w14:textId="15C3FFE4" w:rsidR="006B4FAA" w:rsidRPr="006B4FAA" w:rsidRDefault="0003278A" w:rsidP="0003278A">
      <w:pPr>
        <w:pStyle w:val="Titre3"/>
      </w:pPr>
      <w:r>
        <w:t xml:space="preserve"> </w:t>
      </w:r>
      <w:bookmarkStart w:id="47" w:name="_Toc182822564"/>
      <w:r w:rsidR="006B4FAA" w:rsidRPr="006B4FAA">
        <w:t>Présentation du Bureau des Prix</w:t>
      </w:r>
      <w:bookmarkEnd w:id="47"/>
    </w:p>
    <w:p w14:paraId="77DFEDA4" w14:textId="0D2BEE20" w:rsidR="006B4FAA" w:rsidRDefault="006B4FAA" w:rsidP="006B4FAA">
      <w:r w:rsidRPr="006B4FAA">
        <w:t xml:space="preserve">Notre structure d’accueil, le </w:t>
      </w:r>
      <w:r w:rsidR="001217B4">
        <w:t>B</w:t>
      </w:r>
      <w:r w:rsidR="001217B4" w:rsidRPr="006B4FAA">
        <w:t xml:space="preserve">ureau </w:t>
      </w:r>
      <w:r w:rsidRPr="006B4FAA">
        <w:t xml:space="preserve">des </w:t>
      </w:r>
      <w:r w:rsidR="001217B4">
        <w:t>P</w:t>
      </w:r>
      <w:r w:rsidR="001217B4" w:rsidRPr="006B4FAA">
        <w:t>rix</w:t>
      </w:r>
      <w:r w:rsidRPr="006B4FAA">
        <w:t>, se charge des étapes d’élaboration de l’Indice</w:t>
      </w:r>
      <w:r w:rsidR="001217B4">
        <w:t xml:space="preserve"> </w:t>
      </w:r>
      <w:r w:rsidRPr="006B4FAA">
        <w:t>Harmonisé des Prix à la Consommation (IHPC) à savoir la collecte, la saisie</w:t>
      </w:r>
      <w:r w:rsidR="00C71FA3">
        <w:t xml:space="preserve">, </w:t>
      </w:r>
      <w:r w:rsidRPr="006B4FAA">
        <w:t xml:space="preserve">le traitement et la publication dudit indice. La collecte se fait sur les principaux points de vente qui offrent des biens et services aux ménages. Le bureau des prix s’occupe également des relevés de prix au niveau des différents points de vente échantillonnés. Il analyse l’évolution de l’indice de chaque poste par rapport au mois précédent et au mois correspondant de l’année précédente. Le bureau des prix publie à cet effet une note d’analyse mensuelle. Etant donné que le panier des biens pour le calcul de l’IHPC évolue avec le temps (disparition de certains biens et apparition d’autres biens), le bureau veille à la rénovation de l’IHPC pour la mise à jour des pondérations et la classification des nouveaux produits. En interne, le bureau publie chaque semaine un tableau de bord qui donne l’évolution des prix des produits sensibles et une note d’actualités économiques et financières. </w:t>
      </w:r>
    </w:p>
    <w:p w14:paraId="69DE41AD" w14:textId="76CF9797" w:rsidR="005E644B" w:rsidRPr="00C41B5B" w:rsidRDefault="00C71FA3" w:rsidP="00C71FA3">
      <w:pPr>
        <w:ind w:firstLine="720"/>
        <w:rPr>
          <w:b/>
          <w:bCs/>
          <w:sz w:val="28"/>
          <w:szCs w:val="24"/>
        </w:rPr>
      </w:pPr>
      <w:r>
        <w:rPr>
          <w:b/>
          <w:bCs/>
          <w:sz w:val="28"/>
          <w:szCs w:val="24"/>
        </w:rPr>
        <w:t xml:space="preserve">3.5 </w:t>
      </w:r>
      <w:r w:rsidR="005E644B" w:rsidRPr="00C41B5B">
        <w:rPr>
          <w:b/>
          <w:bCs/>
          <w:sz w:val="28"/>
          <w:szCs w:val="24"/>
        </w:rPr>
        <w:t>Bilan des activités réalisé</w:t>
      </w:r>
      <w:r w:rsidR="00487BB3" w:rsidRPr="00C41B5B">
        <w:rPr>
          <w:b/>
          <w:bCs/>
          <w:sz w:val="28"/>
          <w:szCs w:val="24"/>
        </w:rPr>
        <w:t>e</w:t>
      </w:r>
      <w:r w:rsidR="005E644B" w:rsidRPr="00C41B5B">
        <w:rPr>
          <w:b/>
          <w:bCs/>
          <w:sz w:val="28"/>
          <w:szCs w:val="24"/>
        </w:rPr>
        <w:t>s pendant le stage</w:t>
      </w:r>
    </w:p>
    <w:p w14:paraId="2822C69A" w14:textId="7DD40616" w:rsidR="00ED1297" w:rsidRPr="00ED1297" w:rsidRDefault="00ED1297" w:rsidP="00ED1297">
      <w:pPr>
        <w:rPr>
          <w:lang w:val="fr-SN"/>
        </w:rPr>
      </w:pPr>
      <w:r w:rsidRPr="00ED1297">
        <w:rPr>
          <w:lang w:val="fr-SN"/>
        </w:rPr>
        <w:t xml:space="preserve">Durant notre stage, nous avons eu l'opportunité de participer à plusieurs activités au sein du </w:t>
      </w:r>
      <w:r w:rsidR="00276FE9">
        <w:rPr>
          <w:lang w:val="fr-SN"/>
        </w:rPr>
        <w:t>B</w:t>
      </w:r>
      <w:r w:rsidR="00276FE9" w:rsidRPr="00ED1297">
        <w:rPr>
          <w:lang w:val="fr-SN"/>
        </w:rPr>
        <w:t xml:space="preserve">ureau </w:t>
      </w:r>
      <w:r w:rsidRPr="00ED1297">
        <w:rPr>
          <w:lang w:val="fr-SN"/>
        </w:rPr>
        <w:t xml:space="preserve">des </w:t>
      </w:r>
      <w:r w:rsidR="00276FE9">
        <w:rPr>
          <w:lang w:val="fr-SN"/>
        </w:rPr>
        <w:t>P</w:t>
      </w:r>
      <w:r w:rsidRPr="00ED1297">
        <w:rPr>
          <w:lang w:val="fr-SN"/>
        </w:rPr>
        <w:t>rix, notamment :</w:t>
      </w:r>
    </w:p>
    <w:p w14:paraId="5929D112" w14:textId="726CB0AE" w:rsidR="00ED1297" w:rsidRPr="00ED1297" w:rsidRDefault="00ED1297" w:rsidP="00ED1297">
      <w:pPr>
        <w:rPr>
          <w:lang w:val="fr-SN"/>
        </w:rPr>
      </w:pPr>
      <w:r w:rsidRPr="00ED1297">
        <w:rPr>
          <w:lang w:val="fr-SN"/>
        </w:rPr>
        <w:t xml:space="preserve">▪ </w:t>
      </w:r>
      <w:r w:rsidRPr="00ED1297">
        <w:rPr>
          <w:b/>
          <w:bCs/>
          <w:lang w:val="fr-SN"/>
        </w:rPr>
        <w:t>Assister à des activités de calcul des pondérations</w:t>
      </w:r>
      <w:r w:rsidRPr="00ED1297">
        <w:rPr>
          <w:lang w:val="fr-SN"/>
        </w:rPr>
        <w:t>, qui se tenaient habituellement les après-midis de 15 heures à 17 heures. Les données utilisées provenaient principalement de l'enquête EHCVM-II. Le calcul des pondérations comportait quelques défis, notamment le manque de données pour certains biens ou services, nécessitant l'exploitation d'autres sources</w:t>
      </w:r>
      <w:r w:rsidR="00276FE9">
        <w:rPr>
          <w:lang w:val="fr-SN"/>
        </w:rPr>
        <w:t xml:space="preserve"> de données (commerce extérieur, la comptabilité nationale, etc.)</w:t>
      </w:r>
      <w:r w:rsidRPr="00ED1297">
        <w:rPr>
          <w:lang w:val="fr-SN"/>
        </w:rPr>
        <w:t>.</w:t>
      </w:r>
    </w:p>
    <w:p w14:paraId="34467230" w14:textId="766A179E" w:rsidR="00ED1297" w:rsidRPr="00ED1297" w:rsidRDefault="00ED1297" w:rsidP="00ED1297">
      <w:pPr>
        <w:rPr>
          <w:lang w:val="fr-SN"/>
        </w:rPr>
      </w:pPr>
      <w:r w:rsidRPr="00ED1297">
        <w:rPr>
          <w:lang w:val="fr-SN"/>
        </w:rPr>
        <w:t xml:space="preserve">▪ </w:t>
      </w:r>
      <w:r w:rsidRPr="00ED1297">
        <w:rPr>
          <w:b/>
          <w:bCs/>
          <w:lang w:val="fr-SN"/>
        </w:rPr>
        <w:t>Participer à une descente sur le terrain pour la collecte des prix de certains biens.</w:t>
      </w:r>
      <w:r w:rsidRPr="00ED1297">
        <w:rPr>
          <w:lang w:val="fr-SN"/>
        </w:rPr>
        <w:t xml:space="preserve"> Ces collectes se déroulent mensuellement et incluent divers types de points de vente, tels que des pharmacies, boutiques, supermarchés, marchés, centres de santé et quincailleries. Les enquêteurs suivent un panier de biens prédéfini pour évaluer les variations de prix. Par exemple, nous avons relevé les prix de produits alimentaires, ménagers, pharmaceutiques, ainsi que des matériaux de construction et des produits électroniques. Des observations spécifiques ont été faites pour chaque secteur, comme le suivi des prix des matériaux de construction dans les quincailleries et des produits alimentaires dans les supermarchés.</w:t>
      </w:r>
    </w:p>
    <w:p w14:paraId="0D975C54" w14:textId="2A7BCBEB" w:rsidR="00ED1297" w:rsidRPr="00ED1297" w:rsidRDefault="00ED1297" w:rsidP="00ED1297">
      <w:pPr>
        <w:rPr>
          <w:lang w:val="fr-SN"/>
        </w:rPr>
      </w:pPr>
      <w:r w:rsidRPr="00ED1297">
        <w:rPr>
          <w:lang w:val="fr-SN"/>
        </w:rPr>
        <w:t xml:space="preserve">▪ </w:t>
      </w:r>
      <w:r w:rsidRPr="00ED1297">
        <w:rPr>
          <w:b/>
          <w:bCs/>
          <w:lang w:val="fr-SN"/>
        </w:rPr>
        <w:t>Travailler sur l</w:t>
      </w:r>
      <w:r w:rsidR="00276FE9">
        <w:rPr>
          <w:b/>
          <w:bCs/>
          <w:lang w:val="fr-SN"/>
        </w:rPr>
        <w:t xml:space="preserve">’amélioration de la méthode de calcul des prix </w:t>
      </w:r>
      <w:r w:rsidRPr="00ED1297">
        <w:rPr>
          <w:b/>
          <w:bCs/>
          <w:lang w:val="fr-SN"/>
        </w:rPr>
        <w:t>du pain</w:t>
      </w:r>
      <w:r w:rsidRPr="00ED1297">
        <w:rPr>
          <w:lang w:val="fr-SN"/>
        </w:rPr>
        <w:t>. Dans le cadre de cette activité, nous avons suivi l'évolution des prix dans l'industrie des boulangeries, en tenant compte des variations de quantité produite et des ajustements de prix nécessaires. En raison de la nature informelle du secteur, les boulangers produisent souvent des baguettes de quantités légèrement différentes, variant entre 180g et 220g. Pour répondre à cette problématique, nous avons adopté une approche qui normalise les prix en fonction des quantités produites, par rapport aux quantités de référence qui étaient censées être produites, avec une marge de tolérance de 5 %. Les prix ajustés sont calculés à l'aide de la formule suivante :</w:t>
      </w:r>
    </w:p>
    <w:p w14:paraId="02BDC189" w14:textId="0D6A6FE1" w:rsidR="00ED1297" w:rsidRPr="00ED1297" w:rsidRDefault="00ED1297" w:rsidP="00ED1297">
      <w:pPr>
        <w:rPr>
          <w:lang w:val="fr-SN"/>
        </w:rPr>
      </w:pPr>
      <w:r w:rsidRPr="00ED1297">
        <w:rPr>
          <w:i/>
          <w:iCs/>
          <w:lang w:val="fr-SN"/>
        </w:rPr>
        <w:t>Prix ajusté = Prix donné * (Quantité de référence / Quantité réelle).</w:t>
      </w:r>
    </w:p>
    <w:p w14:paraId="44B64F07" w14:textId="77777777" w:rsidR="00ED1297" w:rsidRPr="00ED1297" w:rsidRDefault="00ED1297" w:rsidP="00ED1297">
      <w:pPr>
        <w:rPr>
          <w:lang w:val="fr-SN"/>
        </w:rPr>
      </w:pPr>
      <w:r w:rsidRPr="00ED1297">
        <w:rPr>
          <w:lang w:val="fr-SN"/>
        </w:rPr>
        <w:t>Cette méthode assure une mesure plus précise des prix et permet d'éviter le biais lié aux variations de quantités produites. Ce procédé est important pour ne pas sous-estimer ou surestimer les prix proposés par les boulangers sans tenir compte des quantités produites.</w:t>
      </w:r>
    </w:p>
    <w:p w14:paraId="2102AA78" w14:textId="77777777" w:rsidR="00ED1297" w:rsidRPr="00ED1297" w:rsidRDefault="00ED1297" w:rsidP="00ED1297">
      <w:pPr>
        <w:rPr>
          <w:lang w:val="fr-SN"/>
        </w:rPr>
      </w:pPr>
      <w:r w:rsidRPr="00ED1297">
        <w:rPr>
          <w:lang w:val="fr-SN"/>
        </w:rPr>
        <w:t xml:space="preserve">▪ </w:t>
      </w:r>
      <w:r w:rsidRPr="00ED1297">
        <w:rPr>
          <w:b/>
          <w:bCs/>
          <w:lang w:val="fr-SN"/>
        </w:rPr>
        <w:t>Découvrir et comprendre le fonctionnement du logiciel Phoenix-UEMOA,</w:t>
      </w:r>
      <w:r w:rsidRPr="00ED1297">
        <w:rPr>
          <w:lang w:val="fr-SN"/>
        </w:rPr>
        <w:t xml:space="preserve"> un outil clé pour le traitement et la gestion des données de prix, ainsi que le calcul des indices de l'IHPC.</w:t>
      </w:r>
    </w:p>
    <w:p w14:paraId="7E528FC9" w14:textId="31932CAC" w:rsidR="00ED1297" w:rsidRPr="00ED1297" w:rsidRDefault="00ED1297" w:rsidP="00ED1297">
      <w:pPr>
        <w:rPr>
          <w:lang w:val="fr-SN"/>
        </w:rPr>
      </w:pPr>
      <w:r w:rsidRPr="00ED1297">
        <w:rPr>
          <w:lang w:val="fr-SN"/>
        </w:rPr>
        <w:t xml:space="preserve">Dans le cadre de la rénovation des pondérations de l'IHPC, nous avons été impliqués dans l'analyse et la comparaison des pondérations de 2014 et de 2021, notamment en alignant les nomenclatures (celles de 1999 et de 2018) et les pondérations (de 2014 et de </w:t>
      </w:r>
      <w:r w:rsidR="00023158">
        <w:rPr>
          <w:lang w:val="fr-SN"/>
        </w:rPr>
        <w:t>2021</w:t>
      </w:r>
      <w:r w:rsidRPr="00ED1297">
        <w:rPr>
          <w:lang w:val="fr-SN"/>
        </w:rPr>
        <w:t>). Ce travail consistait à identifier les changements majeurs dans les structures de consommation des ménages et à proposer des explications économiques pour ces évolutions.</w:t>
      </w:r>
    </w:p>
    <w:p w14:paraId="40631C30" w14:textId="77777777" w:rsidR="00ED1297" w:rsidRPr="00ED1297" w:rsidRDefault="00ED1297" w:rsidP="00ED1297">
      <w:pPr>
        <w:rPr>
          <w:lang w:val="fr-SN"/>
        </w:rPr>
      </w:pPr>
      <w:r w:rsidRPr="00ED1297">
        <w:rPr>
          <w:lang w:val="fr-SN"/>
        </w:rPr>
        <w:t>La descente sur le terrain a été une partie particulièrement enrichissante de notre expérience. Nous avons pu observer de près le processus de collecte des prix aux côtés d'enquêteurs professionnels. Nous avons visité divers points de vente, y compris des marchés, des supermarchés, et des boutiques spécialisées, afin de relever les prix des produits essentiels, allant des fruits et légumes aux matériaux de construction, en passant par les articles ménagers et pharmaceutiques. Les observations réalisées incluaient le suivi des prix constants pendant plusieurs mois, comme ceux du fromage et des sardines en supermarché, ainsi que des variations spécifiques identifiées pour les services médicaux et les matériaux de construction.</w:t>
      </w:r>
    </w:p>
    <w:p w14:paraId="353D352E" w14:textId="5C004CA7" w:rsidR="00ED1297" w:rsidRPr="00ED1297" w:rsidRDefault="00ED1297" w:rsidP="00ED1297">
      <w:pPr>
        <w:rPr>
          <w:lang w:val="fr-SN"/>
        </w:rPr>
      </w:pPr>
      <w:r w:rsidRPr="00ED1297">
        <w:rPr>
          <w:lang w:val="fr-SN"/>
        </w:rPr>
        <w:t xml:space="preserve">Des recommandations ont également été formulées pour améliorer le processus de collecte, incluant la </w:t>
      </w:r>
      <w:r w:rsidRPr="008428AD">
        <w:rPr>
          <w:lang w:val="fr-SN"/>
        </w:rPr>
        <w:t>standardisation des descriptions de produits</w:t>
      </w:r>
      <w:r w:rsidRPr="00ED1297">
        <w:rPr>
          <w:lang w:val="fr-SN"/>
        </w:rPr>
        <w:t xml:space="preserve"> afin de réduire les ambiguïtés (par exemple, préciser s'il s'agit de lait entier ou écrémé </w:t>
      </w:r>
      <w:r>
        <w:rPr>
          <w:lang w:val="fr-SN"/>
        </w:rPr>
        <w:t>ou</w:t>
      </w:r>
      <w:r w:rsidRPr="00ED1297">
        <w:rPr>
          <w:lang w:val="fr-SN"/>
        </w:rPr>
        <w:t xml:space="preserve"> lait en vrac) et </w:t>
      </w:r>
      <w:r w:rsidRPr="008428AD">
        <w:rPr>
          <w:lang w:val="fr-SN"/>
        </w:rPr>
        <w:t>l'introduction de technologies modernes</w:t>
      </w:r>
      <w:r w:rsidRPr="00ED1297">
        <w:rPr>
          <w:lang w:val="fr-SN"/>
        </w:rPr>
        <w:t>, telles qu'une application de collecte de données sur tablette pour remplacer les méthodes traditionnelles sur papier. Une telle application pourrait intégrer des fonctionnalités de géolocalisation, facilitant ainsi la précision et l'efficacité du travail des enquêteurs.</w:t>
      </w:r>
    </w:p>
    <w:p w14:paraId="082DF417" w14:textId="77777777" w:rsidR="00ED1297" w:rsidRPr="00ED1297" w:rsidRDefault="00ED1297" w:rsidP="00ED1297">
      <w:pPr>
        <w:rPr>
          <w:lang w:val="fr-SN"/>
        </w:rPr>
      </w:pPr>
      <w:r w:rsidRPr="00ED1297">
        <w:rPr>
          <w:lang w:val="fr-SN"/>
        </w:rPr>
        <w:t xml:space="preserve">Par ailleurs, nous avons eu l'occasion d'approfondir nos connaissances sur le progiciel </w:t>
      </w:r>
      <w:r w:rsidRPr="008428AD">
        <w:rPr>
          <w:lang w:val="fr-SN"/>
        </w:rPr>
        <w:t>Phoenix-UEMOA</w:t>
      </w:r>
      <w:r w:rsidRPr="00ED1297">
        <w:rPr>
          <w:lang w:val="fr-SN"/>
        </w:rPr>
        <w:t>, conçu pour faciliter le processus de collecte et de traitement des données de prix. Le logiciel permet de saisir les données collectées par les enquêteurs, de les valider et de calculer les indices en respectant les spécificités des pondérations de chaque région. Nous avons pu observer son rôle dans l'intégration des données et la production des rapports nécessaires à la gestion des prix et au suivi de l'inflation.</w:t>
      </w:r>
    </w:p>
    <w:p w14:paraId="65F9C9AE" w14:textId="5F7A9D70" w:rsidR="00ED1297" w:rsidRPr="00ED1297" w:rsidRDefault="00ED1297" w:rsidP="00ED1297">
      <w:pPr>
        <w:rPr>
          <w:lang w:val="fr-SN"/>
        </w:rPr>
      </w:pPr>
      <w:r>
        <w:rPr>
          <w:lang w:val="fr-SN"/>
        </w:rPr>
        <w:t>Ainsi</w:t>
      </w:r>
      <w:r w:rsidRPr="00ED1297">
        <w:rPr>
          <w:lang w:val="fr-SN"/>
        </w:rPr>
        <w:t>, ce stage nous a offert une expérience pratique et variée qui nous a permis de mieux comprendre les mécanismes sous-jacents au calcul des indices de prix et aux processus de rénovation des pondérations de l'IHPC.</w:t>
      </w:r>
    </w:p>
    <w:p w14:paraId="726EF6F2" w14:textId="55F4535B" w:rsidR="005E644B" w:rsidRPr="00BB415C" w:rsidRDefault="00BB415C" w:rsidP="00BB415C">
      <w:pPr>
        <w:rPr>
          <w:lang w:val="fr-SN"/>
        </w:rPr>
      </w:pPr>
      <w:r w:rsidRPr="00BB415C">
        <w:rPr>
          <w:lang w:val="fr-SN"/>
        </w:rPr>
        <w:t xml:space="preserve"> </w:t>
      </w:r>
    </w:p>
    <w:p w14:paraId="6AD6EEFA" w14:textId="77777777" w:rsidR="00F974FD" w:rsidRDefault="00F974FD">
      <w:pPr>
        <w:rPr>
          <w:rFonts w:eastAsiaTheme="majorEastAsia" w:cstheme="majorBidi"/>
          <w:bCs/>
          <w:color w:val="365F91" w:themeColor="accent1" w:themeShade="BF"/>
          <w:sz w:val="32"/>
          <w:szCs w:val="28"/>
        </w:rPr>
      </w:pPr>
      <w:r>
        <w:br w:type="page"/>
      </w:r>
    </w:p>
    <w:p w14:paraId="472E064F" w14:textId="5464B966" w:rsidR="00BB415C" w:rsidRDefault="00C41B5B" w:rsidP="00F974FD">
      <w:pPr>
        <w:pStyle w:val="Titre1"/>
      </w:pPr>
      <w:bookmarkStart w:id="48" w:name="_Toc180927852"/>
      <w:bookmarkStart w:id="49" w:name="_Toc182735154"/>
      <w:bookmarkStart w:id="50" w:name="_Toc182822565"/>
      <w:r>
        <w:t xml:space="preserve">Chapitre </w:t>
      </w:r>
      <w:r w:rsidR="00D708D6">
        <w:t>2</w:t>
      </w:r>
      <w:r>
        <w:t> :</w:t>
      </w:r>
      <w:r w:rsidR="00D708D6">
        <w:t xml:space="preserve"> </w:t>
      </w:r>
      <w:r w:rsidR="00A503D3">
        <w:t xml:space="preserve">Cadre </w:t>
      </w:r>
      <w:r>
        <w:t>conceptuel</w:t>
      </w:r>
      <w:bookmarkEnd w:id="48"/>
      <w:bookmarkEnd w:id="49"/>
      <w:bookmarkEnd w:id="50"/>
      <w:r w:rsidR="00A503D3">
        <w:t xml:space="preserve"> </w:t>
      </w:r>
    </w:p>
    <w:p w14:paraId="7DA8DEE5" w14:textId="77777777" w:rsidR="00F44E9F" w:rsidRDefault="00F44E9F" w:rsidP="00F974FD"/>
    <w:p w14:paraId="1A1FA47F" w14:textId="51915257" w:rsidR="00F974FD" w:rsidRPr="00F974FD" w:rsidRDefault="00F44E9F" w:rsidP="00F974FD">
      <w:r w:rsidRPr="00F44E9F">
        <w:t xml:space="preserve">Dans ce </w:t>
      </w:r>
      <w:r>
        <w:t>chapitre</w:t>
      </w:r>
      <w:r w:rsidRPr="00F44E9F">
        <w:t xml:space="preserve">, nous abordons les concepts de l'Indice des Prix à la Consommation (IPC) et de l'Indice Harmonisé des Prix à la Consommation (IHPC). Nous </w:t>
      </w:r>
      <w:r>
        <w:t xml:space="preserve">présenterons </w:t>
      </w:r>
      <w:r w:rsidRPr="00F44E9F">
        <w:t xml:space="preserve">leur rôle dans la mesure de l’inflation, leurs objectifs spécifiques, ainsi que la méthodologie de calcul </w:t>
      </w:r>
      <w:r>
        <w:t>de ces indices.</w:t>
      </w:r>
    </w:p>
    <w:p w14:paraId="7C5351E4" w14:textId="7841C32C" w:rsidR="00A503D3" w:rsidRPr="00A40880" w:rsidRDefault="00A503D3" w:rsidP="0003278A">
      <w:pPr>
        <w:pStyle w:val="Titre2"/>
      </w:pPr>
      <w:bookmarkStart w:id="51" w:name="_Toc182822566"/>
      <w:r w:rsidRPr="00A40880">
        <w:t>Introduction générale à l’IPC et à l’IHPC</w:t>
      </w:r>
      <w:bookmarkEnd w:id="51"/>
    </w:p>
    <w:p w14:paraId="2379A1B3" w14:textId="77777777" w:rsidR="00A503D3" w:rsidRPr="00A40880" w:rsidRDefault="00A503D3" w:rsidP="00A503D3">
      <w:r w:rsidRPr="00A40880">
        <w:t>L'Indice des Prix à la Consommation (IPC) est un indicateur économique majeur qui mesure les variations dans le temps des prix des biens et services consommés par les ménages. Il est utilisé pour évaluer l'inflation et l’évolution du pouvoir d'achat. L'IPC est particulièrement important pour les gouvernements et les décideurs politiques, car il influe sur des décisions cruciales comme l’ajustement des salaires, des retraites et des taux d'intérêt.</w:t>
      </w:r>
    </w:p>
    <w:p w14:paraId="0C3D0BE6" w14:textId="681E5D8A" w:rsidR="00A503D3" w:rsidRPr="00A40880" w:rsidRDefault="00A503D3" w:rsidP="00A503D3">
      <w:r w:rsidRPr="00A40880">
        <w:t>L'Indice Harmonisé des Prix à la Consommation (IHPC) est une version standardisée de l'IPC, mise en place dans les pays membres de l'UEMOA. Son objectif est de permettre une comparaison directe de l'inflation entre les différents pays de la région. Cela aide à une meilleure harmonisation des politiques économiques et monétaires, et à faciliter les comparaisons économiques</w:t>
      </w:r>
      <w:r w:rsidR="00037DDF">
        <w:t>.</w:t>
      </w:r>
    </w:p>
    <w:p w14:paraId="1CFE2F0E" w14:textId="4B4E334F" w:rsidR="00A503D3" w:rsidRPr="00A40880" w:rsidRDefault="00A503D3" w:rsidP="0003278A">
      <w:pPr>
        <w:pStyle w:val="Titre2"/>
      </w:pPr>
      <w:bookmarkStart w:id="52" w:name="_Toc182822567"/>
      <w:r w:rsidRPr="00A40880">
        <w:t>Objectifs de l’IHPC</w:t>
      </w:r>
      <w:bookmarkEnd w:id="52"/>
    </w:p>
    <w:p w14:paraId="5E5FDDE9" w14:textId="77777777" w:rsidR="00A503D3" w:rsidRPr="001D6625" w:rsidRDefault="00A503D3" w:rsidP="00A503D3">
      <w:r w:rsidRPr="001D6625">
        <w:t>L'IHPC, en tant qu'indicateur clé de l'inflation dans les pays de l'UEMOA, a plusieurs objectifs importants pour l'économie :</w:t>
      </w:r>
    </w:p>
    <w:p w14:paraId="1ED12BD5" w14:textId="77777777" w:rsidR="00A503D3" w:rsidRPr="001D6625" w:rsidRDefault="00A503D3">
      <w:pPr>
        <w:numPr>
          <w:ilvl w:val="0"/>
          <w:numId w:val="18"/>
        </w:numPr>
        <w:spacing w:line="278" w:lineRule="auto"/>
      </w:pPr>
      <w:r w:rsidRPr="001D6625">
        <w:rPr>
          <w:b/>
          <w:bCs/>
        </w:rPr>
        <w:t>L'indexation</w:t>
      </w:r>
      <w:r w:rsidRPr="001D6625">
        <w:t xml:space="preserve"> : Il s'agit d'un mécanisme par lequel certaines valeurs monétaires (salaires, loyers, intérêts, impôts) sont ajustées en fonction de la variation de l'indice des prix. L'indexation est souvent utilisée pour ajuster les revenus ou les engagements financiers afin de maintenir le pouvoir d'achat des bénéficiaires. Cela inclut les prestations sociales comme les retraites, les allocations chômage ou maladie, et d'autres paiements sociaux. En période d'inflation élevée, l'indexation devient courante dans l'ensemble de l'économie pour ajuster les flux monétaires en fonction de l'évolution des prix. Elle permet de garantir que les revenus réels restent constants face à l'inflation.</w:t>
      </w:r>
    </w:p>
    <w:p w14:paraId="598B4B57" w14:textId="77777777" w:rsidR="00A503D3" w:rsidRPr="001D6625" w:rsidRDefault="00A503D3">
      <w:pPr>
        <w:numPr>
          <w:ilvl w:val="0"/>
          <w:numId w:val="18"/>
        </w:numPr>
        <w:spacing w:line="278" w:lineRule="auto"/>
      </w:pPr>
      <w:r w:rsidRPr="001D6625">
        <w:rPr>
          <w:b/>
          <w:bCs/>
        </w:rPr>
        <w:t>Déflation de la consommation et des revenus</w:t>
      </w:r>
      <w:r w:rsidRPr="001D6625">
        <w:t xml:space="preserve"> : L'IHPC permet également de "déflater" les revenus et dépenses en prix courants, c'est-à-dire de convertir les montants monétaires en termes réels, en prenant en compte les variations de prix. Cela permet de mesurer le pouvoir d'achat des ménages et d'analyser les variations de consommation réelle. L'IHPC est utilisé pour calculer des indicateurs économiques en volume, tels que les dépenses de consommation des ménages dans les comptes nationaux, permettant ainsi une mesure précise des variations en termes réels.</w:t>
      </w:r>
    </w:p>
    <w:p w14:paraId="4FD634F3" w14:textId="1F6D3BB2" w:rsidR="00A503D3" w:rsidRPr="001D6625" w:rsidRDefault="00A503D3">
      <w:pPr>
        <w:numPr>
          <w:ilvl w:val="0"/>
          <w:numId w:val="18"/>
        </w:numPr>
        <w:spacing w:line="278" w:lineRule="auto"/>
      </w:pPr>
      <w:r w:rsidRPr="001D6625">
        <w:rPr>
          <w:b/>
          <w:bCs/>
        </w:rPr>
        <w:t>Calcul des parités de pouvoir d’achat (PPA)</w:t>
      </w:r>
      <w:r w:rsidRPr="001D6625">
        <w:t xml:space="preserve"> : L'IHPC est essentiel dans le cadre des comparaisons </w:t>
      </w:r>
      <w:r w:rsidR="00ED55D1">
        <w:t>régionales</w:t>
      </w:r>
      <w:r w:rsidRPr="001D6625">
        <w:t>, notamment pour le calcul des parités de pouvoir d'achat (PPA) entre les pays membres de l'UEMOA et d'autres régions. Les PPA permettent de comparer les niveaux de prix d'un pays à l'autre et d'évaluer les différences de coût de la vie. Cela aide à établir des comparaisons économiques précises, facilitant la compréhension des disparités de revenu et de consommation entre les pays</w:t>
      </w:r>
      <w:r w:rsidR="00ED55D1">
        <w:t xml:space="preserve"> de l’Union</w:t>
      </w:r>
      <w:r w:rsidRPr="001D6625">
        <w:t>.</w:t>
      </w:r>
    </w:p>
    <w:p w14:paraId="67BA4124" w14:textId="77777777" w:rsidR="00A503D3" w:rsidRPr="001D6625" w:rsidRDefault="00A503D3">
      <w:pPr>
        <w:numPr>
          <w:ilvl w:val="0"/>
          <w:numId w:val="18"/>
        </w:numPr>
        <w:spacing w:line="278" w:lineRule="auto"/>
      </w:pPr>
      <w:r w:rsidRPr="001D6625">
        <w:rPr>
          <w:b/>
          <w:bCs/>
        </w:rPr>
        <w:t>Comparaison des variations de prix à des fins commerciales</w:t>
      </w:r>
      <w:r w:rsidRPr="001D6625">
        <w:t xml:space="preserve"> : L'IHPC permet de suivre les variations des prix relatifs entre différents produits et services. Cela aide à identifier les déformations des prix au sein de l'économie et peut être utilisé à des fins commerciales pour ajuster les prix ou les coûts dans les contrats commerciaux. Les comparaisons de variations de prix peuvent également être utilisées pour la réévaluation comptable des actifs ou engagements financiers.</w:t>
      </w:r>
    </w:p>
    <w:p w14:paraId="6F61ED5F" w14:textId="77777777" w:rsidR="00A503D3" w:rsidRPr="001D6625" w:rsidRDefault="00A503D3">
      <w:pPr>
        <w:numPr>
          <w:ilvl w:val="0"/>
          <w:numId w:val="18"/>
        </w:numPr>
        <w:spacing w:line="278" w:lineRule="auto"/>
      </w:pPr>
      <w:r w:rsidRPr="001D6625">
        <w:rPr>
          <w:b/>
          <w:bCs/>
        </w:rPr>
        <w:t>Mesure de l'inflation générale et fixation des objectifs d’inflation</w:t>
      </w:r>
      <w:r w:rsidRPr="001D6625">
        <w:t xml:space="preserve"> : L'un des objectifs principaux de l'IHPC est de fournir une mesure fiable de l'inflation dans l'économie. Les gouvernements et les banques centrales utilisent ces données pour fixer des objectifs de politique monétaire et évaluer l'efficacité des mesures mises en œuvre pour contrôler l'inflation. Bien que l'IHPC ne capture pas toujours l'intégralité de l'inflation, il offre une estimation cohérente des tendances inflationnistes dans la consommation des ménages, permettant d'anticiper les variations de prix à moyen terme.</w:t>
      </w:r>
    </w:p>
    <w:p w14:paraId="1ADC59EA" w14:textId="77777777" w:rsidR="00A503D3" w:rsidRDefault="00A503D3">
      <w:pPr>
        <w:numPr>
          <w:ilvl w:val="0"/>
          <w:numId w:val="18"/>
        </w:numPr>
        <w:spacing w:line="278" w:lineRule="auto"/>
      </w:pPr>
      <w:r w:rsidRPr="001D6625">
        <w:rPr>
          <w:b/>
          <w:bCs/>
        </w:rPr>
        <w:t>Support pour l'élaboration de politiques économiques</w:t>
      </w:r>
      <w:r w:rsidRPr="001D6625">
        <w:t xml:space="preserve"> : En fournissant une mesure précise des fluctuations de prix, l'IHPC devient un indicateur central pour l’élaboration des politiques économiques, notamment monétaires. Il guide la fixation des taux d'intérêt et autres décisions macroéconomiques importantes. Les gouvernements, entreprises, et ménages peuvent s'appuyer sur les données de l'IHPC pour prendre des décisions financières éclairées et anticiper les changements dans le coût de la vie.</w:t>
      </w:r>
    </w:p>
    <w:p w14:paraId="127217FD" w14:textId="4849C1AA" w:rsidR="00A503D3" w:rsidRDefault="00A503D3" w:rsidP="0003278A">
      <w:pPr>
        <w:pStyle w:val="Titre2"/>
      </w:pPr>
      <w:bookmarkStart w:id="53" w:name="_Toc182822568"/>
      <w:r w:rsidRPr="001D6625">
        <w:t>Méthodologie de calcul</w:t>
      </w:r>
      <w:bookmarkEnd w:id="53"/>
    </w:p>
    <w:p w14:paraId="3E0EFE4E" w14:textId="77777777" w:rsidR="00A503D3" w:rsidRPr="001D6625" w:rsidRDefault="00A503D3" w:rsidP="00A503D3">
      <w:pPr>
        <w:rPr>
          <w:b/>
          <w:bCs/>
        </w:rPr>
      </w:pPr>
      <w:r w:rsidRPr="001D6625">
        <w:rPr>
          <w:b/>
          <w:bCs/>
        </w:rPr>
        <w:t>1. Base de calcul</w:t>
      </w:r>
    </w:p>
    <w:p w14:paraId="603ED56B" w14:textId="0AA1DF40" w:rsidR="00A503D3" w:rsidRPr="001D6625" w:rsidRDefault="00A503D3" w:rsidP="00A503D3">
      <w:r w:rsidRPr="001D6625">
        <w:t xml:space="preserve">Les indices harmonisés des prix à la consommation (IHPC) des pays de l'UEMOA sont calculés mensuellement pour refléter l’évolution des prix des biens et services consommés par les ménages. </w:t>
      </w:r>
      <w:r w:rsidR="00BF0678">
        <w:t>La</w:t>
      </w:r>
      <w:r w:rsidRPr="001D6625">
        <w:t xml:space="preserve"> période de base de ces indices était fixée du 1er janvier 2014 au 31 décembre 2014, aussi bien pour les prix que pour les pondérations.</w:t>
      </w:r>
    </w:p>
    <w:p w14:paraId="658E56F7" w14:textId="31674F04" w:rsidR="00A503D3" w:rsidRPr="001D6625" w:rsidRDefault="00A503D3" w:rsidP="00A503D3">
      <w:r w:rsidRPr="001D6625">
        <w:t>Toutefois, il est important de noter que</w:t>
      </w:r>
      <w:r>
        <w:t xml:space="preserve"> </w:t>
      </w:r>
      <w:r w:rsidRPr="001D6625">
        <w:t xml:space="preserve">le Sénégal </w:t>
      </w:r>
      <w:r>
        <w:t>est</w:t>
      </w:r>
      <w:r w:rsidRPr="001D6625">
        <w:t xml:space="preserve"> actuellement en phase de réactualisation de</w:t>
      </w:r>
      <w:r w:rsidR="00EA3B3E">
        <w:t>s</w:t>
      </w:r>
      <w:r w:rsidRPr="001D6625">
        <w:t xml:space="preserve"> pondérations</w:t>
      </w:r>
      <w:r w:rsidR="00EA3B3E">
        <w:t xml:space="preserve"> des produits de l’IHPC</w:t>
      </w:r>
      <w:r w:rsidRPr="001D6625">
        <w:t>. Ces pondérations sont basées sur la structure de consommation de l'année 2021 et sont élaborées principalement à partir des résultats de l'Enquête Harmonisée sur les Conditions de Vie des Ménages (EHCVM) de 2021, avec quelques ajustements provenant des données de la comptabilité nationale et du commerce extérieur.</w:t>
      </w:r>
    </w:p>
    <w:p w14:paraId="20AB2D8E" w14:textId="71B4EA62" w:rsidR="00A503D3" w:rsidRPr="001D6625" w:rsidRDefault="00A503D3" w:rsidP="00A503D3">
      <w:r w:rsidRPr="001D6625">
        <w:t xml:space="preserve">Le processus de réactualisation des pondérations est normalement prévu tous les 5 ans, conformément </w:t>
      </w:r>
      <w:r w:rsidR="001443D2">
        <w:t xml:space="preserve">aux </w:t>
      </w:r>
      <w:proofErr w:type="spellStart"/>
      <w:r w:rsidR="001443D2">
        <w:t>recommendations</w:t>
      </w:r>
      <w:proofErr w:type="spellEnd"/>
      <w:r w:rsidRPr="001D6625">
        <w:t xml:space="preserve"> de l’UEMOA. Cependant, en raison de contraintes budgétaires et délai dans les enquêtes, la dernière révision au Sénégal remonte à 2014, et les pondérations en cours de calcul pour 2024 sont basées sur les données de 2021. Ainsi, la réactualisation permettra de prendre en compte les évolutions récentes dans les comportements de consommation des ménages, notamment les transformations sociales et économiques.</w:t>
      </w:r>
    </w:p>
    <w:p w14:paraId="61FF62AC" w14:textId="77777777" w:rsidR="00A503D3" w:rsidRPr="001D6625" w:rsidRDefault="00A503D3" w:rsidP="00A503D3">
      <w:r w:rsidRPr="001D6625">
        <w:t>Les dépenses de consommation utilisées pour le calcul des pondérations dans le cadre de l'IHPC sont tirées principalement des enquêtes suivantes :</w:t>
      </w:r>
    </w:p>
    <w:p w14:paraId="1D794245" w14:textId="18225B11" w:rsidR="00A503D3" w:rsidRPr="001D6625" w:rsidRDefault="00A503D3">
      <w:pPr>
        <w:numPr>
          <w:ilvl w:val="0"/>
          <w:numId w:val="19"/>
        </w:numPr>
        <w:spacing w:line="278" w:lineRule="auto"/>
      </w:pPr>
      <w:r w:rsidRPr="001D6625">
        <w:rPr>
          <w:b/>
          <w:bCs/>
        </w:rPr>
        <w:t>Enquête ESPS-II (Enquête de Suivi de la Pauvreté au Sénégal)</w:t>
      </w:r>
      <w:r w:rsidRPr="001D6625">
        <w:t xml:space="preserve"> réalisée en </w:t>
      </w:r>
      <w:r w:rsidRPr="00ED55D1">
        <w:t>2011</w:t>
      </w:r>
      <w:r w:rsidRPr="001D6625">
        <w:t xml:space="preserve"> pour la période de base 2014.</w:t>
      </w:r>
      <w:r w:rsidR="00EA3B3E">
        <w:t xml:space="preserve"> Cependant, les pondérations étaient actualisées selon les prix de 2014.</w:t>
      </w:r>
    </w:p>
    <w:p w14:paraId="4FF0061D" w14:textId="77777777" w:rsidR="00A503D3" w:rsidRPr="001D6625" w:rsidRDefault="00A503D3">
      <w:pPr>
        <w:numPr>
          <w:ilvl w:val="0"/>
          <w:numId w:val="19"/>
        </w:numPr>
        <w:spacing w:line="278" w:lineRule="auto"/>
      </w:pPr>
      <w:r w:rsidRPr="001D6625">
        <w:rPr>
          <w:b/>
          <w:bCs/>
        </w:rPr>
        <w:t>Enquête Harmonisée sur les Conditions de Vie des Ménages (EHCVM)</w:t>
      </w:r>
      <w:r w:rsidRPr="001D6625">
        <w:t xml:space="preserve"> de </w:t>
      </w:r>
      <w:r w:rsidRPr="00ED55D1">
        <w:t>2021</w:t>
      </w:r>
      <w:r w:rsidRPr="001D6625">
        <w:t xml:space="preserve"> pour la période de base réactualisée de 2023.</w:t>
      </w:r>
    </w:p>
    <w:p w14:paraId="731E6CB6" w14:textId="1651191E" w:rsidR="00A503D3" w:rsidRDefault="00A503D3" w:rsidP="00A503D3">
      <w:r w:rsidRPr="001D6625">
        <w:t xml:space="preserve">En pratique, chaque fois que les indices mensuels sont calculés, les pondérations fixes de l’année de base sont utilisées, conformément à la méthode de </w:t>
      </w:r>
      <w:proofErr w:type="spellStart"/>
      <w:r w:rsidRPr="001D6625">
        <w:t>Laspeyres</w:t>
      </w:r>
      <w:proofErr w:type="spellEnd"/>
      <w:r w:rsidRPr="001D6625">
        <w:t xml:space="preserve">, qui privilégie les poids de l’année de référence pour la comparaison des prix. </w:t>
      </w:r>
      <w:r w:rsidR="00932516" w:rsidRPr="00932516">
        <w:t>Les indices étaient auparavant calculés en référence aux pondérations de 2014, mais à partir de 2024, les pondérations calculées pour 2021 seront prises comme nouvelles références pour garantir une représentation plus fidèle de la structure des dépenses actuelles des ménages.</w:t>
      </w:r>
    </w:p>
    <w:p w14:paraId="713D7E92" w14:textId="77777777" w:rsidR="00A503D3" w:rsidRPr="001D6625" w:rsidRDefault="00A503D3" w:rsidP="00A503D3">
      <w:pPr>
        <w:rPr>
          <w:b/>
          <w:bCs/>
        </w:rPr>
      </w:pPr>
      <w:r w:rsidRPr="001D6625">
        <w:rPr>
          <w:b/>
          <w:bCs/>
        </w:rPr>
        <w:t>2. Indice élémentaire</w:t>
      </w:r>
    </w:p>
    <w:p w14:paraId="5F2D9C00" w14:textId="77777777" w:rsidR="00A503D3" w:rsidRPr="001D6625" w:rsidRDefault="00A503D3" w:rsidP="00A503D3">
      <w:r w:rsidRPr="001D6625">
        <w:t xml:space="preserve">Deux méthodes de calcul des </w:t>
      </w:r>
      <w:r w:rsidRPr="00932516">
        <w:t>indices élémentaires</w:t>
      </w:r>
      <w:r w:rsidRPr="001D6625">
        <w:t xml:space="preserve"> sont appliquées selon la nature des variétés :</w:t>
      </w:r>
    </w:p>
    <w:p w14:paraId="73C69AAB" w14:textId="77777777" w:rsidR="00A503D3" w:rsidRPr="001D6625" w:rsidRDefault="00A503D3" w:rsidP="00A503D3">
      <w:pPr>
        <w:rPr>
          <w:b/>
          <w:bCs/>
        </w:rPr>
      </w:pPr>
      <w:r w:rsidRPr="001D6625">
        <w:rPr>
          <w:b/>
          <w:bCs/>
        </w:rPr>
        <w:t>a. Variétés homogènes</w:t>
      </w:r>
    </w:p>
    <w:p w14:paraId="09291001" w14:textId="5E38E9F2" w:rsidR="0007734C" w:rsidRDefault="00A503D3" w:rsidP="00A503D3">
      <w:r w:rsidRPr="001D6625">
        <w:t>Pour les variétés homogènes, l'indice de la variété est calculé comme le rapport des prix moyens unitaires des séries observées :</w:t>
      </w:r>
    </w:p>
    <w:p w14:paraId="63E9E32E" w14:textId="36336B78" w:rsidR="00BF0678" w:rsidRPr="00BF0678" w:rsidRDefault="00000000" w:rsidP="00A503D3">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r>
                <m:rPr>
                  <m:lit/>
                </m:rPr>
                <w:rPr>
                  <w:rFonts w:ascii="Cambria Math" w:hAnsi="Cambria Math"/>
                </w:rPr>
                <m:t>/</m:t>
              </m:r>
              <m:r>
                <w:rPr>
                  <w:rFonts w:ascii="Cambria Math" w:hAnsi="Cambria Math"/>
                </w:rPr>
                <m:t>0</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ij,t</m:t>
                      </m:r>
                    </m:sub>
                  </m:sSub>
                  <m:ctrlPr>
                    <w:rPr>
                      <w:rFonts w:ascii="Cambria Math" w:hAnsi="Cambria Math"/>
                      <w:i/>
                    </w:rPr>
                  </m:ctrlPr>
                </m:e>
              </m:nary>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ij,0</m:t>
                      </m:r>
                    </m:sub>
                  </m:sSub>
                  <m:ctrlPr>
                    <w:rPr>
                      <w:rFonts w:ascii="Cambria Math" w:hAnsi="Cambria Math"/>
                      <w:i/>
                    </w:rPr>
                  </m:ctrlPr>
                </m:e>
              </m:nary>
              <m:ctrlPr>
                <w:rPr>
                  <w:rFonts w:ascii="Cambria Math" w:hAnsi="Cambria Math"/>
                  <w:i/>
                </w:rPr>
              </m:ctrlPr>
            </m:den>
          </m:f>
        </m:oMath>
      </m:oMathPara>
    </w:p>
    <w:p w14:paraId="60A37E68" w14:textId="64454E47" w:rsidR="00210041" w:rsidRPr="008864A3" w:rsidRDefault="00210041">
      <w:pPr>
        <w:pStyle w:val="Paragraphedeliste"/>
        <w:numPr>
          <w:ilvl w:val="0"/>
          <w:numId w:val="22"/>
        </w:numPr>
      </w:pPr>
      <m:oMath>
        <m:r>
          <w:rPr>
            <w:rFonts w:ascii="Cambria Math" w:hAnsi="Cambria Math"/>
          </w:rPr>
          <m:t>pᵢⱼ,ₜ : Prix unitaire de la série j de la variété i pour la période t.</m:t>
        </m:r>
      </m:oMath>
    </w:p>
    <w:p w14:paraId="2AB1E92C" w14:textId="1A23D1F6" w:rsidR="00A503D3" w:rsidRPr="001D6625" w:rsidRDefault="00000000">
      <w:pPr>
        <w:pStyle w:val="Paragraphedeliste"/>
        <w:numPr>
          <w:ilvl w:val="0"/>
          <w:numId w:val="22"/>
        </w:numPr>
      </w:pPr>
      <m:oMath>
        <m:sSub>
          <m:sSubPr>
            <m:ctrlPr>
              <w:rPr>
                <w:rFonts w:ascii="Cambria Math" w:hAnsi="Cambria Math"/>
                <w:i/>
              </w:rPr>
            </m:ctrlPr>
          </m:sSubPr>
          <m:e>
            <m:r>
              <w:rPr>
                <w:rFonts w:ascii="Cambria Math" w:hAnsi="Cambria Math"/>
              </w:rPr>
              <m:t>p</m:t>
            </m:r>
          </m:e>
          <m:sub>
            <m:r>
              <w:rPr>
                <w:rFonts w:ascii="Cambria Math" w:hAnsi="Cambria Math"/>
              </w:rPr>
              <m:t>ij,0</m:t>
            </m:r>
          </m:sub>
        </m:sSub>
        <m:r>
          <w:rPr>
            <w:rFonts w:ascii="Cambria Math" w:hAnsi="Cambria Math"/>
          </w:rPr>
          <m:t>: Prix unitaire de la série j de la variété i pour la période de base</m:t>
        </m:r>
      </m:oMath>
    </w:p>
    <w:p w14:paraId="064AF4CF" w14:textId="77777777" w:rsidR="00A503D3" w:rsidRPr="00B218C2" w:rsidRDefault="00A503D3" w:rsidP="00A503D3">
      <w:pPr>
        <w:rPr>
          <w:b/>
          <w:bCs/>
        </w:rPr>
      </w:pPr>
      <w:r w:rsidRPr="00B218C2">
        <w:rPr>
          <w:b/>
          <w:bCs/>
        </w:rPr>
        <w:t>b. Variétés hétérogènes</w:t>
      </w:r>
    </w:p>
    <w:p w14:paraId="049E690B" w14:textId="023B54EE" w:rsidR="00A503D3" w:rsidRDefault="00A503D3" w:rsidP="00A503D3">
      <w:r w:rsidRPr="00B218C2">
        <w:t xml:space="preserve">Pour les variétés hétérogènes, l'indice est calculé comme </w:t>
      </w:r>
      <w:r w:rsidR="001443D2">
        <w:t>la</w:t>
      </w:r>
      <w:r w:rsidRPr="00B218C2">
        <w:t xml:space="preserve"> moyenne géométrique </w:t>
      </w:r>
      <w:r w:rsidR="005F2A63">
        <w:t xml:space="preserve">des rapports </w:t>
      </w:r>
      <w:r w:rsidRPr="00B218C2">
        <w:t>des prix des séries représentant la variété :</w:t>
      </w:r>
    </w:p>
    <w:p w14:paraId="53791C3D" w14:textId="7E015B6B" w:rsidR="0056159E" w:rsidRPr="00F56208" w:rsidRDefault="00000000" w:rsidP="00A503D3">
      <m:oMathPara>
        <m:oMath>
          <m:sSub>
            <m:sSubPr>
              <m:ctrlPr>
                <w:rPr>
                  <w:rFonts w:ascii="Cambria Math" w:hAnsi="Cambria Math"/>
                  <w:i/>
                </w:rPr>
              </m:ctrlPr>
            </m:sSubPr>
            <m:e>
              <m:r>
                <w:rPr>
                  <w:rFonts w:ascii="Cambria Math" w:hAnsi="Cambria Math"/>
                </w:rPr>
                <m:t>I</m:t>
              </m:r>
            </m:e>
            <m:sub>
              <m:r>
                <w:rPr>
                  <w:rFonts w:ascii="Cambria Math" w:hAnsi="Cambria Math"/>
                </w:rPr>
                <m:t>t</m:t>
              </m:r>
              <m:r>
                <m:rPr>
                  <m:lit/>
                </m:rPr>
                <w:rPr>
                  <w:rFonts w:ascii="Cambria Math" w:hAnsi="Cambria Math"/>
                </w:rPr>
                <m:t>/</m:t>
              </m:r>
              <m:r>
                <w:rPr>
                  <w:rFonts w:ascii="Cambria Math" w:hAnsi="Cambria Math"/>
                </w:rPr>
                <m:t>0</m:t>
              </m:r>
            </m:sub>
          </m:sSub>
          <m:r>
            <w:rPr>
              <w:rFonts w:ascii="Cambria Math" w:hAnsi="Cambria Math"/>
            </w:rPr>
            <m:t>=</m:t>
          </m:r>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ij,t</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ij,0</m:t>
                              </m:r>
                            </m:sub>
                          </m:sSub>
                          <m:ctrlPr>
                            <w:rPr>
                              <w:rFonts w:ascii="Cambria Math" w:hAnsi="Cambria Math"/>
                              <w:i/>
                            </w:rPr>
                          </m:ctrlPr>
                        </m:den>
                      </m:f>
                      <m:ctrlPr>
                        <w:rPr>
                          <w:rFonts w:ascii="Cambria Math" w:hAnsi="Cambria Math"/>
                          <w:i/>
                        </w:rPr>
                      </m:ctrlPr>
                    </m:e>
                  </m:d>
                </m:e>
                <m:sup>
                  <m:sSub>
                    <m:sSubPr>
                      <m:ctrlPr>
                        <w:rPr>
                          <w:rFonts w:ascii="Cambria Math" w:hAnsi="Cambria Math"/>
                          <w:i/>
                        </w:rPr>
                      </m:ctrlPr>
                    </m:sSubPr>
                    <m:e>
                      <m:r>
                        <w:rPr>
                          <w:rFonts w:ascii="Cambria Math" w:hAnsi="Cambria Math"/>
                        </w:rPr>
                        <m:t>w</m:t>
                      </m:r>
                    </m:e>
                    <m:sub>
                      <m:r>
                        <w:rPr>
                          <w:rFonts w:ascii="Cambria Math" w:hAnsi="Cambria Math"/>
                        </w:rPr>
                        <m:t>ij</m:t>
                      </m:r>
                    </m:sub>
                  </m:sSub>
                </m:sup>
              </m:sSup>
              <m:ctrlPr>
                <w:rPr>
                  <w:rFonts w:ascii="Cambria Math" w:hAnsi="Cambria Math"/>
                  <w:i/>
                </w:rPr>
              </m:ctrlPr>
            </m:e>
          </m:nary>
        </m:oMath>
      </m:oMathPara>
    </w:p>
    <w:p w14:paraId="1957D41F" w14:textId="77777777" w:rsidR="00806AD5" w:rsidRPr="00806AD5" w:rsidRDefault="00806AD5">
      <w:pPr>
        <w:pStyle w:val="Paragraphedeliste"/>
        <w:numPr>
          <w:ilvl w:val="0"/>
          <w:numId w:val="23"/>
        </w:numPr>
        <w:rPr>
          <w:rFonts w:ascii="Cambria Math" w:hAnsi="Cambria Math"/>
          <w:oMath/>
        </w:rPr>
      </w:pPr>
      <m:oMath>
        <m:r>
          <w:rPr>
            <w:rFonts w:ascii="Cambria Math" w:hAnsi="Cambria Math"/>
          </w:rPr>
          <m:t xml:space="preserve">wᵢⱼ  : Pondération de la série j de la variété i, basée sur la dépense </m:t>
        </m:r>
      </m:oMath>
    </w:p>
    <w:p w14:paraId="2039FA98" w14:textId="203812A0" w:rsidR="00806AD5" w:rsidRPr="008864A3" w:rsidRDefault="00806AD5" w:rsidP="008864A3">
      <w:pPr>
        <w:pStyle w:val="Paragraphedeliste"/>
        <w:rPr>
          <w:rFonts w:ascii="Cambria Math" w:hAnsi="Cambria Math"/>
          <w:oMath/>
        </w:rPr>
      </w:pPr>
      <m:oMathPara>
        <m:oMathParaPr>
          <m:jc m:val="left"/>
        </m:oMathParaPr>
        <m:oMath>
          <m:r>
            <w:rPr>
              <w:rFonts w:ascii="Cambria Math" w:hAnsi="Cambria Math"/>
            </w:rPr>
            <m:t>totale des ménages pour cette variété.</m:t>
          </m:r>
        </m:oMath>
      </m:oMathPara>
    </w:p>
    <w:p w14:paraId="221AC78C" w14:textId="23F7D088" w:rsidR="00806AD5" w:rsidRPr="008864A3" w:rsidRDefault="00806AD5">
      <w:pPr>
        <w:pStyle w:val="Paragraphedeliste"/>
        <w:numPr>
          <w:ilvl w:val="0"/>
          <w:numId w:val="21"/>
        </w:numPr>
        <w:rPr>
          <w:rFonts w:ascii="Cambria Math" w:hAnsi="Cambria Math"/>
          <w:oMath/>
        </w:rPr>
      </w:pPr>
      <m:oMath>
        <m:r>
          <w:rPr>
            <w:rFonts w:ascii="Cambria Math" w:hAnsi="Cambria Math"/>
          </w:rPr>
          <m:t>pᵢⱼ,ₜ : Prix de la série j pour la période t.</m:t>
        </m:r>
      </m:oMath>
    </w:p>
    <w:p w14:paraId="075C950D" w14:textId="7D942A13" w:rsidR="00F56208" w:rsidRPr="008864A3" w:rsidRDefault="00806AD5">
      <w:pPr>
        <w:pStyle w:val="Paragraphedeliste"/>
        <w:numPr>
          <w:ilvl w:val="0"/>
          <w:numId w:val="21"/>
        </w:numPr>
      </w:pPr>
      <m:oMath>
        <m:r>
          <w:rPr>
            <w:rFonts w:ascii="Cambria Math" w:hAnsi="Cambria Math"/>
          </w:rPr>
          <m:t>pᵢⱼ,₀ : Prix de la série j pour la période de base.</m:t>
        </m:r>
      </m:oMath>
    </w:p>
    <w:p w14:paraId="4472E470" w14:textId="0D933898" w:rsidR="00A503D3" w:rsidRDefault="00A503D3" w:rsidP="00A503D3">
      <w:r w:rsidRPr="00B218C2">
        <w:t>Dans le cas où les séries sont équipondérées, la formule simplifiée devient :</w:t>
      </w:r>
    </w:p>
    <w:p w14:paraId="0488CC9A" w14:textId="54ACA6DC" w:rsidR="00A503D3" w:rsidRDefault="00000000" w:rsidP="00A503D3">
      <m:oMathPara>
        <m:oMath>
          <m:sSub>
            <m:sSubPr>
              <m:ctrlPr>
                <w:rPr>
                  <w:rFonts w:ascii="Cambria Math" w:hAnsi="Cambria Math"/>
                  <w:i/>
                </w:rPr>
              </m:ctrlPr>
            </m:sSubPr>
            <m:e>
              <m:r>
                <w:rPr>
                  <w:rFonts w:ascii="Cambria Math" w:hAnsi="Cambria Math"/>
                </w:rPr>
                <m:t>I</m:t>
              </m:r>
            </m:e>
            <m:sub>
              <m:r>
                <w:rPr>
                  <w:rFonts w:ascii="Cambria Math" w:hAnsi="Cambria Math"/>
                </w:rPr>
                <m:t>t</m:t>
              </m:r>
              <m:r>
                <m:rPr>
                  <m:lit/>
                </m:rPr>
                <w:rPr>
                  <w:rFonts w:ascii="Cambria Math" w:hAnsi="Cambria Math"/>
                </w:rPr>
                <m:t>/</m:t>
              </m:r>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ij,t</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ij,0</m:t>
                              </m:r>
                            </m:sub>
                          </m:sSub>
                          <m:ctrlPr>
                            <w:rPr>
                              <w:rFonts w:ascii="Cambria Math" w:hAnsi="Cambria Math"/>
                              <w:i/>
                            </w:rPr>
                          </m:ctrlPr>
                        </m:den>
                      </m:f>
                      <m:ctrlPr>
                        <w:rPr>
                          <w:rFonts w:ascii="Cambria Math" w:hAnsi="Cambria Math"/>
                          <w:i/>
                        </w:rPr>
                      </m:ctrlPr>
                    </m:e>
                  </m:nary>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n</m:t>
              </m:r>
            </m:sup>
          </m:sSup>
        </m:oMath>
      </m:oMathPara>
    </w:p>
    <w:p w14:paraId="0F1DE885" w14:textId="77777777" w:rsidR="00A503D3" w:rsidRDefault="00A503D3" w:rsidP="00A503D3">
      <w:r w:rsidRPr="00B218C2">
        <w:t>Où n est le nombre de séries observées pour la variété.</w:t>
      </w:r>
    </w:p>
    <w:p w14:paraId="096DEF1E" w14:textId="77777777" w:rsidR="00A503D3" w:rsidRPr="00B218C2" w:rsidRDefault="00A503D3" w:rsidP="00A503D3">
      <w:pPr>
        <w:rPr>
          <w:b/>
          <w:bCs/>
        </w:rPr>
      </w:pPr>
      <w:r w:rsidRPr="00B218C2">
        <w:rPr>
          <w:b/>
          <w:bCs/>
        </w:rPr>
        <w:t>3. Produits saisonniers</w:t>
      </w:r>
    </w:p>
    <w:p w14:paraId="597AF93C" w14:textId="77777777" w:rsidR="00A503D3" w:rsidRPr="00B218C2" w:rsidRDefault="00A503D3" w:rsidP="00A503D3">
      <w:r w:rsidRPr="00B218C2">
        <w:t>Certains produits, notamment les denrées alimentaires périssables, présentent des variations saisonnières importantes. Pour ces produits, deux étapes de calcul sont suivies :</w:t>
      </w:r>
    </w:p>
    <w:p w14:paraId="5DB85A7F" w14:textId="77777777" w:rsidR="00A503D3" w:rsidRPr="00B218C2" w:rsidRDefault="00A503D3" w:rsidP="00A503D3">
      <w:pPr>
        <w:rPr>
          <w:b/>
          <w:bCs/>
        </w:rPr>
      </w:pPr>
      <w:r w:rsidRPr="00B218C2">
        <w:rPr>
          <w:b/>
          <w:bCs/>
        </w:rPr>
        <w:t>a. Étape 1 : Calcul du prix moyen d'une variété</w:t>
      </w:r>
    </w:p>
    <w:p w14:paraId="0474A2F7" w14:textId="77777777" w:rsidR="00A503D3" w:rsidRPr="00B218C2" w:rsidRDefault="00A503D3" w:rsidP="00A503D3">
      <w:r w:rsidRPr="00B218C2">
        <w:t>Le prix moyen d'une variété pour un mois donné est calculé comme la moyenne arithmétique des prix des séries qui composent cette variété.</w:t>
      </w:r>
    </w:p>
    <w:p w14:paraId="099C95A1" w14:textId="77777777" w:rsidR="00A503D3" w:rsidRPr="00B218C2" w:rsidRDefault="00A503D3" w:rsidP="00A503D3">
      <w:pPr>
        <w:rPr>
          <w:b/>
          <w:bCs/>
        </w:rPr>
      </w:pPr>
      <w:r w:rsidRPr="00B218C2">
        <w:rPr>
          <w:b/>
          <w:bCs/>
        </w:rPr>
        <w:t>b. Étape 2 : Calcul de l'indice du poste saisonnier</w:t>
      </w:r>
    </w:p>
    <w:p w14:paraId="5725084B" w14:textId="77777777" w:rsidR="00A503D3" w:rsidRDefault="00A503D3" w:rsidP="00A503D3">
      <w:r w:rsidRPr="00B218C2">
        <w:t>L'indice du poste saisonnier est obtenu en calculant la moyenne géométrique des indices élémentaires des variétés, pondérée par les dépenses de consommation mensuelles de l'année de base.</w:t>
      </w:r>
    </w:p>
    <w:p w14:paraId="7B5EFB16" w14:textId="7A38C5C2" w:rsidR="00C039C0" w:rsidRPr="008864A3" w:rsidRDefault="00000000" w:rsidP="00A503D3">
      <m:oMathPara>
        <m:oMath>
          <m:sSubSup>
            <m:sSubSupPr>
              <m:ctrlPr>
                <w:rPr>
                  <w:rFonts w:ascii="Cambria Math" w:hAnsi="Cambria Math"/>
                  <w:i/>
                </w:rPr>
              </m:ctrlPr>
            </m:sSubSupPr>
            <m:e>
              <m:r>
                <w:rPr>
                  <w:rFonts w:ascii="Cambria Math" w:hAnsi="Cambria Math"/>
                </w:rPr>
                <m:t>I</m:t>
              </m:r>
            </m:e>
            <m:sub>
              <m:r>
                <w:rPr>
                  <w:rFonts w:ascii="Cambria Math" w:hAnsi="Cambria Math"/>
                </w:rPr>
                <m:t>t</m:t>
              </m:r>
              <m:r>
                <m:rPr>
                  <m:lit/>
                </m:rPr>
                <w:rPr>
                  <w:rFonts w:ascii="Cambria Math" w:hAnsi="Cambria Math"/>
                </w:rPr>
                <m:t>/</m:t>
              </m:r>
              <m:r>
                <w:rPr>
                  <w:rFonts w:ascii="Cambria Math" w:hAnsi="Cambria Math"/>
                </w:rPr>
                <m:t>0</m:t>
              </m:r>
            </m:sub>
            <m:sup>
              <m:r>
                <w:rPr>
                  <w:rFonts w:ascii="Cambria Math" w:hAnsi="Cambria Math"/>
                </w:rPr>
                <m:t>poste</m:t>
              </m:r>
            </m:sup>
          </m:sSubSup>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i,t</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i,0</m:t>
                              </m:r>
                            </m:sub>
                          </m:sSub>
                          <m:ctrlPr>
                            <w:rPr>
                              <w:rFonts w:ascii="Cambria Math" w:hAnsi="Cambria Math"/>
                              <w:i/>
                            </w:rPr>
                          </m:ctrlPr>
                        </m:den>
                      </m:f>
                      <m:ctrlPr>
                        <w:rPr>
                          <w:rFonts w:ascii="Cambria Math" w:hAnsi="Cambria Math"/>
                          <w:i/>
                        </w:rPr>
                      </m:ctrlPr>
                    </m:e>
                  </m:d>
                </m:e>
                <m:sup>
                  <m:sSub>
                    <m:sSubPr>
                      <m:ctrlPr>
                        <w:rPr>
                          <w:rFonts w:ascii="Cambria Math" w:hAnsi="Cambria Math"/>
                          <w:i/>
                        </w:rPr>
                      </m:ctrlPr>
                    </m:sSubPr>
                    <m:e>
                      <m:r>
                        <w:rPr>
                          <w:rFonts w:ascii="Cambria Math" w:hAnsi="Cambria Math"/>
                        </w:rPr>
                        <m:t>w</m:t>
                      </m:r>
                    </m:e>
                    <m:sub>
                      <m:r>
                        <w:rPr>
                          <w:rFonts w:ascii="Cambria Math" w:hAnsi="Cambria Math"/>
                        </w:rPr>
                        <m:t>i,t</m:t>
                      </m:r>
                    </m:sub>
                  </m:sSub>
                </m:sup>
              </m:sSup>
              <m:ctrlPr>
                <w:rPr>
                  <w:rFonts w:ascii="Cambria Math" w:hAnsi="Cambria Math"/>
                  <w:i/>
                </w:rPr>
              </m:ctrlPr>
            </m:e>
          </m:nary>
        </m:oMath>
      </m:oMathPara>
    </w:p>
    <w:p w14:paraId="702FB6E8" w14:textId="5F3ED4BB" w:rsidR="00C039C0" w:rsidRPr="008864A3" w:rsidRDefault="00C039C0">
      <w:pPr>
        <w:pStyle w:val="Paragraphedeliste"/>
        <w:numPr>
          <w:ilvl w:val="0"/>
          <w:numId w:val="24"/>
        </w:numPr>
        <w:rPr>
          <w:rFonts w:ascii="Cambria Math" w:hAnsi="Cambria Math"/>
          <w:oMath/>
        </w:rPr>
      </w:pPr>
      <m:oMath>
        <m:r>
          <w:rPr>
            <w:rFonts w:ascii="Cambria Math" w:hAnsi="Cambria Math"/>
          </w:rPr>
          <m:t>pᵢ,ₜ : Prix moyen de la variété i au mois t.</m:t>
        </m:r>
      </m:oMath>
    </w:p>
    <w:p w14:paraId="7188D0F3" w14:textId="2D4381A0" w:rsidR="00C039C0" w:rsidRPr="008864A3" w:rsidRDefault="00C039C0">
      <w:pPr>
        <w:pStyle w:val="Paragraphedeliste"/>
        <w:numPr>
          <w:ilvl w:val="0"/>
          <w:numId w:val="24"/>
        </w:numPr>
        <w:rPr>
          <w:rFonts w:ascii="Cambria Math" w:hAnsi="Cambria Math"/>
          <w:oMath/>
        </w:rPr>
      </w:pPr>
      <m:oMath>
        <m:r>
          <w:rPr>
            <w:rFonts w:ascii="Cambria Math" w:hAnsi="Cambria Math"/>
          </w:rPr>
          <m:t>pᵢ,₀ : Prix moyen de la variété i à l'année de base.</m:t>
        </m:r>
      </m:oMath>
    </w:p>
    <w:p w14:paraId="5A84D247" w14:textId="77777777" w:rsidR="00C039C0" w:rsidRPr="008864A3" w:rsidRDefault="00C039C0">
      <w:pPr>
        <w:pStyle w:val="Paragraphedeliste"/>
        <w:numPr>
          <w:ilvl w:val="0"/>
          <w:numId w:val="24"/>
        </w:numPr>
      </w:pPr>
      <m:oMath>
        <m:r>
          <w:rPr>
            <w:rFonts w:ascii="Cambria Math" w:hAnsi="Cambria Math"/>
          </w:rPr>
          <m:t>wᵢ,ₜ :Part de la dépense mensuelle de la variété i dans le</m:t>
        </m:r>
      </m:oMath>
    </w:p>
    <w:p w14:paraId="7041A098" w14:textId="6B07C619" w:rsidR="00C039C0" w:rsidRPr="00C039C0" w:rsidRDefault="00C039C0" w:rsidP="008864A3">
      <w:pPr>
        <w:pStyle w:val="Paragraphedeliste"/>
      </w:pPr>
      <m:oMathPara>
        <m:oMathParaPr>
          <m:jc m:val="left"/>
        </m:oMathParaPr>
        <m:oMath>
          <m:r>
            <w:rPr>
              <w:rFonts w:ascii="Cambria Math" w:hAnsi="Cambria Math"/>
            </w:rPr>
            <m:t xml:space="preserve"> poste pour la période t de l'année de base.</m:t>
          </m:r>
        </m:oMath>
      </m:oMathPara>
    </w:p>
    <w:p w14:paraId="553235D3" w14:textId="7F9C106B" w:rsidR="00A503D3" w:rsidRPr="00B218C2" w:rsidRDefault="00A503D3" w:rsidP="00A503D3">
      <w:pPr>
        <w:rPr>
          <w:b/>
          <w:bCs/>
        </w:rPr>
      </w:pPr>
      <w:r w:rsidRPr="00B218C2">
        <w:rPr>
          <w:b/>
          <w:bCs/>
        </w:rPr>
        <w:t>5. Tarifs réglementés</w:t>
      </w:r>
    </w:p>
    <w:p w14:paraId="0247AFC1" w14:textId="77777777" w:rsidR="00A503D3" w:rsidRPr="00B218C2" w:rsidRDefault="00A503D3" w:rsidP="00A503D3">
      <w:r w:rsidRPr="00B218C2">
        <w:t>Les tarifs incluent les tarifs publics (eau, électricité, transports publics) et les prix réglementés (services médicaux publics). Leur particularité réside dans le fait que leurs prix sont fixés pour des périodes définies, et peuvent changer à des dates précises dans le mois.</w:t>
      </w:r>
    </w:p>
    <w:p w14:paraId="132E3943" w14:textId="48563FBF" w:rsidR="00A503D3" w:rsidRDefault="00A503D3" w:rsidP="00A503D3">
      <w:r w:rsidRPr="00B218C2">
        <w:t>Le calcul de l'indice pour ces tarifs tient compte des durées respectives de l'ancien et du nouveau tarif. Si le changement de tarif intervient le jour j d'un mois de n jours, l'indice pour le mois est calculé ainsi :</w:t>
      </w:r>
    </w:p>
    <w:p w14:paraId="71F379F4" w14:textId="73B7630F" w:rsidR="00CA28C1" w:rsidRPr="008864A3" w:rsidRDefault="00000000" w:rsidP="00A503D3">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m:rPr>
              <m:sty m:val="p"/>
            </m:rPr>
            <w:rPr>
              <w:rFonts w:ascii="Cambria Math" w:hAnsi="Cambria Math"/>
            </w:rPr>
            <m:t>×</m:t>
          </m:r>
          <m:d>
            <m:dPr>
              <m:ctrlPr>
                <w:rPr>
                  <w:rFonts w:ascii="Cambria Math" w:hAnsi="Cambria Math"/>
                </w:rPr>
              </m:ctrlPr>
            </m:dPr>
            <m:e>
              <m:r>
                <w:rPr>
                  <w:rFonts w:ascii="Cambria Math" w:hAnsi="Cambria Math"/>
                </w:rPr>
                <m:t>j</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n-j</m:t>
                  </m:r>
                </m:e>
              </m:d>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2</m:t>
                  </m:r>
                </m:sub>
              </m:sSub>
              <m:ctrlPr>
                <w:rPr>
                  <w:rFonts w:ascii="Cambria Math" w:hAnsi="Cambria Math"/>
                  <w:i/>
                </w:rPr>
              </m:ctrlPr>
            </m:e>
          </m:d>
        </m:oMath>
      </m:oMathPara>
    </w:p>
    <w:p w14:paraId="618F13A0" w14:textId="7043C6F1" w:rsidR="00D403C6" w:rsidRPr="008864A3" w:rsidRDefault="00D403C6">
      <w:pPr>
        <w:pStyle w:val="Paragraphedeliste"/>
        <w:numPr>
          <w:ilvl w:val="0"/>
          <w:numId w:val="25"/>
        </w:numPr>
        <w:rPr>
          <w:rFonts w:ascii="Cambria Math" w:hAnsi="Cambria Math"/>
          <w:oMath/>
        </w:rPr>
      </w:pPr>
      <m:oMath>
        <m:r>
          <w:rPr>
            <w:rFonts w:ascii="Cambria Math" w:hAnsi="Cambria Math"/>
          </w:rPr>
          <m:t>I₁ : Indice avant le changement de prix.</m:t>
        </m:r>
      </m:oMath>
    </w:p>
    <w:p w14:paraId="6F577104" w14:textId="00CCC42C" w:rsidR="00A503D3" w:rsidRDefault="00D403C6">
      <w:pPr>
        <w:pStyle w:val="Paragraphedeliste"/>
        <w:numPr>
          <w:ilvl w:val="0"/>
          <w:numId w:val="25"/>
        </w:numPr>
      </w:pPr>
      <m:oMath>
        <m:r>
          <w:rPr>
            <w:rFonts w:ascii="Cambria Math" w:hAnsi="Cambria Math"/>
          </w:rPr>
          <m:t>I₂ : Indice après le changement de prix.</m:t>
        </m:r>
      </m:oMath>
    </w:p>
    <w:p w14:paraId="0897A7B5" w14:textId="77777777" w:rsidR="00A503D3" w:rsidRPr="00B218C2" w:rsidRDefault="00A503D3" w:rsidP="00A503D3">
      <w:pPr>
        <w:rPr>
          <w:b/>
          <w:bCs/>
        </w:rPr>
      </w:pPr>
      <w:r w:rsidRPr="00B218C2">
        <w:rPr>
          <w:b/>
          <w:bCs/>
        </w:rPr>
        <w:t>6. Loyers</w:t>
      </w:r>
    </w:p>
    <w:p w14:paraId="3D098AF8" w14:textId="7678814A" w:rsidR="00A503D3" w:rsidRDefault="00A503D3" w:rsidP="00A503D3">
      <w:r w:rsidRPr="00B218C2">
        <w:t xml:space="preserve">Pour les loyers, seuls les loyers réels des locataires sont pris en compte. Les loyers </w:t>
      </w:r>
      <w:r w:rsidR="005F2A63">
        <w:t>imputés</w:t>
      </w:r>
      <w:r w:rsidRPr="00B218C2">
        <w:t xml:space="preserve"> ne sont pas inclus dans le calcul de l'IHPC. L'indice des loyers pour un mois donné est obtenu en calculant la moyenne géométrique des indices des logements pour ce mois par rapport au mois précédent :</w:t>
      </w:r>
    </w:p>
    <w:p w14:paraId="1DCCF214" w14:textId="38F62757" w:rsidR="00D403C6" w:rsidRPr="008864A3" w:rsidRDefault="00000000" w:rsidP="00A503D3">
      <m:oMathPara>
        <m:oMath>
          <m:sSub>
            <m:sSubPr>
              <m:ctrlPr>
                <w:rPr>
                  <w:rFonts w:ascii="Cambria Math" w:hAnsi="Cambria Math"/>
                  <w:i/>
                </w:rPr>
              </m:ctrlPr>
            </m:sSubPr>
            <m:e>
              <m:r>
                <w:rPr>
                  <w:rFonts w:ascii="Cambria Math" w:hAnsi="Cambria Math"/>
                </w:rPr>
                <m:t>I</m:t>
              </m:r>
            </m:e>
            <m:sub>
              <m:r>
                <w:rPr>
                  <w:rFonts w:ascii="Cambria Math" w:hAnsi="Cambria Math"/>
                </w:rPr>
                <m:t>t</m:t>
              </m:r>
              <m:r>
                <m:rPr>
                  <m:lit/>
                </m:rPr>
                <w:rPr>
                  <w:rFonts w:ascii="Cambria Math" w:hAnsi="Cambria Math"/>
                </w:rPr>
                <m:t>/</m:t>
              </m:r>
              <m:r>
                <w:rPr>
                  <w:rFonts w:ascii="Cambria Math" w:hAnsi="Cambria Math"/>
                </w:rPr>
                <m:t>t-1</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i,t</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i,t-1</m:t>
                              </m:r>
                            </m:sub>
                          </m:sSub>
                          <m:ctrlPr>
                            <w:rPr>
                              <w:rFonts w:ascii="Cambria Math" w:hAnsi="Cambria Math"/>
                              <w:i/>
                            </w:rPr>
                          </m:ctrlPr>
                        </m:den>
                      </m:f>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N</m:t>
                  </m:r>
                </m:sup>
              </m:sSup>
              <m:ctrlPr>
                <w:rPr>
                  <w:rFonts w:ascii="Cambria Math" w:hAnsi="Cambria Math"/>
                  <w:i/>
                </w:rPr>
              </m:ctrlPr>
            </m:e>
          </m:nary>
        </m:oMath>
      </m:oMathPara>
    </w:p>
    <w:p w14:paraId="579906B4" w14:textId="77777777" w:rsidR="00D403C6" w:rsidRPr="00D403C6" w:rsidRDefault="00D403C6" w:rsidP="00A503D3"/>
    <w:p w14:paraId="5441899C" w14:textId="77777777" w:rsidR="00A503D3" w:rsidRDefault="00A503D3" w:rsidP="00A503D3"/>
    <w:p w14:paraId="1A8D1E99" w14:textId="4A8E7917" w:rsidR="00A503D3" w:rsidRDefault="00A503D3" w:rsidP="00A503D3">
      <w:r w:rsidRPr="00B218C2">
        <w:t>Où N</w:t>
      </w:r>
      <w:r w:rsidR="00D403C6">
        <w:t xml:space="preserve"> </w:t>
      </w:r>
      <w:r w:rsidRPr="00B218C2">
        <w:t>est le nombre d'observations de loyers pour le mois t</w:t>
      </w:r>
      <w:r>
        <w:t>.</w:t>
      </w:r>
    </w:p>
    <w:p w14:paraId="73389707" w14:textId="77777777" w:rsidR="007143BE" w:rsidRDefault="00A503D3" w:rsidP="00A503D3">
      <w:pPr>
        <w:rPr>
          <w:b/>
          <w:bCs/>
        </w:rPr>
      </w:pPr>
      <w:r w:rsidRPr="00B218C2">
        <w:rPr>
          <w:b/>
          <w:bCs/>
        </w:rPr>
        <w:t>7. Calcul des indices agrégés</w:t>
      </w:r>
    </w:p>
    <w:p w14:paraId="2CC1C623" w14:textId="2397021B" w:rsidR="00A503D3" w:rsidRPr="007143BE" w:rsidRDefault="00A503D3" w:rsidP="00A503D3">
      <w:pPr>
        <w:rPr>
          <w:b/>
          <w:bCs/>
        </w:rPr>
      </w:pPr>
      <w:r w:rsidRPr="00B218C2">
        <w:t xml:space="preserve">Les indices élémentaires sont agrégés pour obtenir les </w:t>
      </w:r>
      <w:r w:rsidRPr="007143BE">
        <w:t>indices globaux</w:t>
      </w:r>
      <w:r w:rsidRPr="00B218C2">
        <w:t xml:space="preserve"> à différents niveaux (postes, sous-groupes, groupes). L'indice global pour une région est calculé en agrégeant les indices des sous-groupes pondérés par leurs parts dans les dépenses totales des ménages :</w:t>
      </w:r>
    </w:p>
    <w:p w14:paraId="5A45F10C" w14:textId="4F119D59" w:rsidR="00D403C6" w:rsidRPr="008864A3" w:rsidRDefault="00000000" w:rsidP="00A503D3">
      <w:pPr>
        <w:rPr>
          <w:lang w:val="en-US"/>
        </w:rPr>
      </w:pPr>
      <m:oMathPara>
        <m:oMath>
          <m:sSubSup>
            <m:sSubSupPr>
              <m:ctrlPr>
                <w:rPr>
                  <w:rFonts w:ascii="Cambria Math" w:hAnsi="Cambria Math"/>
                  <w:i/>
                </w:rPr>
              </m:ctrlPr>
            </m:sSubSupPr>
            <m:e>
              <m:r>
                <w:rPr>
                  <w:rFonts w:ascii="Cambria Math" w:hAnsi="Cambria Math"/>
                </w:rPr>
                <m:t>I</m:t>
              </m:r>
            </m:e>
            <m:sub>
              <m:r>
                <w:rPr>
                  <w:rFonts w:ascii="Cambria Math" w:hAnsi="Cambria Math"/>
                </w:rPr>
                <m:t>t</m:t>
              </m:r>
              <m:r>
                <m:rPr>
                  <m:lit/>
                </m:rPr>
                <w:rPr>
                  <w:rFonts w:ascii="Cambria Math" w:hAnsi="Cambria Math"/>
                  <w:lang w:val="en-US"/>
                </w:rPr>
                <m:t>/</m:t>
              </m:r>
              <m:r>
                <w:rPr>
                  <w:rFonts w:ascii="Cambria Math" w:hAnsi="Cambria Math"/>
                  <w:lang w:val="en-US"/>
                </w:rPr>
                <m:t>0</m:t>
              </m:r>
            </m:sub>
            <m:sup>
              <m:r>
                <m:rPr>
                  <m:nor/>
                </m:rPr>
                <w:rPr>
                  <w:rFonts w:ascii="Cambria Math" w:hAnsi="Cambria Math"/>
                  <w:lang w:val="en-US"/>
                </w:rPr>
                <m:t>global</m:t>
              </m:r>
            </m:sup>
          </m:sSubSup>
          <m:r>
            <w:rPr>
              <w:rFonts w:ascii="Cambria Math" w:hAnsi="Cambria Math"/>
              <w:lang w:val="en-US"/>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US"/>
                    </w:rPr>
                    <m:t>,0</m:t>
                  </m:r>
                </m:sub>
              </m:sSub>
              <m:ctrlPr>
                <w:rPr>
                  <w:rFonts w:ascii="Cambria Math" w:hAnsi="Cambria Math"/>
                  <w:i/>
                </w:rPr>
              </m:ctrlPr>
            </m:e>
          </m:nary>
          <m:r>
            <m:rPr>
              <m:sty m:val="p"/>
            </m:rPr>
            <w:rPr>
              <w:rFonts w:ascii="Cambria Math" w:hAnsi="Cambria Math"/>
              <w:lang w:val="en-US"/>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i</m:t>
              </m:r>
              <m:r>
                <w:rPr>
                  <w:rFonts w:ascii="Cambria Math" w:hAnsi="Cambria Math"/>
                  <w:lang w:val="en-US"/>
                </w:rPr>
                <m:t>,</m:t>
              </m:r>
              <m:r>
                <w:rPr>
                  <w:rFonts w:ascii="Cambria Math" w:hAnsi="Cambria Math"/>
                </w:rPr>
                <m:t>t</m:t>
              </m:r>
              <m:r>
                <m:rPr>
                  <m:lit/>
                </m:rPr>
                <w:rPr>
                  <w:rFonts w:ascii="Cambria Math" w:hAnsi="Cambria Math"/>
                  <w:lang w:val="en-US"/>
                </w:rPr>
                <m:t>/</m:t>
              </m:r>
              <m:r>
                <w:rPr>
                  <w:rFonts w:ascii="Cambria Math" w:hAnsi="Cambria Math"/>
                  <w:lang w:val="en-US"/>
                </w:rPr>
                <m:t>0</m:t>
              </m:r>
            </m:sub>
          </m:sSub>
        </m:oMath>
      </m:oMathPara>
    </w:p>
    <w:p w14:paraId="46A79E13" w14:textId="5E5C51BB" w:rsidR="00314121" w:rsidRPr="00314121" w:rsidRDefault="00000000">
      <w:pPr>
        <w:pStyle w:val="Paragraphedeliste"/>
        <w:numPr>
          <w:ilvl w:val="0"/>
          <w:numId w:val="27"/>
        </w:numPr>
        <w:rPr>
          <w:rFonts w:ascii="Cambria Math" w:hAnsi="Cambria Math"/>
          <w:lang w:val="en-US"/>
          <w:oMath/>
        </w:rPr>
      </w:pPr>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US"/>
              </w:rPr>
              <m:t>,0</m:t>
            </m:r>
          </m:sub>
        </m:sSub>
        <m:r>
          <w:rPr>
            <w:rFonts w:ascii="Cambria Math" w:hAnsi="Cambria Math"/>
            <w:lang w:val="en-US"/>
          </w:rPr>
          <m:t xml:space="preserve">: Part de la dépense du groupe i dans la dépense </m:t>
        </m:r>
      </m:oMath>
    </w:p>
    <w:p w14:paraId="288BD98E" w14:textId="62A1DD28" w:rsidR="00314121" w:rsidRPr="00314121" w:rsidRDefault="00314121" w:rsidP="008864A3">
      <w:pPr>
        <w:pStyle w:val="Paragraphedeliste"/>
        <w:ind w:left="778"/>
        <w:rPr>
          <w:rFonts w:ascii="Cambria Math" w:hAnsi="Cambria Math"/>
          <w:lang w:val="en-US"/>
          <w:oMath/>
        </w:rPr>
      </w:pPr>
      <m:oMathPara>
        <m:oMathParaPr>
          <m:jc m:val="left"/>
        </m:oMathParaPr>
        <m:oMath>
          <m:r>
            <w:rPr>
              <w:rFonts w:ascii="Cambria Math" w:hAnsi="Cambria Math"/>
              <w:lang w:val="en-US"/>
            </w:rPr>
            <m:t>totale des ménages à la période de base.</m:t>
          </m:r>
        </m:oMath>
      </m:oMathPara>
    </w:p>
    <w:p w14:paraId="0C04D95E" w14:textId="6ADF9E4E" w:rsidR="00A503D3" w:rsidRPr="007143BE" w:rsidRDefault="00314121">
      <w:pPr>
        <w:pStyle w:val="Paragraphedeliste"/>
        <w:numPr>
          <w:ilvl w:val="0"/>
          <w:numId w:val="26"/>
        </w:numPr>
        <w:rPr>
          <w:lang w:val="en-US"/>
        </w:rPr>
      </w:pPr>
      <m:oMath>
        <m:r>
          <w:rPr>
            <w:rFonts w:ascii="Cambria Math" w:hAnsi="Cambria Math"/>
            <w:lang w:val="en-US"/>
          </w:rPr>
          <m:t>Iᵢ,ₜ/₀ : Indice élémentaire pour le groupe i.</m:t>
        </m:r>
      </m:oMath>
    </w:p>
    <w:p w14:paraId="31139FAD" w14:textId="1FC90874" w:rsidR="00A503D3" w:rsidRPr="00982FC8" w:rsidRDefault="00A503D3" w:rsidP="00A503D3">
      <w:r w:rsidRPr="00B218C2">
        <w:t xml:space="preserve">Les </w:t>
      </w:r>
      <w:r w:rsidRPr="007143BE">
        <w:t>indi</w:t>
      </w:r>
      <w:r w:rsidRPr="00B218C2">
        <w:t>ces nationaux sont calculés en agrégeant les indices régionaux, pondérés par la contribution de chaque région aux dépenses totales des ménages.</w:t>
      </w:r>
    </w:p>
    <w:p w14:paraId="3D39284F" w14:textId="1BDC8E79" w:rsidR="00FE18F6" w:rsidRDefault="00F974FD" w:rsidP="00FE18F6">
      <w:pPr>
        <w:pStyle w:val="Titre1"/>
      </w:pPr>
      <w:r>
        <w:br w:type="page"/>
      </w:r>
      <w:bookmarkStart w:id="54" w:name="_Toc180927853"/>
      <w:bookmarkStart w:id="55" w:name="_Toc182735155"/>
      <w:bookmarkStart w:id="56" w:name="_Toc182822569"/>
      <w:r w:rsidR="00FE18F6">
        <w:t xml:space="preserve">Chapitre 3 : Analyse de l’évolution des pondérations de 2014 et de </w:t>
      </w:r>
      <w:r w:rsidR="00023158">
        <w:t>2021</w:t>
      </w:r>
      <w:bookmarkEnd w:id="54"/>
      <w:bookmarkEnd w:id="55"/>
      <w:bookmarkEnd w:id="56"/>
    </w:p>
    <w:p w14:paraId="16B05F5A" w14:textId="77777777" w:rsidR="00AC4FC0" w:rsidRDefault="00AC4FC0" w:rsidP="00AC4FC0">
      <w:pPr>
        <w:rPr>
          <w:b/>
          <w:bCs/>
          <w:sz w:val="28"/>
          <w:szCs w:val="24"/>
        </w:rPr>
      </w:pPr>
    </w:p>
    <w:p w14:paraId="50314A7E" w14:textId="08A8251F" w:rsidR="00AC4FC0" w:rsidRDefault="00AC4FC0" w:rsidP="00AC4FC0">
      <w:r w:rsidRPr="00AC4FC0">
        <w:t xml:space="preserve">Dans </w:t>
      </w:r>
      <w:r>
        <w:t>ce chapitre</w:t>
      </w:r>
      <w:r w:rsidRPr="00AC4FC0">
        <w:t>, nous analys</w:t>
      </w:r>
      <w:r>
        <w:t>erons</w:t>
      </w:r>
      <w:r w:rsidRPr="00AC4FC0">
        <w:t xml:space="preserve"> les pondérations des différentes divisions de consommation utilisées dans l'Indice Harmonisé des Prix à la Consommation (IHPC) pour les années 2014 et 202</w:t>
      </w:r>
      <w:r w:rsidR="001D41BD">
        <w:t>1</w:t>
      </w:r>
      <w:r w:rsidRPr="00AC4FC0">
        <w:t xml:space="preserve">. L’objectif est de mettre en évidence les évolutions des comportements de consommation des ménages sénégalais au </w:t>
      </w:r>
      <w:r>
        <w:t>cours de cette période.</w:t>
      </w:r>
    </w:p>
    <w:p w14:paraId="383A87F9" w14:textId="77777777" w:rsidR="00FE18F6" w:rsidRPr="00C41B5B" w:rsidRDefault="00FE18F6" w:rsidP="0003278A">
      <w:pPr>
        <w:pStyle w:val="Titre2"/>
      </w:pPr>
      <w:bookmarkStart w:id="57" w:name="_Toc182822570"/>
      <w:r w:rsidRPr="00C41B5B">
        <w:t>Pondération 2014</w:t>
      </w:r>
      <w:bookmarkEnd w:id="57"/>
    </w:p>
    <w:p w14:paraId="387F1EE5" w14:textId="4731334C" w:rsidR="00FE18F6" w:rsidRPr="00A870B4" w:rsidRDefault="00FE18F6" w:rsidP="00FE18F6">
      <w:pPr>
        <w:rPr>
          <w:lang w:val="fr-SN"/>
        </w:rPr>
      </w:pPr>
      <w:r w:rsidRPr="00A870B4">
        <w:rPr>
          <w:lang w:val="fr-SN"/>
        </w:rPr>
        <w:t xml:space="preserve">En 2014, les produits alimentaires et boissons non alcoolisées représentaient la majeure partie des dépenses des ménages, avec un </w:t>
      </w:r>
      <w:r w:rsidR="00BF0678">
        <w:rPr>
          <w:lang w:val="fr-SN"/>
        </w:rPr>
        <w:t>poids</w:t>
      </w:r>
      <w:r w:rsidRPr="00A870B4">
        <w:rPr>
          <w:lang w:val="fr-SN"/>
        </w:rPr>
        <w:t xml:space="preserve"> de 49,64 %. Cette division dominait </w:t>
      </w:r>
      <w:r>
        <w:rPr>
          <w:lang w:val="fr-SN"/>
        </w:rPr>
        <w:t>notoirement</w:t>
      </w:r>
      <w:r w:rsidRPr="00A870B4">
        <w:rPr>
          <w:lang w:val="fr-SN"/>
        </w:rPr>
        <w:t xml:space="preserve"> le panier de consommation, indiquant l'importance des dépenses alimentaires. La deuxième </w:t>
      </w:r>
      <w:r w:rsidR="00006BFF">
        <w:rPr>
          <w:lang w:val="fr-SN"/>
        </w:rPr>
        <w:t>division</w:t>
      </w:r>
      <w:r w:rsidRPr="00A870B4">
        <w:rPr>
          <w:lang w:val="fr-SN"/>
        </w:rPr>
        <w:t xml:space="preserve"> la plus importante était "Logement, eau, gaz, électricité et autres combustibles", avec 12,04 %, soulignant le poids des dépenses liées à </w:t>
      </w:r>
      <w:r>
        <w:rPr>
          <w:lang w:val="fr-SN"/>
        </w:rPr>
        <w:t>ces</w:t>
      </w:r>
      <w:r w:rsidRPr="00A870B4">
        <w:rPr>
          <w:lang w:val="fr-SN"/>
        </w:rPr>
        <w:t xml:space="preserve"> services de base.</w:t>
      </w:r>
    </w:p>
    <w:p w14:paraId="7FD0FCF2" w14:textId="3F9C6C86" w:rsidR="00FE18F6" w:rsidRDefault="00FE18F6" w:rsidP="00FE18F6">
      <w:pPr>
        <w:rPr>
          <w:lang w:val="fr-SN"/>
        </w:rPr>
      </w:pPr>
      <w:r w:rsidRPr="00A870B4">
        <w:rPr>
          <w:lang w:val="fr-SN"/>
        </w:rPr>
        <w:t xml:space="preserve">Les articles d'habillement et chaussures représentaient 7,30 %, tandis que les meubles et entretien courant du foyer se situaient à 5,02 %. Les transports avaient </w:t>
      </w:r>
      <w:r w:rsidR="00BF0678">
        <w:rPr>
          <w:lang w:val="fr-SN"/>
        </w:rPr>
        <w:t>un poids</w:t>
      </w:r>
      <w:r w:rsidRPr="00A870B4">
        <w:rPr>
          <w:lang w:val="fr-SN"/>
        </w:rPr>
        <w:t xml:space="preserve"> de 5,63 %, reflétant </w:t>
      </w:r>
      <w:r>
        <w:rPr>
          <w:lang w:val="fr-SN"/>
        </w:rPr>
        <w:t>un poids modéré de cette catégorie</w:t>
      </w:r>
      <w:r w:rsidRPr="00A870B4">
        <w:rPr>
          <w:lang w:val="fr-SN"/>
        </w:rPr>
        <w:t xml:space="preserve"> dans les dépenses des ménages. Les biens et services divers représentaient 3,83 %, et les restaurants et </w:t>
      </w:r>
      <w:r w:rsidR="005F2A63">
        <w:rPr>
          <w:lang w:val="fr-SN"/>
        </w:rPr>
        <w:t>services d’</w:t>
      </w:r>
      <w:proofErr w:type="spellStart"/>
      <w:r w:rsidR="005F2A63">
        <w:rPr>
          <w:lang w:val="fr-SN"/>
        </w:rPr>
        <w:t>hebergement</w:t>
      </w:r>
      <w:proofErr w:type="spellEnd"/>
      <w:r w:rsidRPr="00A870B4">
        <w:rPr>
          <w:lang w:val="fr-SN"/>
        </w:rPr>
        <w:t xml:space="preserve"> étaient à 3,76 %. Les communications et les services de santé </w:t>
      </w:r>
      <w:r w:rsidR="00006BFF">
        <w:rPr>
          <w:lang w:val="fr-SN"/>
        </w:rPr>
        <w:t>avaient</w:t>
      </w:r>
      <w:r w:rsidRPr="00A870B4">
        <w:rPr>
          <w:lang w:val="fr-SN"/>
        </w:rPr>
        <w:t xml:space="preserve"> </w:t>
      </w:r>
      <w:r w:rsidR="001A42AD" w:rsidRPr="00A870B4">
        <w:rPr>
          <w:lang w:val="fr-SN"/>
        </w:rPr>
        <w:t xml:space="preserve">des </w:t>
      </w:r>
      <w:r w:rsidR="001A42AD">
        <w:rPr>
          <w:lang w:val="fr-SN"/>
        </w:rPr>
        <w:t>poid</w:t>
      </w:r>
      <w:r w:rsidR="001A42AD" w:rsidRPr="00A870B4">
        <w:rPr>
          <w:lang w:val="fr-SN"/>
        </w:rPr>
        <w:t>s respectifs</w:t>
      </w:r>
      <w:r w:rsidRPr="00A870B4">
        <w:rPr>
          <w:lang w:val="fr-SN"/>
        </w:rPr>
        <w:t xml:space="preserve"> de 3,29 % et 3,53 %, montrant une consommation modérée. Les divisions les moins pondérées incluaient l'enseignement (1,94 %) et tabac et stupéfiants (0,49 %), représentant des parts relativement faibles du budget</w:t>
      </w:r>
      <w:r w:rsidR="00006BFF">
        <w:rPr>
          <w:lang w:val="fr-SN"/>
        </w:rPr>
        <w:t xml:space="preserve"> de consommation</w:t>
      </w:r>
      <w:r w:rsidRPr="00A870B4">
        <w:rPr>
          <w:lang w:val="fr-SN"/>
        </w:rPr>
        <w:t xml:space="preserve"> des ménages.</w:t>
      </w:r>
    </w:p>
    <w:p w14:paraId="0F84D43E" w14:textId="77777777" w:rsidR="00FE18F6" w:rsidRPr="00A870B4" w:rsidRDefault="00FE18F6" w:rsidP="00FE18F6">
      <w:pPr>
        <w:rPr>
          <w:lang w:val="fr-SN"/>
        </w:rPr>
      </w:pPr>
    </w:p>
    <w:p w14:paraId="75CEF99B" w14:textId="528CF84D" w:rsidR="00FE18F6" w:rsidRPr="001E7C15" w:rsidRDefault="00FE18F6" w:rsidP="00FE18F6">
      <w:pPr>
        <w:pStyle w:val="Lgende"/>
        <w:keepNext/>
        <w:rPr>
          <w:b/>
          <w:bCs/>
          <w:i w:val="0"/>
          <w:iCs w:val="0"/>
          <w:sz w:val="28"/>
          <w:szCs w:val="28"/>
        </w:rPr>
      </w:pPr>
      <w:bookmarkStart w:id="58" w:name="_Toc180927673"/>
      <w:r w:rsidRPr="001E7C15">
        <w:rPr>
          <w:sz w:val="28"/>
          <w:szCs w:val="28"/>
        </w:rPr>
        <w:t xml:space="preserve">Graphique </w:t>
      </w:r>
      <w:r w:rsidRPr="001E7C15">
        <w:rPr>
          <w:b/>
          <w:bCs/>
          <w:i w:val="0"/>
          <w:iCs w:val="0"/>
          <w:sz w:val="28"/>
          <w:szCs w:val="28"/>
        </w:rPr>
        <w:fldChar w:fldCharType="begin"/>
      </w:r>
      <w:r w:rsidRPr="001E7C15">
        <w:rPr>
          <w:sz w:val="28"/>
          <w:szCs w:val="28"/>
        </w:rPr>
        <w:instrText xml:space="preserve"> SEQ Graphique \* ARABIC </w:instrText>
      </w:r>
      <w:r w:rsidRPr="001E7C15">
        <w:rPr>
          <w:b/>
          <w:bCs/>
          <w:i w:val="0"/>
          <w:iCs w:val="0"/>
          <w:sz w:val="28"/>
          <w:szCs w:val="28"/>
        </w:rPr>
        <w:fldChar w:fldCharType="separate"/>
      </w:r>
      <w:r w:rsidR="00427D57">
        <w:rPr>
          <w:noProof/>
          <w:sz w:val="28"/>
          <w:szCs w:val="28"/>
        </w:rPr>
        <w:t>1</w:t>
      </w:r>
      <w:r w:rsidRPr="001E7C15">
        <w:rPr>
          <w:b/>
          <w:bCs/>
          <w:i w:val="0"/>
          <w:iCs w:val="0"/>
          <w:sz w:val="28"/>
          <w:szCs w:val="28"/>
        </w:rPr>
        <w:fldChar w:fldCharType="end"/>
      </w:r>
      <w:r w:rsidRPr="001E7C15">
        <w:rPr>
          <w:sz w:val="28"/>
          <w:szCs w:val="28"/>
        </w:rPr>
        <w:t> : Pondération des divisions en 2014</w:t>
      </w:r>
      <w:bookmarkEnd w:id="58"/>
    </w:p>
    <w:p w14:paraId="204A9A29" w14:textId="447F1C49" w:rsidR="00FE18F6" w:rsidRPr="001E7C15" w:rsidRDefault="009C5813" w:rsidP="00FE18F6">
      <w:pPr>
        <w:keepNext/>
      </w:pPr>
      <w:r>
        <w:rPr>
          <w:noProof/>
          <w14:ligatures w14:val="none"/>
        </w:rPr>
        <w:drawing>
          <wp:inline distT="0" distB="0" distL="0" distR="0" wp14:anchorId="5B6D026C" wp14:editId="45BEA9D1">
            <wp:extent cx="5943600" cy="2753360"/>
            <wp:effectExtent l="0" t="0" r="0" b="8890"/>
            <wp:docPr id="10" name="Graphique 10">
              <a:extLst xmlns:a="http://schemas.openxmlformats.org/drawingml/2006/main">
                <a:ext uri="{FF2B5EF4-FFF2-40B4-BE49-F238E27FC236}">
                  <a16:creationId xmlns:a16="http://schemas.microsoft.com/office/drawing/2014/main" id="{08212DFA-CD8F-86B8-B7AE-F743EC2A9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08CB44" w14:textId="77777777" w:rsidR="00FE18F6" w:rsidRPr="001E7C15" w:rsidRDefault="00FE18F6" w:rsidP="00FE18F6">
      <w:pPr>
        <w:rPr>
          <w:i/>
          <w:iCs/>
        </w:rPr>
      </w:pPr>
      <w:r w:rsidRPr="001E7C15">
        <w:rPr>
          <w:i/>
          <w:iCs/>
        </w:rPr>
        <w:t>Source : ANSD, Calcul de l’auteur</w:t>
      </w:r>
    </w:p>
    <w:p w14:paraId="116AEEA3" w14:textId="10ECE607" w:rsidR="00FE18F6" w:rsidRDefault="00FE18F6" w:rsidP="0003278A">
      <w:pPr>
        <w:pStyle w:val="Titre2"/>
        <w:rPr>
          <w:lang w:val="fr-SN"/>
        </w:rPr>
      </w:pPr>
      <w:bookmarkStart w:id="59" w:name="_Toc182822571"/>
      <w:bookmarkStart w:id="60" w:name="_Hlk178068491"/>
      <w:r w:rsidRPr="00C41B5B">
        <w:rPr>
          <w:lang w:val="fr-SN"/>
        </w:rPr>
        <w:t>Pondération 202</w:t>
      </w:r>
      <w:bookmarkEnd w:id="59"/>
      <w:r w:rsidR="001D41BD">
        <w:rPr>
          <w:lang w:val="fr-SN"/>
        </w:rPr>
        <w:t>1</w:t>
      </w:r>
    </w:p>
    <w:p w14:paraId="4C9B1E90" w14:textId="73544F19" w:rsidR="00455572" w:rsidRPr="00455572" w:rsidRDefault="00455572" w:rsidP="00455572">
      <w:pPr>
        <w:rPr>
          <w:lang w:val="fr-SN"/>
        </w:rPr>
      </w:pPr>
      <w:r w:rsidRPr="00455572">
        <w:rPr>
          <w:lang w:val="fr-SN"/>
        </w:rPr>
        <w:t>En 202</w:t>
      </w:r>
      <w:r w:rsidR="001D41BD">
        <w:rPr>
          <w:lang w:val="fr-SN"/>
        </w:rPr>
        <w:t>1</w:t>
      </w:r>
      <w:r w:rsidRPr="00455572">
        <w:rPr>
          <w:lang w:val="fr-SN"/>
        </w:rPr>
        <w:t xml:space="preserve">, les produits alimentaires et boissons non alcoolisées restent la catégorie dominante avec </w:t>
      </w:r>
      <w:r w:rsidR="00BF0678">
        <w:rPr>
          <w:lang w:val="fr-SN"/>
        </w:rPr>
        <w:t>un poids</w:t>
      </w:r>
      <w:r w:rsidRPr="00455572">
        <w:rPr>
          <w:lang w:val="fr-SN"/>
        </w:rPr>
        <w:t xml:space="preserve"> de 45,47 %, confirmant leur rôle central dans les dépenses des ménages. La division "Logement, eau, électricité, gaz et autres combustibles" occupe la deuxième place avec 9,16 %, reflétant l'importance des dépenses liées à l'habitat et aux services de base.</w:t>
      </w:r>
    </w:p>
    <w:p w14:paraId="20F2E12B" w14:textId="26296D94" w:rsidR="00455572" w:rsidRPr="00455572" w:rsidRDefault="00455572" w:rsidP="00455572">
      <w:pPr>
        <w:rPr>
          <w:lang w:val="fr-SN"/>
        </w:rPr>
      </w:pPr>
      <w:r w:rsidRPr="00455572">
        <w:rPr>
          <w:lang w:val="fr-SN"/>
        </w:rPr>
        <w:t xml:space="preserve">Les restaurants et services d'hébergement </w:t>
      </w:r>
      <w:r w:rsidR="00006BFF">
        <w:rPr>
          <w:lang w:val="fr-SN"/>
        </w:rPr>
        <w:t>ont</w:t>
      </w:r>
      <w:r w:rsidRPr="00455572">
        <w:rPr>
          <w:lang w:val="fr-SN"/>
        </w:rPr>
        <w:t xml:space="preserve"> </w:t>
      </w:r>
      <w:r w:rsidR="00BF0678">
        <w:rPr>
          <w:lang w:val="fr-SN"/>
        </w:rPr>
        <w:t>un poids</w:t>
      </w:r>
      <w:r w:rsidRPr="00455572">
        <w:rPr>
          <w:lang w:val="fr-SN"/>
        </w:rPr>
        <w:t xml:space="preserve"> notable de 9,20 %, illustrant une part significative des dépenses consacrées aux repas à l'extérieur et aux services d'hébergement. Les services d'information et de communication atteignent 7,46 %, montrant l'importance croissante des dépenses en technologies de communication et d'information.</w:t>
      </w:r>
    </w:p>
    <w:p w14:paraId="5E934898" w14:textId="50D66CDD" w:rsidR="00455572" w:rsidRPr="00455572" w:rsidRDefault="00455572" w:rsidP="00455572">
      <w:pPr>
        <w:rPr>
          <w:lang w:val="fr-SN"/>
        </w:rPr>
      </w:pPr>
      <w:r w:rsidRPr="00455572">
        <w:rPr>
          <w:lang w:val="fr-SN"/>
        </w:rPr>
        <w:t xml:space="preserve">Des divisions comme le transport (6,06 %), la santé (4,21 %), et l'ameublement, équipement ménager et entretien (5,67 %) continuent d'occuper une place significative dans les dépenses des ménages. Les divisions boissons alcoolisées, tabac et stupéfiants (0,22 %) et assurances et services financiers (0,14 %) </w:t>
      </w:r>
      <w:r w:rsidR="00006BFF">
        <w:rPr>
          <w:lang w:val="fr-SN"/>
        </w:rPr>
        <w:t>ont</w:t>
      </w:r>
      <w:r w:rsidRPr="00455572">
        <w:rPr>
          <w:lang w:val="fr-SN"/>
        </w:rPr>
        <w:t xml:space="preserve"> les </w:t>
      </w:r>
      <w:r w:rsidR="001A42AD">
        <w:rPr>
          <w:lang w:val="fr-SN"/>
        </w:rPr>
        <w:t>poid</w:t>
      </w:r>
      <w:r w:rsidRPr="00455572">
        <w:rPr>
          <w:lang w:val="fr-SN"/>
        </w:rPr>
        <w:t>s les plus faibles, révélant une part relativement réduite dans le budget des ménages pour ces catégories.</w:t>
      </w:r>
    </w:p>
    <w:p w14:paraId="1F7A35D5" w14:textId="3069D103" w:rsidR="00FE18F6" w:rsidRPr="001E7C15" w:rsidRDefault="00FE18F6" w:rsidP="00FE18F6">
      <w:pPr>
        <w:pStyle w:val="Lgende"/>
        <w:keepNext/>
        <w:rPr>
          <w:b/>
          <w:bCs/>
          <w:i w:val="0"/>
          <w:iCs w:val="0"/>
          <w:sz w:val="28"/>
          <w:szCs w:val="28"/>
        </w:rPr>
      </w:pPr>
      <w:bookmarkStart w:id="61" w:name="_Toc180927674"/>
      <w:r w:rsidRPr="001E7C15">
        <w:rPr>
          <w:sz w:val="28"/>
          <w:szCs w:val="28"/>
        </w:rPr>
        <w:t xml:space="preserve">Graphique </w:t>
      </w:r>
      <w:r w:rsidRPr="001E7C15">
        <w:rPr>
          <w:b/>
          <w:bCs/>
          <w:i w:val="0"/>
          <w:iCs w:val="0"/>
          <w:sz w:val="28"/>
          <w:szCs w:val="28"/>
        </w:rPr>
        <w:fldChar w:fldCharType="begin"/>
      </w:r>
      <w:r w:rsidRPr="001E7C15">
        <w:rPr>
          <w:sz w:val="28"/>
          <w:szCs w:val="28"/>
        </w:rPr>
        <w:instrText xml:space="preserve"> SEQ Graphique \* ARABIC </w:instrText>
      </w:r>
      <w:r w:rsidRPr="001E7C15">
        <w:rPr>
          <w:b/>
          <w:bCs/>
          <w:i w:val="0"/>
          <w:iCs w:val="0"/>
          <w:sz w:val="28"/>
          <w:szCs w:val="28"/>
        </w:rPr>
        <w:fldChar w:fldCharType="separate"/>
      </w:r>
      <w:r w:rsidR="00427D57">
        <w:rPr>
          <w:noProof/>
          <w:sz w:val="28"/>
          <w:szCs w:val="28"/>
        </w:rPr>
        <w:t>2</w:t>
      </w:r>
      <w:r w:rsidRPr="001E7C15">
        <w:rPr>
          <w:b/>
          <w:bCs/>
          <w:i w:val="0"/>
          <w:iCs w:val="0"/>
          <w:sz w:val="28"/>
          <w:szCs w:val="28"/>
        </w:rPr>
        <w:fldChar w:fldCharType="end"/>
      </w:r>
      <w:r w:rsidRPr="001E7C15">
        <w:rPr>
          <w:sz w:val="28"/>
          <w:szCs w:val="28"/>
        </w:rPr>
        <w:t> : Pondération des divisions en 202</w:t>
      </w:r>
      <w:bookmarkEnd w:id="61"/>
      <w:r w:rsidR="001D41BD">
        <w:rPr>
          <w:sz w:val="28"/>
          <w:szCs w:val="28"/>
        </w:rPr>
        <w:t>1</w:t>
      </w:r>
    </w:p>
    <w:p w14:paraId="2E6FFD61" w14:textId="669CD659" w:rsidR="00FE18F6" w:rsidRDefault="009C5813" w:rsidP="00FE18F6">
      <w:pPr>
        <w:rPr>
          <w:lang w:val="fr-SN"/>
        </w:rPr>
      </w:pPr>
      <w:r>
        <w:rPr>
          <w:noProof/>
          <w14:ligatures w14:val="none"/>
        </w:rPr>
        <w:drawing>
          <wp:inline distT="0" distB="0" distL="0" distR="0" wp14:anchorId="29D7F6A4" wp14:editId="3BDDE177">
            <wp:extent cx="5943600" cy="2555875"/>
            <wp:effectExtent l="0" t="0" r="0" b="15875"/>
            <wp:docPr id="8" name="Graphique 8">
              <a:extLst xmlns:a="http://schemas.openxmlformats.org/drawingml/2006/main">
                <a:ext uri="{FF2B5EF4-FFF2-40B4-BE49-F238E27FC236}">
                  <a16:creationId xmlns:a16="http://schemas.microsoft.com/office/drawing/2014/main" id="{A6C03DEA-2AE0-4F72-52BB-F5EA87650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583347" w14:textId="77777777" w:rsidR="00FE18F6" w:rsidRPr="001E7C15" w:rsidRDefault="00FE18F6" w:rsidP="00FE18F6">
      <w:pPr>
        <w:rPr>
          <w:i/>
          <w:iCs/>
        </w:rPr>
      </w:pPr>
      <w:r w:rsidRPr="001E7C15">
        <w:rPr>
          <w:i/>
          <w:iCs/>
        </w:rPr>
        <w:t>Source : ANSD, Calcul de l’auteur</w:t>
      </w:r>
    </w:p>
    <w:p w14:paraId="67B3F7BE" w14:textId="4D39C51F" w:rsidR="00FE18F6" w:rsidRPr="00C41B5B" w:rsidRDefault="00FE18F6" w:rsidP="0003278A">
      <w:pPr>
        <w:pStyle w:val="Titre2"/>
        <w:rPr>
          <w:lang w:val="fr-SN"/>
        </w:rPr>
      </w:pPr>
      <w:bookmarkStart w:id="62" w:name="_Toc182822572"/>
      <w:r w:rsidRPr="00C41B5B">
        <w:rPr>
          <w:lang w:val="fr-SN"/>
        </w:rPr>
        <w:t>Comparaison pondérations 2014-202</w:t>
      </w:r>
      <w:bookmarkEnd w:id="62"/>
      <w:r w:rsidR="001D41BD">
        <w:rPr>
          <w:lang w:val="fr-SN"/>
        </w:rPr>
        <w:t>1</w:t>
      </w:r>
    </w:p>
    <w:p w14:paraId="7E3422C4" w14:textId="6CDDDF85" w:rsidR="00FE18F6" w:rsidRPr="00A870B4" w:rsidRDefault="00FE18F6" w:rsidP="00FE18F6">
      <w:pPr>
        <w:rPr>
          <w:lang w:val="fr-SN"/>
        </w:rPr>
      </w:pPr>
      <w:r w:rsidRPr="00A870B4">
        <w:rPr>
          <w:lang w:val="fr-SN"/>
        </w:rPr>
        <w:t>La comparaison entre 2014 et 202</w:t>
      </w:r>
      <w:r w:rsidR="001D41BD">
        <w:rPr>
          <w:lang w:val="fr-SN"/>
        </w:rPr>
        <w:t>1</w:t>
      </w:r>
      <w:r w:rsidRPr="00A870B4">
        <w:rPr>
          <w:lang w:val="fr-SN"/>
        </w:rPr>
        <w:t xml:space="preserve"> montre des évolutions notables dans les pondérations des divisions. Les produits alimentaires et boissons non alcoolisées restent la catégorie dominante, mais leur </w:t>
      </w:r>
      <w:r w:rsidR="001A42AD">
        <w:rPr>
          <w:lang w:val="fr-SN"/>
        </w:rPr>
        <w:t>poids</w:t>
      </w:r>
      <w:r w:rsidRPr="00A870B4">
        <w:rPr>
          <w:lang w:val="fr-SN"/>
        </w:rPr>
        <w:t xml:space="preserve"> a diminué de 49,64 % en 2014 à 45,</w:t>
      </w:r>
      <w:r w:rsidR="00455572">
        <w:rPr>
          <w:lang w:val="fr-SN"/>
        </w:rPr>
        <w:t>47</w:t>
      </w:r>
      <w:r w:rsidRPr="00A870B4">
        <w:rPr>
          <w:lang w:val="fr-SN"/>
        </w:rPr>
        <w:t xml:space="preserve"> % en 202</w:t>
      </w:r>
      <w:r w:rsidR="001D41BD">
        <w:rPr>
          <w:lang w:val="fr-SN"/>
        </w:rPr>
        <w:t>1</w:t>
      </w:r>
      <w:r w:rsidRPr="00A870B4">
        <w:rPr>
          <w:lang w:val="fr-SN"/>
        </w:rPr>
        <w:t>. Les dépenses liées au logement, eau, électricité, gaz et autres combustibles ont également baissé, passant de 12,04 % à 9,1</w:t>
      </w:r>
      <w:r w:rsidR="00A45203">
        <w:rPr>
          <w:lang w:val="fr-SN"/>
        </w:rPr>
        <w:t>6</w:t>
      </w:r>
      <w:r w:rsidRPr="00A870B4">
        <w:rPr>
          <w:lang w:val="fr-SN"/>
        </w:rPr>
        <w:t xml:space="preserve"> %.</w:t>
      </w:r>
    </w:p>
    <w:p w14:paraId="3126A4E0" w14:textId="02424D11" w:rsidR="00FE18F6" w:rsidRPr="00A870B4" w:rsidRDefault="00FE18F6" w:rsidP="00FE18F6">
      <w:pPr>
        <w:rPr>
          <w:lang w:val="fr-SN"/>
        </w:rPr>
      </w:pPr>
      <w:r w:rsidRPr="00A870B4">
        <w:rPr>
          <w:lang w:val="fr-SN"/>
        </w:rPr>
        <w:t xml:space="preserve">La catégorie des restaurants et services d'hébergement a connu une forte hausse, avec </w:t>
      </w:r>
      <w:r w:rsidR="00BF0678">
        <w:rPr>
          <w:lang w:val="fr-SN"/>
        </w:rPr>
        <w:t>un poids</w:t>
      </w:r>
      <w:r w:rsidRPr="00A870B4">
        <w:rPr>
          <w:lang w:val="fr-SN"/>
        </w:rPr>
        <w:t xml:space="preserve"> passant de 3,76 % en 2014 à 9,</w:t>
      </w:r>
      <w:r w:rsidR="00A45203">
        <w:rPr>
          <w:lang w:val="fr-SN"/>
        </w:rPr>
        <w:t>20</w:t>
      </w:r>
      <w:r w:rsidRPr="00A870B4">
        <w:rPr>
          <w:lang w:val="fr-SN"/>
        </w:rPr>
        <w:t xml:space="preserve"> % en 202</w:t>
      </w:r>
      <w:r w:rsidR="001D41BD">
        <w:rPr>
          <w:lang w:val="fr-SN"/>
        </w:rPr>
        <w:t>1</w:t>
      </w:r>
      <w:r w:rsidRPr="00A870B4">
        <w:rPr>
          <w:lang w:val="fr-SN"/>
        </w:rPr>
        <w:t xml:space="preserve">. De même, les services d'information et de communication ont vu leur </w:t>
      </w:r>
      <w:r w:rsidR="001A42AD">
        <w:rPr>
          <w:lang w:val="fr-SN"/>
        </w:rPr>
        <w:t>poids</w:t>
      </w:r>
      <w:r w:rsidRPr="00A870B4">
        <w:rPr>
          <w:lang w:val="fr-SN"/>
        </w:rPr>
        <w:t xml:space="preserve"> plus que doubler, passant de 3,29 % à 7,</w:t>
      </w:r>
      <w:r w:rsidR="00A45203">
        <w:rPr>
          <w:lang w:val="fr-SN"/>
        </w:rPr>
        <w:t>4</w:t>
      </w:r>
      <w:r w:rsidRPr="00A870B4">
        <w:rPr>
          <w:lang w:val="fr-SN"/>
        </w:rPr>
        <w:t>%.</w:t>
      </w:r>
    </w:p>
    <w:p w14:paraId="328FFFF7" w14:textId="270D6869" w:rsidR="00FE18F6" w:rsidRDefault="00FE18F6" w:rsidP="00FE18F6">
      <w:pPr>
        <w:rPr>
          <w:lang w:val="fr-SN"/>
        </w:rPr>
      </w:pPr>
      <w:r w:rsidRPr="00A870B4">
        <w:rPr>
          <w:lang w:val="fr-SN"/>
        </w:rPr>
        <w:t>Certaines divisions, comme les vêtements et chaussures, ont enregistré une réduction, de 7,30 % en 2014 à 4,77 % en 202</w:t>
      </w:r>
      <w:r w:rsidR="001D41BD">
        <w:rPr>
          <w:lang w:val="fr-SN"/>
        </w:rPr>
        <w:t>1</w:t>
      </w:r>
      <w:r w:rsidRPr="00A870B4">
        <w:rPr>
          <w:lang w:val="fr-SN"/>
        </w:rPr>
        <w:t xml:space="preserve">. Les services de santé et transport ont des </w:t>
      </w:r>
      <w:r w:rsidR="001A42AD">
        <w:rPr>
          <w:lang w:val="fr-SN"/>
        </w:rPr>
        <w:t>poid</w:t>
      </w:r>
      <w:r w:rsidRPr="00A870B4">
        <w:rPr>
          <w:lang w:val="fr-SN"/>
        </w:rPr>
        <w:t>s relativement stables, avec de légères variations, respectivement de 3,53 % à 4,</w:t>
      </w:r>
      <w:r w:rsidR="00A45203">
        <w:rPr>
          <w:lang w:val="fr-SN"/>
        </w:rPr>
        <w:t>21</w:t>
      </w:r>
      <w:r w:rsidRPr="00A870B4">
        <w:rPr>
          <w:lang w:val="fr-SN"/>
        </w:rPr>
        <w:t xml:space="preserve"> % et de 5,63 % à </w:t>
      </w:r>
      <w:r w:rsidR="00A45203">
        <w:rPr>
          <w:lang w:val="fr-SN"/>
        </w:rPr>
        <w:t>6,01</w:t>
      </w:r>
      <w:r w:rsidRPr="00A870B4">
        <w:rPr>
          <w:lang w:val="fr-SN"/>
        </w:rPr>
        <w:t xml:space="preserve"> %.</w:t>
      </w:r>
    </w:p>
    <w:p w14:paraId="595B715C" w14:textId="77777777" w:rsidR="00FE18F6" w:rsidRDefault="00FE18F6" w:rsidP="00FE18F6">
      <w:pPr>
        <w:rPr>
          <w:lang w:val="fr-SN"/>
        </w:rPr>
      </w:pPr>
    </w:p>
    <w:p w14:paraId="2418ACF7" w14:textId="778FA4C4" w:rsidR="00FE18F6" w:rsidRPr="001E7C15" w:rsidRDefault="00FE18F6" w:rsidP="00FE18F6">
      <w:pPr>
        <w:pStyle w:val="Lgende"/>
        <w:keepNext/>
        <w:rPr>
          <w:b/>
          <w:bCs/>
          <w:i w:val="0"/>
          <w:iCs w:val="0"/>
          <w:sz w:val="28"/>
          <w:szCs w:val="28"/>
        </w:rPr>
      </w:pPr>
      <w:bookmarkStart w:id="63" w:name="_Toc180927675"/>
      <w:r w:rsidRPr="001E7C15">
        <w:rPr>
          <w:sz w:val="28"/>
          <w:szCs w:val="28"/>
        </w:rPr>
        <w:t xml:space="preserve">Graphique </w:t>
      </w:r>
      <w:r w:rsidRPr="001E7C15">
        <w:rPr>
          <w:b/>
          <w:bCs/>
          <w:i w:val="0"/>
          <w:iCs w:val="0"/>
          <w:sz w:val="28"/>
          <w:szCs w:val="28"/>
        </w:rPr>
        <w:fldChar w:fldCharType="begin"/>
      </w:r>
      <w:r w:rsidRPr="001E7C15">
        <w:rPr>
          <w:sz w:val="28"/>
          <w:szCs w:val="28"/>
        </w:rPr>
        <w:instrText xml:space="preserve"> SEQ Graphique \* ARABIC </w:instrText>
      </w:r>
      <w:r w:rsidRPr="001E7C15">
        <w:rPr>
          <w:b/>
          <w:bCs/>
          <w:i w:val="0"/>
          <w:iCs w:val="0"/>
          <w:sz w:val="28"/>
          <w:szCs w:val="28"/>
        </w:rPr>
        <w:fldChar w:fldCharType="separate"/>
      </w:r>
      <w:r w:rsidR="00427D57">
        <w:rPr>
          <w:noProof/>
          <w:sz w:val="28"/>
          <w:szCs w:val="28"/>
        </w:rPr>
        <w:t>3</w:t>
      </w:r>
      <w:r w:rsidRPr="001E7C15">
        <w:rPr>
          <w:b/>
          <w:bCs/>
          <w:i w:val="0"/>
          <w:iCs w:val="0"/>
          <w:sz w:val="28"/>
          <w:szCs w:val="28"/>
        </w:rPr>
        <w:fldChar w:fldCharType="end"/>
      </w:r>
      <w:r w:rsidRPr="001E7C15">
        <w:rPr>
          <w:sz w:val="28"/>
          <w:szCs w:val="28"/>
        </w:rPr>
        <w:t> : Comparaison pondérations 2014-202</w:t>
      </w:r>
      <w:bookmarkEnd w:id="63"/>
      <w:r w:rsidR="001D41BD">
        <w:rPr>
          <w:sz w:val="28"/>
          <w:szCs w:val="28"/>
        </w:rPr>
        <w:t>1</w:t>
      </w:r>
    </w:p>
    <w:p w14:paraId="61B051B3" w14:textId="37107C77" w:rsidR="00FE18F6" w:rsidRPr="00A870B4" w:rsidRDefault="00FD41C0" w:rsidP="00FE18F6">
      <w:pPr>
        <w:rPr>
          <w:lang w:val="fr-SN"/>
        </w:rPr>
      </w:pPr>
      <w:r>
        <w:rPr>
          <w:noProof/>
          <w14:ligatures w14:val="none"/>
        </w:rPr>
        <w:drawing>
          <wp:inline distT="0" distB="0" distL="0" distR="0" wp14:anchorId="0E83A7AB" wp14:editId="4B6D1DBE">
            <wp:extent cx="5943600" cy="2781935"/>
            <wp:effectExtent l="0" t="0" r="0" b="18415"/>
            <wp:docPr id="4" name="Graphique 4">
              <a:extLst xmlns:a="http://schemas.openxmlformats.org/drawingml/2006/main">
                <a:ext uri="{FF2B5EF4-FFF2-40B4-BE49-F238E27FC236}">
                  <a16:creationId xmlns:a16="http://schemas.microsoft.com/office/drawing/2014/main" id="{FB41C64D-988E-30AA-ACDE-FC9EC09A4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783BFD" w14:textId="5991303B" w:rsidR="00FE18F6" w:rsidRPr="00881B1C" w:rsidRDefault="00FE18F6" w:rsidP="00FE18F6">
      <w:pPr>
        <w:rPr>
          <w:i/>
          <w:iCs/>
        </w:rPr>
      </w:pPr>
      <w:r w:rsidRPr="001E7C15">
        <w:rPr>
          <w:i/>
          <w:iCs/>
        </w:rPr>
        <w:t>Source : ANSD, Calcul de l’auteur</w:t>
      </w:r>
    </w:p>
    <w:p w14:paraId="55A22629" w14:textId="77777777" w:rsidR="00FE18F6" w:rsidRPr="00C41B5B" w:rsidRDefault="00FE18F6">
      <w:pPr>
        <w:pStyle w:val="Paragraphedeliste"/>
        <w:numPr>
          <w:ilvl w:val="0"/>
          <w:numId w:val="20"/>
        </w:numPr>
        <w:rPr>
          <w:b/>
          <w:bCs/>
          <w:lang w:val="fr-SN"/>
        </w:rPr>
      </w:pPr>
      <w:r w:rsidRPr="00C41B5B">
        <w:rPr>
          <w:b/>
          <w:bCs/>
          <w:lang w:val="fr-SN"/>
        </w:rPr>
        <w:t>Produits alimentaires et boissons non alcoolisées</w:t>
      </w:r>
    </w:p>
    <w:p w14:paraId="489ED726" w14:textId="5235A31A" w:rsidR="00FE18F6" w:rsidRPr="00F505DC" w:rsidRDefault="00FE18F6" w:rsidP="00FE18F6">
      <w:pPr>
        <w:rPr>
          <w:lang w:val="fr-SN"/>
        </w:rPr>
      </w:pPr>
      <w:r w:rsidRPr="00F505DC">
        <w:rPr>
          <w:lang w:val="fr-SN"/>
        </w:rPr>
        <w:t>Les dépenses liées à la division "Produits alimentaires et boissons non alcoolisées" ont connu une baisse de 4</w:t>
      </w:r>
      <w:r w:rsidR="00E62AFE">
        <w:rPr>
          <w:lang w:val="fr-SN"/>
        </w:rPr>
        <w:t>,17</w:t>
      </w:r>
      <w:r w:rsidRPr="00F505DC">
        <w:rPr>
          <w:lang w:val="fr-SN"/>
        </w:rPr>
        <w:t xml:space="preserve"> points de pourcentage entre 2014 et 202</w:t>
      </w:r>
      <w:r w:rsidR="001D41BD">
        <w:rPr>
          <w:lang w:val="fr-SN"/>
        </w:rPr>
        <w:t>1</w:t>
      </w:r>
      <w:r w:rsidRPr="00F505DC">
        <w:rPr>
          <w:lang w:val="fr-SN"/>
        </w:rPr>
        <w:t>, passant de 49,6</w:t>
      </w:r>
      <w:r w:rsidR="001443D2">
        <w:rPr>
          <w:lang w:val="fr-SN"/>
        </w:rPr>
        <w:t>4</w:t>
      </w:r>
      <w:r w:rsidRPr="00F505DC">
        <w:rPr>
          <w:lang w:val="fr-SN"/>
        </w:rPr>
        <w:t xml:space="preserve"> % à 45,</w:t>
      </w:r>
      <w:r w:rsidR="00E62AFE">
        <w:rPr>
          <w:lang w:val="fr-SN"/>
        </w:rPr>
        <w:t>4</w:t>
      </w:r>
      <w:r w:rsidRPr="00F505DC">
        <w:rPr>
          <w:lang w:val="fr-SN"/>
        </w:rPr>
        <w:t>7 % du total des dépenses des ménages. Cette diminution est principalement due au recul de la part des produits alimentaires, qui a baissé de 3,</w:t>
      </w:r>
      <w:r w:rsidR="00E62AFE">
        <w:rPr>
          <w:lang w:val="fr-SN"/>
        </w:rPr>
        <w:t>85</w:t>
      </w:r>
      <w:r w:rsidRPr="00F505DC">
        <w:rPr>
          <w:lang w:val="fr-SN"/>
        </w:rPr>
        <w:t xml:space="preserve"> points, et à celle des boissons non alcoolisées, qui a diminué de 0,2</w:t>
      </w:r>
      <w:r w:rsidR="00E62AFE">
        <w:rPr>
          <w:lang w:val="fr-SN"/>
        </w:rPr>
        <w:t>5</w:t>
      </w:r>
      <w:r w:rsidRPr="00F505DC">
        <w:rPr>
          <w:lang w:val="fr-SN"/>
        </w:rPr>
        <w:t xml:space="preserve"> point. Par ailleurs, un nouveau groupe, celui des services de transformation d'aliments et de boissons non alcoolisées, a fait son apparition en 202</w:t>
      </w:r>
      <w:r w:rsidR="00FD41C0">
        <w:rPr>
          <w:lang w:val="fr-SN"/>
        </w:rPr>
        <w:t>1</w:t>
      </w:r>
      <w:r w:rsidRPr="00F505DC">
        <w:rPr>
          <w:lang w:val="fr-SN"/>
        </w:rPr>
        <w:t xml:space="preserve"> avec </w:t>
      </w:r>
      <w:r w:rsidR="00BF0678">
        <w:rPr>
          <w:lang w:val="fr-SN"/>
        </w:rPr>
        <w:t>un poids</w:t>
      </w:r>
      <w:r w:rsidRPr="00F505DC">
        <w:rPr>
          <w:lang w:val="fr-SN"/>
        </w:rPr>
        <w:t xml:space="preserve"> de 0,1</w:t>
      </w:r>
      <w:r w:rsidR="00E62AFE">
        <w:rPr>
          <w:lang w:val="fr-SN"/>
        </w:rPr>
        <w:t>4</w:t>
      </w:r>
      <w:r w:rsidRPr="00F505DC">
        <w:rPr>
          <w:lang w:val="fr-SN"/>
        </w:rPr>
        <w:t>%.</w:t>
      </w:r>
    </w:p>
    <w:p w14:paraId="3327C41F" w14:textId="77777777" w:rsidR="0047752C" w:rsidRDefault="0047752C" w:rsidP="00FE18F6">
      <w:pPr>
        <w:pStyle w:val="Lgende"/>
        <w:keepNext/>
        <w:rPr>
          <w:sz w:val="28"/>
          <w:szCs w:val="28"/>
        </w:rPr>
      </w:pPr>
      <w:bookmarkStart w:id="64" w:name="_Toc180927595"/>
    </w:p>
    <w:p w14:paraId="26E391D4" w14:textId="77777777" w:rsidR="0047752C" w:rsidRPr="0047752C" w:rsidRDefault="0047752C" w:rsidP="0047752C"/>
    <w:p w14:paraId="12807656" w14:textId="77777777" w:rsidR="0047752C" w:rsidRDefault="0047752C" w:rsidP="0047752C"/>
    <w:p w14:paraId="54E83339" w14:textId="77777777" w:rsidR="0047752C" w:rsidRDefault="0047752C" w:rsidP="00FE18F6">
      <w:pPr>
        <w:pStyle w:val="Lgende"/>
        <w:keepNext/>
        <w:rPr>
          <w:sz w:val="28"/>
          <w:szCs w:val="28"/>
        </w:rPr>
      </w:pPr>
    </w:p>
    <w:p w14:paraId="10B0A7FF" w14:textId="080B1EAE" w:rsidR="00FE18F6" w:rsidRPr="00D051AC" w:rsidRDefault="00FE18F6" w:rsidP="00FE18F6">
      <w:pPr>
        <w:pStyle w:val="Lgende"/>
        <w:keepNext/>
        <w:rPr>
          <w:b/>
          <w:bCs/>
          <w:i w:val="0"/>
          <w:iCs w:val="0"/>
          <w:sz w:val="28"/>
          <w:szCs w:val="28"/>
        </w:rPr>
      </w:pPr>
      <w:r w:rsidRPr="00D051AC">
        <w:rPr>
          <w:sz w:val="28"/>
          <w:szCs w:val="28"/>
        </w:rPr>
        <w:t xml:space="preserve">Tableau </w:t>
      </w:r>
      <w:r w:rsidRPr="00D051AC">
        <w:rPr>
          <w:b/>
          <w:bCs/>
          <w:i w:val="0"/>
          <w:iCs w:val="0"/>
          <w:sz w:val="28"/>
          <w:szCs w:val="28"/>
        </w:rPr>
        <w:fldChar w:fldCharType="begin"/>
      </w:r>
      <w:r w:rsidRPr="00D051AC">
        <w:rPr>
          <w:sz w:val="28"/>
          <w:szCs w:val="28"/>
        </w:rPr>
        <w:instrText xml:space="preserve"> SEQ Tableau \* ARABIC </w:instrText>
      </w:r>
      <w:r w:rsidRPr="00D051AC">
        <w:rPr>
          <w:b/>
          <w:bCs/>
          <w:i w:val="0"/>
          <w:iCs w:val="0"/>
          <w:sz w:val="28"/>
          <w:szCs w:val="28"/>
        </w:rPr>
        <w:fldChar w:fldCharType="separate"/>
      </w:r>
      <w:r w:rsidR="00427D57">
        <w:rPr>
          <w:noProof/>
          <w:sz w:val="28"/>
          <w:szCs w:val="28"/>
        </w:rPr>
        <w:t>1</w:t>
      </w:r>
      <w:r w:rsidRPr="00D051AC">
        <w:rPr>
          <w:b/>
          <w:bCs/>
          <w:i w:val="0"/>
          <w:iCs w:val="0"/>
          <w:sz w:val="28"/>
          <w:szCs w:val="28"/>
        </w:rPr>
        <w:fldChar w:fldCharType="end"/>
      </w:r>
      <w:r w:rsidRPr="00D051AC">
        <w:rPr>
          <w:sz w:val="28"/>
          <w:szCs w:val="28"/>
        </w:rPr>
        <w:t xml:space="preserve"> : </w:t>
      </w:r>
      <w:r w:rsidRPr="00D051AC">
        <w:rPr>
          <w:sz w:val="28"/>
          <w:szCs w:val="28"/>
          <w:lang w:val="fr-SN"/>
        </w:rPr>
        <w:t>Structure de consommation (en %) des produits alimentaires et boissons non alcoolisées entre 2014, 2021.</w:t>
      </w:r>
      <w:bookmarkEnd w:id="64"/>
    </w:p>
    <w:tbl>
      <w:tblPr>
        <w:tblStyle w:val="Grilledutableau"/>
        <w:tblW w:w="0" w:type="auto"/>
        <w:tblLook w:val="04A0" w:firstRow="1" w:lastRow="0" w:firstColumn="1" w:lastColumn="0" w:noHBand="0" w:noVBand="1"/>
      </w:tblPr>
      <w:tblGrid>
        <w:gridCol w:w="2403"/>
        <w:gridCol w:w="2079"/>
        <w:gridCol w:w="1619"/>
        <w:gridCol w:w="1620"/>
        <w:gridCol w:w="1629"/>
      </w:tblGrid>
      <w:tr w:rsidR="00FE18F6" w:rsidRPr="00F505DC" w14:paraId="30BB5673" w14:textId="77777777" w:rsidTr="009D3BEE">
        <w:tc>
          <w:tcPr>
            <w:tcW w:w="2403" w:type="dxa"/>
            <w:tcBorders>
              <w:top w:val="single" w:sz="4" w:space="0" w:color="auto"/>
              <w:left w:val="single" w:sz="4" w:space="0" w:color="auto"/>
              <w:bottom w:val="single" w:sz="4" w:space="0" w:color="auto"/>
              <w:right w:val="single" w:sz="4" w:space="0" w:color="auto"/>
            </w:tcBorders>
            <w:hideMark/>
          </w:tcPr>
          <w:p w14:paraId="64299749" w14:textId="77E1C2C4" w:rsidR="00FE18F6" w:rsidRPr="00F505DC" w:rsidRDefault="00FE18F6" w:rsidP="00427D57">
            <w:pPr>
              <w:spacing w:after="200" w:line="276" w:lineRule="auto"/>
              <w:rPr>
                <w:lang w:val="fr-SN"/>
              </w:rPr>
            </w:pPr>
            <w:r w:rsidRPr="00F505DC">
              <w:rPr>
                <w:lang w:val="fr-SN"/>
              </w:rPr>
              <w:t>Nomenclature 202</w:t>
            </w:r>
            <w:r w:rsidR="00FD41C0">
              <w:rPr>
                <w:lang w:val="fr-SN"/>
              </w:rPr>
              <w:t>1</w:t>
            </w:r>
          </w:p>
        </w:tc>
        <w:tc>
          <w:tcPr>
            <w:tcW w:w="2079" w:type="dxa"/>
            <w:tcBorders>
              <w:top w:val="single" w:sz="4" w:space="0" w:color="auto"/>
              <w:left w:val="single" w:sz="4" w:space="0" w:color="auto"/>
              <w:bottom w:val="single" w:sz="4" w:space="0" w:color="auto"/>
              <w:right w:val="single" w:sz="4" w:space="0" w:color="auto"/>
            </w:tcBorders>
            <w:hideMark/>
          </w:tcPr>
          <w:p w14:paraId="2A9DA775" w14:textId="77777777" w:rsidR="00FE18F6" w:rsidRPr="00F505DC" w:rsidRDefault="00FE18F6" w:rsidP="00427D57">
            <w:pPr>
              <w:spacing w:after="200" w:line="276" w:lineRule="auto"/>
              <w:rPr>
                <w:lang w:val="fr-SN"/>
              </w:rPr>
            </w:pPr>
            <w:r w:rsidRPr="00F505DC">
              <w:rPr>
                <w:lang w:val="fr-SN"/>
              </w:rPr>
              <w:t>Nomenclature 2014</w:t>
            </w:r>
          </w:p>
        </w:tc>
        <w:tc>
          <w:tcPr>
            <w:tcW w:w="1619" w:type="dxa"/>
            <w:tcBorders>
              <w:top w:val="single" w:sz="4" w:space="0" w:color="auto"/>
              <w:left w:val="single" w:sz="4" w:space="0" w:color="auto"/>
              <w:bottom w:val="single" w:sz="4" w:space="0" w:color="auto"/>
              <w:right w:val="single" w:sz="4" w:space="0" w:color="auto"/>
            </w:tcBorders>
            <w:hideMark/>
          </w:tcPr>
          <w:p w14:paraId="7D2E0878" w14:textId="77777777" w:rsidR="00FE18F6" w:rsidRPr="00F505DC" w:rsidRDefault="00FE18F6" w:rsidP="00427D57">
            <w:pPr>
              <w:spacing w:after="200" w:line="276" w:lineRule="auto"/>
              <w:rPr>
                <w:lang w:val="fr-SN"/>
              </w:rPr>
            </w:pPr>
            <w:r w:rsidRPr="00F505DC">
              <w:rPr>
                <w:lang w:val="fr-SN"/>
              </w:rPr>
              <w:t>Pondération 2014</w:t>
            </w:r>
          </w:p>
        </w:tc>
        <w:tc>
          <w:tcPr>
            <w:tcW w:w="1620" w:type="dxa"/>
            <w:tcBorders>
              <w:top w:val="single" w:sz="4" w:space="0" w:color="auto"/>
              <w:left w:val="single" w:sz="4" w:space="0" w:color="auto"/>
              <w:bottom w:val="single" w:sz="4" w:space="0" w:color="auto"/>
              <w:right w:val="single" w:sz="4" w:space="0" w:color="auto"/>
            </w:tcBorders>
            <w:hideMark/>
          </w:tcPr>
          <w:p w14:paraId="6A07E30B" w14:textId="77777777" w:rsidR="00FE18F6" w:rsidRPr="00F505DC" w:rsidRDefault="00FE18F6" w:rsidP="00427D57">
            <w:pPr>
              <w:spacing w:after="200" w:line="276" w:lineRule="auto"/>
              <w:rPr>
                <w:lang w:val="fr-SN"/>
              </w:rPr>
            </w:pPr>
            <w:r w:rsidRPr="00F505DC">
              <w:rPr>
                <w:lang w:val="fr-SN"/>
              </w:rPr>
              <w:t>Pondération</w:t>
            </w:r>
          </w:p>
          <w:p w14:paraId="4B9E1C26" w14:textId="77777777" w:rsidR="00FE18F6" w:rsidRPr="00F505DC" w:rsidRDefault="00FE18F6" w:rsidP="00427D57">
            <w:pPr>
              <w:spacing w:after="200" w:line="276" w:lineRule="auto"/>
              <w:rPr>
                <w:lang w:val="fr-SN"/>
              </w:rPr>
            </w:pPr>
            <w:r w:rsidRPr="00F505DC">
              <w:rPr>
                <w:lang w:val="fr-SN"/>
              </w:rPr>
              <w:t>2021</w:t>
            </w:r>
          </w:p>
        </w:tc>
        <w:tc>
          <w:tcPr>
            <w:tcW w:w="1629" w:type="dxa"/>
            <w:tcBorders>
              <w:top w:val="single" w:sz="4" w:space="0" w:color="auto"/>
              <w:left w:val="single" w:sz="4" w:space="0" w:color="auto"/>
              <w:bottom w:val="single" w:sz="4" w:space="0" w:color="auto"/>
              <w:right w:val="single" w:sz="4" w:space="0" w:color="auto"/>
            </w:tcBorders>
            <w:hideMark/>
          </w:tcPr>
          <w:p w14:paraId="0BAAC103" w14:textId="77777777" w:rsidR="00FE18F6" w:rsidRPr="00F505DC" w:rsidRDefault="00FE18F6" w:rsidP="00427D57">
            <w:pPr>
              <w:spacing w:after="200" w:line="276" w:lineRule="auto"/>
              <w:rPr>
                <w:lang w:val="fr-SN"/>
              </w:rPr>
            </w:pPr>
            <w:r w:rsidRPr="00F505DC">
              <w:rPr>
                <w:lang w:val="fr-SN"/>
              </w:rPr>
              <w:t>Variation en point de pourcentage</w:t>
            </w:r>
          </w:p>
        </w:tc>
      </w:tr>
      <w:tr w:rsidR="00FE18F6" w:rsidRPr="00F505DC" w14:paraId="1CADE6AD" w14:textId="77777777" w:rsidTr="009D3BEE">
        <w:tc>
          <w:tcPr>
            <w:tcW w:w="2403" w:type="dxa"/>
            <w:tcBorders>
              <w:top w:val="single" w:sz="4" w:space="0" w:color="auto"/>
              <w:left w:val="single" w:sz="4" w:space="0" w:color="auto"/>
              <w:bottom w:val="single" w:sz="4" w:space="0" w:color="auto"/>
              <w:right w:val="single" w:sz="4" w:space="0" w:color="auto"/>
            </w:tcBorders>
          </w:tcPr>
          <w:p w14:paraId="1DF042C3" w14:textId="77777777" w:rsidR="00FE18F6" w:rsidRPr="00F505DC" w:rsidRDefault="00FE18F6" w:rsidP="00427D57">
            <w:pPr>
              <w:spacing w:after="200" w:line="276" w:lineRule="auto"/>
              <w:rPr>
                <w:b/>
                <w:bCs/>
                <w:lang w:val="fr-SN"/>
              </w:rPr>
            </w:pPr>
            <w:r w:rsidRPr="00F505DC">
              <w:rPr>
                <w:b/>
                <w:bCs/>
                <w:lang w:val="fr-SN"/>
              </w:rPr>
              <w:t>01. PRODUITS ALIMENTAIRES ET BOISSONS NON ALCOOLISEES</w:t>
            </w:r>
          </w:p>
          <w:p w14:paraId="253DE32C" w14:textId="77777777" w:rsidR="00FE18F6" w:rsidRPr="00F505DC" w:rsidRDefault="00FE18F6" w:rsidP="00427D57">
            <w:pPr>
              <w:spacing w:after="200" w:line="276" w:lineRule="auto"/>
              <w:rPr>
                <w:lang w:val="fr-SN"/>
              </w:rPr>
            </w:pPr>
          </w:p>
        </w:tc>
        <w:tc>
          <w:tcPr>
            <w:tcW w:w="2079" w:type="dxa"/>
            <w:tcBorders>
              <w:top w:val="single" w:sz="4" w:space="0" w:color="auto"/>
              <w:left w:val="single" w:sz="4" w:space="0" w:color="auto"/>
              <w:bottom w:val="single" w:sz="4" w:space="0" w:color="auto"/>
              <w:right w:val="single" w:sz="4" w:space="0" w:color="auto"/>
            </w:tcBorders>
          </w:tcPr>
          <w:p w14:paraId="5240C887" w14:textId="77777777" w:rsidR="00FE18F6" w:rsidRPr="00F505DC" w:rsidRDefault="00FE18F6" w:rsidP="00427D57">
            <w:pPr>
              <w:spacing w:after="200" w:line="276" w:lineRule="auto"/>
              <w:rPr>
                <w:b/>
                <w:bCs/>
                <w:lang w:val="fr-SN"/>
              </w:rPr>
            </w:pPr>
            <w:r w:rsidRPr="00F505DC">
              <w:rPr>
                <w:b/>
                <w:bCs/>
                <w:lang w:val="fr-SN"/>
              </w:rPr>
              <w:t>PRODUITS ALIMENTAIRES ET BOISSONS NON ALCOOLISEES</w:t>
            </w:r>
          </w:p>
          <w:p w14:paraId="1A59D011" w14:textId="77777777" w:rsidR="00FE18F6" w:rsidRPr="00F505DC" w:rsidRDefault="00FE18F6" w:rsidP="00427D57">
            <w:pPr>
              <w:spacing w:after="200" w:line="276" w:lineRule="auto"/>
              <w:rPr>
                <w:lang w:val="fr-SN"/>
              </w:rPr>
            </w:pPr>
          </w:p>
        </w:tc>
        <w:tc>
          <w:tcPr>
            <w:tcW w:w="1619" w:type="dxa"/>
            <w:tcBorders>
              <w:top w:val="single" w:sz="4" w:space="0" w:color="auto"/>
              <w:left w:val="single" w:sz="4" w:space="0" w:color="auto"/>
              <w:bottom w:val="single" w:sz="4" w:space="0" w:color="auto"/>
              <w:right w:val="single" w:sz="4" w:space="0" w:color="auto"/>
            </w:tcBorders>
            <w:hideMark/>
          </w:tcPr>
          <w:p w14:paraId="028FDAAC" w14:textId="77777777" w:rsidR="00FE18F6" w:rsidRPr="00F505DC" w:rsidRDefault="00FE18F6" w:rsidP="00427D57">
            <w:pPr>
              <w:spacing w:after="200" w:line="276" w:lineRule="auto"/>
              <w:rPr>
                <w:b/>
                <w:bCs/>
                <w:lang w:val="fr-SN"/>
              </w:rPr>
            </w:pPr>
            <w:r w:rsidRPr="00F505DC">
              <w:rPr>
                <w:b/>
                <w:bCs/>
                <w:lang w:val="fr-SN"/>
              </w:rPr>
              <w:t>49,6%</w:t>
            </w:r>
          </w:p>
        </w:tc>
        <w:tc>
          <w:tcPr>
            <w:tcW w:w="1620" w:type="dxa"/>
            <w:tcBorders>
              <w:top w:val="single" w:sz="4" w:space="0" w:color="auto"/>
              <w:left w:val="single" w:sz="4" w:space="0" w:color="auto"/>
              <w:bottom w:val="single" w:sz="4" w:space="0" w:color="auto"/>
              <w:right w:val="single" w:sz="4" w:space="0" w:color="auto"/>
            </w:tcBorders>
            <w:hideMark/>
          </w:tcPr>
          <w:p w14:paraId="63C49854" w14:textId="76343F9D" w:rsidR="00FE18F6" w:rsidRPr="00F505DC" w:rsidRDefault="00FE18F6" w:rsidP="00427D57">
            <w:pPr>
              <w:spacing w:after="200" w:line="276" w:lineRule="auto"/>
              <w:rPr>
                <w:b/>
                <w:bCs/>
                <w:lang w:val="fr-SN"/>
              </w:rPr>
            </w:pPr>
            <w:r w:rsidRPr="00F505DC">
              <w:rPr>
                <w:b/>
                <w:bCs/>
                <w:lang w:val="fr-SN"/>
              </w:rPr>
              <w:t>45,</w:t>
            </w:r>
            <w:r w:rsidR="009D3BEE">
              <w:rPr>
                <w:b/>
                <w:bCs/>
                <w:lang w:val="fr-SN"/>
              </w:rPr>
              <w:t>47</w:t>
            </w:r>
            <w:r w:rsidRPr="00F505DC">
              <w:rPr>
                <w:b/>
                <w:bCs/>
                <w:lang w:val="fr-SN"/>
              </w:rPr>
              <w:t>%</w:t>
            </w:r>
          </w:p>
        </w:tc>
        <w:tc>
          <w:tcPr>
            <w:tcW w:w="1629" w:type="dxa"/>
            <w:tcBorders>
              <w:top w:val="single" w:sz="4" w:space="0" w:color="auto"/>
              <w:left w:val="single" w:sz="4" w:space="0" w:color="auto"/>
              <w:bottom w:val="single" w:sz="4" w:space="0" w:color="auto"/>
              <w:right w:val="single" w:sz="4" w:space="0" w:color="auto"/>
            </w:tcBorders>
            <w:hideMark/>
          </w:tcPr>
          <w:p w14:paraId="0814AFEE" w14:textId="4BDE8E2C" w:rsidR="00FE18F6" w:rsidRPr="00F505DC" w:rsidRDefault="00FE18F6" w:rsidP="00427D57">
            <w:pPr>
              <w:spacing w:after="200" w:line="276" w:lineRule="auto"/>
              <w:rPr>
                <w:b/>
                <w:bCs/>
                <w:lang w:val="fr-SN"/>
              </w:rPr>
            </w:pPr>
            <w:r w:rsidRPr="00F505DC">
              <w:rPr>
                <w:b/>
                <w:bCs/>
                <w:lang w:val="fr-SN"/>
              </w:rPr>
              <w:t>-4,</w:t>
            </w:r>
            <w:r w:rsidR="009D3BEE">
              <w:rPr>
                <w:b/>
                <w:bCs/>
                <w:lang w:val="fr-SN"/>
              </w:rPr>
              <w:t>17</w:t>
            </w:r>
            <w:r w:rsidRPr="00F505DC">
              <w:rPr>
                <w:b/>
                <w:bCs/>
                <w:lang w:val="fr-SN"/>
              </w:rPr>
              <w:t>%</w:t>
            </w:r>
          </w:p>
        </w:tc>
      </w:tr>
      <w:tr w:rsidR="009D3BEE" w:rsidRPr="00F505DC" w14:paraId="1E2B76A1" w14:textId="77777777" w:rsidTr="009D3BEE">
        <w:tc>
          <w:tcPr>
            <w:tcW w:w="2403" w:type="dxa"/>
            <w:tcBorders>
              <w:top w:val="single" w:sz="4" w:space="0" w:color="auto"/>
              <w:left w:val="single" w:sz="4" w:space="0" w:color="auto"/>
              <w:bottom w:val="single" w:sz="4" w:space="0" w:color="auto"/>
              <w:right w:val="single" w:sz="4" w:space="0" w:color="auto"/>
            </w:tcBorders>
            <w:hideMark/>
          </w:tcPr>
          <w:p w14:paraId="56772A93" w14:textId="77777777" w:rsidR="009D3BEE" w:rsidRPr="00F505DC" w:rsidRDefault="009D3BEE" w:rsidP="009D3BEE">
            <w:pPr>
              <w:spacing w:after="200" w:line="276" w:lineRule="auto"/>
              <w:rPr>
                <w:b/>
                <w:bCs/>
                <w:lang w:val="fr-SN"/>
              </w:rPr>
            </w:pPr>
            <w:r w:rsidRPr="00F505DC">
              <w:rPr>
                <w:lang w:val="fr-SN"/>
              </w:rPr>
              <w:t>0101</w:t>
            </w:r>
            <w:r w:rsidRPr="00F505DC">
              <w:rPr>
                <w:b/>
                <w:bCs/>
                <w:lang w:val="fr-SN"/>
              </w:rPr>
              <w:t xml:space="preserve">. </w:t>
            </w:r>
            <w:r w:rsidRPr="00F505DC">
              <w:rPr>
                <w:lang w:val="fr-SN"/>
              </w:rPr>
              <w:t>PRODUITS ALIMENTAIRES</w:t>
            </w:r>
          </w:p>
        </w:tc>
        <w:tc>
          <w:tcPr>
            <w:tcW w:w="2079" w:type="dxa"/>
            <w:tcBorders>
              <w:top w:val="single" w:sz="4" w:space="0" w:color="auto"/>
              <w:left w:val="single" w:sz="4" w:space="0" w:color="auto"/>
              <w:bottom w:val="single" w:sz="4" w:space="0" w:color="auto"/>
              <w:right w:val="single" w:sz="4" w:space="0" w:color="auto"/>
            </w:tcBorders>
          </w:tcPr>
          <w:p w14:paraId="34A93E4B" w14:textId="77777777" w:rsidR="009D3BEE" w:rsidRPr="00F505DC" w:rsidRDefault="009D3BEE" w:rsidP="009D3BEE">
            <w:pPr>
              <w:spacing w:after="200" w:line="276" w:lineRule="auto"/>
              <w:rPr>
                <w:lang w:val="fr-SN"/>
              </w:rPr>
            </w:pPr>
            <w:r w:rsidRPr="00F505DC">
              <w:rPr>
                <w:lang w:val="fr-SN"/>
              </w:rPr>
              <w:t>PRODUITS ALIMENTAIRES</w:t>
            </w:r>
          </w:p>
          <w:p w14:paraId="5BC78482" w14:textId="77777777" w:rsidR="009D3BEE" w:rsidRPr="00F505DC" w:rsidRDefault="009D3BEE" w:rsidP="009D3BEE">
            <w:pPr>
              <w:spacing w:after="200" w:line="276" w:lineRule="auto"/>
              <w:rPr>
                <w:lang w:val="fr-SN"/>
              </w:rPr>
            </w:pPr>
          </w:p>
        </w:tc>
        <w:tc>
          <w:tcPr>
            <w:tcW w:w="1619" w:type="dxa"/>
            <w:tcBorders>
              <w:top w:val="single" w:sz="4" w:space="0" w:color="auto"/>
              <w:left w:val="single" w:sz="4" w:space="0" w:color="auto"/>
              <w:bottom w:val="single" w:sz="4" w:space="0" w:color="auto"/>
              <w:right w:val="single" w:sz="4" w:space="0" w:color="auto"/>
            </w:tcBorders>
            <w:hideMark/>
          </w:tcPr>
          <w:p w14:paraId="10335116" w14:textId="77777777" w:rsidR="009D3BEE" w:rsidRPr="00F505DC" w:rsidRDefault="009D3BEE" w:rsidP="009D3BEE">
            <w:pPr>
              <w:spacing w:after="200" w:line="276" w:lineRule="auto"/>
              <w:rPr>
                <w:lang w:val="fr-SN"/>
              </w:rPr>
            </w:pPr>
            <w:r w:rsidRPr="00F505DC">
              <w:rPr>
                <w:lang w:val="fr-SN"/>
              </w:rPr>
              <w:t>47,2%</w:t>
            </w:r>
          </w:p>
        </w:tc>
        <w:tc>
          <w:tcPr>
            <w:tcW w:w="1620" w:type="dxa"/>
            <w:tcBorders>
              <w:top w:val="single" w:sz="4" w:space="0" w:color="auto"/>
              <w:left w:val="single" w:sz="4" w:space="0" w:color="auto"/>
              <w:bottom w:val="single" w:sz="4" w:space="0" w:color="auto"/>
              <w:right w:val="single" w:sz="4" w:space="0" w:color="auto"/>
            </w:tcBorders>
            <w:hideMark/>
          </w:tcPr>
          <w:p w14:paraId="1BBA7503" w14:textId="533508A3" w:rsidR="009D3BEE" w:rsidRPr="00F505DC" w:rsidRDefault="009D3BEE" w:rsidP="009D3BEE">
            <w:pPr>
              <w:spacing w:after="200" w:line="276" w:lineRule="auto"/>
              <w:rPr>
                <w:lang w:val="fr-SN"/>
              </w:rPr>
            </w:pPr>
            <w:r w:rsidRPr="000663E2">
              <w:t>43,36%</w:t>
            </w:r>
          </w:p>
        </w:tc>
        <w:tc>
          <w:tcPr>
            <w:tcW w:w="1629" w:type="dxa"/>
            <w:tcBorders>
              <w:top w:val="single" w:sz="4" w:space="0" w:color="auto"/>
              <w:left w:val="single" w:sz="4" w:space="0" w:color="auto"/>
              <w:bottom w:val="single" w:sz="4" w:space="0" w:color="auto"/>
              <w:right w:val="single" w:sz="4" w:space="0" w:color="auto"/>
            </w:tcBorders>
            <w:hideMark/>
          </w:tcPr>
          <w:p w14:paraId="5B27BA85" w14:textId="0D9C411A" w:rsidR="009D3BEE" w:rsidRPr="00F505DC" w:rsidRDefault="009D3BEE" w:rsidP="009D3BEE">
            <w:pPr>
              <w:spacing w:after="200" w:line="276" w:lineRule="auto"/>
              <w:rPr>
                <w:lang w:val="fr-SN"/>
              </w:rPr>
            </w:pPr>
            <w:r>
              <w:t>-</w:t>
            </w:r>
            <w:r w:rsidRPr="000663E2">
              <w:t>3,85%</w:t>
            </w:r>
          </w:p>
        </w:tc>
      </w:tr>
      <w:tr w:rsidR="009D3BEE" w:rsidRPr="00F505DC" w14:paraId="552D52C1" w14:textId="77777777" w:rsidTr="009D3BEE">
        <w:tc>
          <w:tcPr>
            <w:tcW w:w="2403" w:type="dxa"/>
            <w:tcBorders>
              <w:top w:val="single" w:sz="4" w:space="0" w:color="auto"/>
              <w:left w:val="single" w:sz="4" w:space="0" w:color="auto"/>
              <w:bottom w:val="single" w:sz="4" w:space="0" w:color="auto"/>
              <w:right w:val="single" w:sz="4" w:space="0" w:color="auto"/>
            </w:tcBorders>
          </w:tcPr>
          <w:p w14:paraId="0472D110" w14:textId="77777777" w:rsidR="009D3BEE" w:rsidRPr="00F505DC" w:rsidRDefault="009D3BEE" w:rsidP="009D3BEE">
            <w:pPr>
              <w:spacing w:after="200" w:line="276" w:lineRule="auto"/>
              <w:rPr>
                <w:b/>
                <w:bCs/>
                <w:lang w:val="fr-SN"/>
              </w:rPr>
            </w:pPr>
            <w:r w:rsidRPr="00F505DC">
              <w:rPr>
                <w:lang w:val="fr-SN"/>
              </w:rPr>
              <w:t>0102</w:t>
            </w:r>
            <w:r w:rsidRPr="00F505DC">
              <w:rPr>
                <w:b/>
                <w:bCs/>
                <w:lang w:val="fr-SN"/>
              </w:rPr>
              <w:t xml:space="preserve">. </w:t>
            </w:r>
            <w:r w:rsidRPr="00F505DC">
              <w:rPr>
                <w:lang w:val="fr-SN"/>
              </w:rPr>
              <w:t>BOISSONS NON ALCOOLISÉES</w:t>
            </w:r>
          </w:p>
          <w:p w14:paraId="43CB0CBB" w14:textId="77777777" w:rsidR="009D3BEE" w:rsidRPr="00F505DC" w:rsidRDefault="009D3BEE" w:rsidP="009D3BEE">
            <w:pPr>
              <w:spacing w:after="200" w:line="276" w:lineRule="auto"/>
              <w:rPr>
                <w:lang w:val="fr-SN"/>
              </w:rPr>
            </w:pPr>
          </w:p>
        </w:tc>
        <w:tc>
          <w:tcPr>
            <w:tcW w:w="2079" w:type="dxa"/>
            <w:tcBorders>
              <w:top w:val="single" w:sz="4" w:space="0" w:color="auto"/>
              <w:left w:val="single" w:sz="4" w:space="0" w:color="auto"/>
              <w:bottom w:val="single" w:sz="4" w:space="0" w:color="auto"/>
              <w:right w:val="single" w:sz="4" w:space="0" w:color="auto"/>
            </w:tcBorders>
          </w:tcPr>
          <w:p w14:paraId="5FB44B6E" w14:textId="77777777" w:rsidR="009D3BEE" w:rsidRPr="00F505DC" w:rsidRDefault="009D3BEE" w:rsidP="009D3BEE">
            <w:pPr>
              <w:spacing w:after="200" w:line="276" w:lineRule="auto"/>
              <w:rPr>
                <w:lang w:val="fr-SN"/>
              </w:rPr>
            </w:pPr>
            <w:r w:rsidRPr="00F505DC">
              <w:rPr>
                <w:lang w:val="fr-SN"/>
              </w:rPr>
              <w:t>BOISSONS NON ALCOOLISÉES</w:t>
            </w:r>
          </w:p>
          <w:p w14:paraId="22BEB193" w14:textId="77777777" w:rsidR="009D3BEE" w:rsidRPr="00F505DC" w:rsidRDefault="009D3BEE" w:rsidP="009D3BEE">
            <w:pPr>
              <w:spacing w:after="200" w:line="276" w:lineRule="auto"/>
              <w:rPr>
                <w:lang w:val="fr-SN"/>
              </w:rPr>
            </w:pPr>
          </w:p>
        </w:tc>
        <w:tc>
          <w:tcPr>
            <w:tcW w:w="1619" w:type="dxa"/>
            <w:tcBorders>
              <w:top w:val="single" w:sz="4" w:space="0" w:color="auto"/>
              <w:left w:val="single" w:sz="4" w:space="0" w:color="auto"/>
              <w:bottom w:val="single" w:sz="4" w:space="0" w:color="auto"/>
              <w:right w:val="single" w:sz="4" w:space="0" w:color="auto"/>
            </w:tcBorders>
            <w:hideMark/>
          </w:tcPr>
          <w:p w14:paraId="08AF1C7D" w14:textId="77777777" w:rsidR="009D3BEE" w:rsidRPr="00F505DC" w:rsidRDefault="009D3BEE" w:rsidP="009D3BEE">
            <w:pPr>
              <w:spacing w:after="200" w:line="276" w:lineRule="auto"/>
              <w:rPr>
                <w:lang w:val="fr-SN"/>
              </w:rPr>
            </w:pPr>
            <w:r w:rsidRPr="00F505DC">
              <w:rPr>
                <w:lang w:val="fr-SN"/>
              </w:rPr>
              <w:t>2,4%</w:t>
            </w:r>
          </w:p>
        </w:tc>
        <w:tc>
          <w:tcPr>
            <w:tcW w:w="1620" w:type="dxa"/>
            <w:tcBorders>
              <w:top w:val="single" w:sz="4" w:space="0" w:color="auto"/>
              <w:left w:val="single" w:sz="4" w:space="0" w:color="auto"/>
              <w:bottom w:val="single" w:sz="4" w:space="0" w:color="auto"/>
              <w:right w:val="single" w:sz="4" w:space="0" w:color="auto"/>
            </w:tcBorders>
            <w:hideMark/>
          </w:tcPr>
          <w:p w14:paraId="40E490D9" w14:textId="4B4AC6F4" w:rsidR="009D3BEE" w:rsidRPr="00F505DC" w:rsidRDefault="009D3BEE" w:rsidP="009D3BEE">
            <w:pPr>
              <w:spacing w:after="200" w:line="276" w:lineRule="auto"/>
              <w:rPr>
                <w:lang w:val="fr-SN"/>
              </w:rPr>
            </w:pPr>
            <w:r w:rsidRPr="00E00B33">
              <w:t>2,18%</w:t>
            </w:r>
          </w:p>
        </w:tc>
        <w:tc>
          <w:tcPr>
            <w:tcW w:w="1629" w:type="dxa"/>
            <w:tcBorders>
              <w:top w:val="single" w:sz="4" w:space="0" w:color="auto"/>
              <w:left w:val="single" w:sz="4" w:space="0" w:color="auto"/>
              <w:bottom w:val="single" w:sz="4" w:space="0" w:color="auto"/>
              <w:right w:val="single" w:sz="4" w:space="0" w:color="auto"/>
            </w:tcBorders>
            <w:hideMark/>
          </w:tcPr>
          <w:p w14:paraId="1B959978" w14:textId="5C5947E0" w:rsidR="009D3BEE" w:rsidRPr="00F505DC" w:rsidRDefault="009D3BEE" w:rsidP="009D3BEE">
            <w:pPr>
              <w:spacing w:after="200" w:line="276" w:lineRule="auto"/>
              <w:rPr>
                <w:lang w:val="fr-SN"/>
              </w:rPr>
            </w:pPr>
            <w:r w:rsidRPr="00E00B33">
              <w:t>-0,25%</w:t>
            </w:r>
          </w:p>
        </w:tc>
      </w:tr>
      <w:tr w:rsidR="00FE18F6" w:rsidRPr="00F505DC" w14:paraId="31A8B5D0" w14:textId="77777777" w:rsidTr="009D3BEE">
        <w:tc>
          <w:tcPr>
            <w:tcW w:w="2403" w:type="dxa"/>
            <w:tcBorders>
              <w:top w:val="single" w:sz="4" w:space="0" w:color="auto"/>
              <w:left w:val="single" w:sz="4" w:space="0" w:color="auto"/>
              <w:bottom w:val="single" w:sz="4" w:space="0" w:color="auto"/>
              <w:right w:val="single" w:sz="4" w:space="0" w:color="auto"/>
            </w:tcBorders>
          </w:tcPr>
          <w:p w14:paraId="46CC9EDD" w14:textId="77777777" w:rsidR="00FE18F6" w:rsidRPr="00F505DC" w:rsidRDefault="00FE18F6" w:rsidP="00427D57">
            <w:pPr>
              <w:spacing w:after="200" w:line="276" w:lineRule="auto"/>
              <w:rPr>
                <w:b/>
                <w:bCs/>
                <w:lang w:val="fr-SN"/>
              </w:rPr>
            </w:pPr>
            <w:r w:rsidRPr="00F505DC">
              <w:rPr>
                <w:lang w:val="fr-SN"/>
              </w:rPr>
              <w:t>0103.</w:t>
            </w:r>
            <w:r w:rsidRPr="00F505DC">
              <w:rPr>
                <w:b/>
                <w:bCs/>
                <w:lang w:val="fr-SN"/>
              </w:rPr>
              <w:t xml:space="preserve"> </w:t>
            </w:r>
            <w:r w:rsidRPr="00F505DC">
              <w:rPr>
                <w:lang w:val="fr-SN"/>
              </w:rPr>
              <w:t>SERVICES DE TRANSFORMATION D'ALIMENTS ET DE BOISSONS NON ALCOOLISÉES</w:t>
            </w:r>
          </w:p>
          <w:p w14:paraId="32F75B94" w14:textId="77777777" w:rsidR="00FE18F6" w:rsidRPr="00F505DC" w:rsidRDefault="00FE18F6" w:rsidP="00427D57">
            <w:pPr>
              <w:spacing w:after="200" w:line="276" w:lineRule="auto"/>
              <w:rPr>
                <w:lang w:val="fr-SN"/>
              </w:rPr>
            </w:pPr>
          </w:p>
        </w:tc>
        <w:tc>
          <w:tcPr>
            <w:tcW w:w="2079" w:type="dxa"/>
            <w:tcBorders>
              <w:top w:val="single" w:sz="4" w:space="0" w:color="auto"/>
              <w:left w:val="single" w:sz="4" w:space="0" w:color="auto"/>
              <w:bottom w:val="single" w:sz="4" w:space="0" w:color="auto"/>
              <w:right w:val="single" w:sz="4" w:space="0" w:color="auto"/>
            </w:tcBorders>
            <w:shd w:val="clear" w:color="auto" w:fill="FFFF00"/>
          </w:tcPr>
          <w:p w14:paraId="568107B1" w14:textId="77777777" w:rsidR="00FE18F6" w:rsidRPr="00F505DC" w:rsidRDefault="00FE18F6" w:rsidP="00427D57">
            <w:pPr>
              <w:spacing w:after="200" w:line="276" w:lineRule="auto"/>
              <w:rPr>
                <w:lang w:val="fr-SN"/>
              </w:rPr>
            </w:pPr>
          </w:p>
        </w:tc>
        <w:tc>
          <w:tcPr>
            <w:tcW w:w="1619" w:type="dxa"/>
            <w:tcBorders>
              <w:top w:val="single" w:sz="4" w:space="0" w:color="auto"/>
              <w:left w:val="single" w:sz="4" w:space="0" w:color="auto"/>
              <w:bottom w:val="single" w:sz="4" w:space="0" w:color="auto"/>
              <w:right w:val="single" w:sz="4" w:space="0" w:color="auto"/>
            </w:tcBorders>
            <w:shd w:val="clear" w:color="auto" w:fill="FFFF00"/>
          </w:tcPr>
          <w:p w14:paraId="2F1103B8" w14:textId="77777777" w:rsidR="00FE18F6" w:rsidRPr="00F505DC" w:rsidRDefault="00FE18F6" w:rsidP="00427D57">
            <w:pPr>
              <w:spacing w:after="200" w:line="276" w:lineRule="auto"/>
              <w:rPr>
                <w:lang w:val="fr-SN"/>
              </w:rPr>
            </w:pPr>
          </w:p>
        </w:tc>
        <w:tc>
          <w:tcPr>
            <w:tcW w:w="1620" w:type="dxa"/>
            <w:tcBorders>
              <w:top w:val="single" w:sz="4" w:space="0" w:color="auto"/>
              <w:left w:val="single" w:sz="4" w:space="0" w:color="auto"/>
              <w:bottom w:val="single" w:sz="4" w:space="0" w:color="auto"/>
              <w:right w:val="single" w:sz="4" w:space="0" w:color="auto"/>
            </w:tcBorders>
            <w:hideMark/>
          </w:tcPr>
          <w:p w14:paraId="3AC86B55" w14:textId="68273191" w:rsidR="00FE18F6" w:rsidRPr="00F505DC" w:rsidRDefault="00FE18F6" w:rsidP="00427D57">
            <w:pPr>
              <w:spacing w:after="200" w:line="276" w:lineRule="auto"/>
              <w:rPr>
                <w:lang w:val="fr-SN"/>
              </w:rPr>
            </w:pPr>
            <w:r w:rsidRPr="00F505DC">
              <w:rPr>
                <w:lang w:val="fr-SN"/>
              </w:rPr>
              <w:t>0,1</w:t>
            </w:r>
            <w:r w:rsidR="009D3BEE">
              <w:rPr>
                <w:lang w:val="fr-SN"/>
              </w:rPr>
              <w:t>4</w:t>
            </w:r>
            <w:r w:rsidRPr="00F505DC">
              <w:rPr>
                <w:lang w:val="fr-SN"/>
              </w:rPr>
              <w:t>%</w:t>
            </w:r>
          </w:p>
        </w:tc>
        <w:tc>
          <w:tcPr>
            <w:tcW w:w="1629" w:type="dxa"/>
            <w:tcBorders>
              <w:top w:val="single" w:sz="4" w:space="0" w:color="auto"/>
              <w:left w:val="single" w:sz="4" w:space="0" w:color="auto"/>
              <w:bottom w:val="single" w:sz="4" w:space="0" w:color="auto"/>
              <w:right w:val="single" w:sz="4" w:space="0" w:color="auto"/>
            </w:tcBorders>
            <w:shd w:val="clear" w:color="auto" w:fill="FFFF00"/>
          </w:tcPr>
          <w:p w14:paraId="35CA6C47" w14:textId="77777777" w:rsidR="00FE18F6" w:rsidRPr="00F505DC" w:rsidRDefault="00FE18F6" w:rsidP="00427D57">
            <w:pPr>
              <w:spacing w:after="200" w:line="276" w:lineRule="auto"/>
              <w:rPr>
                <w:lang w:val="fr-SN"/>
              </w:rPr>
            </w:pPr>
          </w:p>
        </w:tc>
      </w:tr>
    </w:tbl>
    <w:p w14:paraId="3053B41F" w14:textId="32F87014" w:rsidR="00FE18F6" w:rsidRDefault="00FE18F6" w:rsidP="00E62AFE">
      <w:pPr>
        <w:tabs>
          <w:tab w:val="left" w:pos="5287"/>
        </w:tabs>
        <w:rPr>
          <w:i/>
          <w:iCs/>
          <w:lang w:val="fr-SN"/>
        </w:rPr>
      </w:pPr>
      <w:r w:rsidRPr="00D051AC">
        <w:rPr>
          <w:i/>
          <w:iCs/>
          <w:lang w:val="fr-SN"/>
        </w:rPr>
        <w:t xml:space="preserve">Source : ANSD, pondération IHPC 2014 et </w:t>
      </w:r>
      <w:r w:rsidR="00023158">
        <w:rPr>
          <w:i/>
          <w:iCs/>
          <w:lang w:val="fr-SN"/>
        </w:rPr>
        <w:t>2021</w:t>
      </w:r>
      <w:r w:rsidRPr="00D051AC">
        <w:rPr>
          <w:i/>
          <w:iCs/>
          <w:lang w:val="fr-SN"/>
        </w:rPr>
        <w:t>.</w:t>
      </w:r>
      <w:r w:rsidR="00E62AFE">
        <w:rPr>
          <w:i/>
          <w:iCs/>
          <w:lang w:val="fr-SN"/>
        </w:rPr>
        <w:tab/>
      </w:r>
    </w:p>
    <w:p w14:paraId="5500E3E1" w14:textId="595688CC" w:rsidR="00E62AFE" w:rsidRPr="00E62AFE" w:rsidRDefault="00E62AFE" w:rsidP="00E62AFE">
      <w:pPr>
        <w:rPr>
          <w:lang w:val="fr-SN"/>
        </w:rPr>
      </w:pPr>
      <w:r w:rsidRPr="00E62AFE">
        <w:rPr>
          <w:lang w:val="fr-SN"/>
        </w:rPr>
        <w:t xml:space="preserve">Entre 2014 et </w:t>
      </w:r>
      <w:r w:rsidR="00023158">
        <w:rPr>
          <w:lang w:val="fr-SN"/>
        </w:rPr>
        <w:t>2021</w:t>
      </w:r>
      <w:r w:rsidRPr="00E62AFE">
        <w:rPr>
          <w:lang w:val="fr-SN"/>
        </w:rPr>
        <w:t>, une baisse notable de 4,17 % des dépenses allouées aux produits alimentaires et boissons non alcoolisées a été enregistrée, passant de 49,6 % à 45,47 %. Cette évolution reflète une diversification progressive des dépenses des ménages sénégalais. En effet, la consommation alimentaire tend à se déplacer hors des foyers, notamment vers les services de restauration et d’hébergement, comme l’illustre la hausse de</w:t>
      </w:r>
      <w:r w:rsidR="001A42AD">
        <w:rPr>
          <w:lang w:val="fr-SN"/>
        </w:rPr>
        <w:t>s</w:t>
      </w:r>
      <w:r w:rsidRPr="00E62AFE">
        <w:rPr>
          <w:lang w:val="fr-SN"/>
        </w:rPr>
        <w:t xml:space="preserve"> pondération</w:t>
      </w:r>
      <w:r w:rsidR="001A42AD">
        <w:rPr>
          <w:lang w:val="fr-SN"/>
        </w:rPr>
        <w:t>s</w:t>
      </w:r>
      <w:r w:rsidRPr="00E62AFE">
        <w:rPr>
          <w:lang w:val="fr-SN"/>
        </w:rPr>
        <w:t xml:space="preserve"> de cette division.</w:t>
      </w:r>
    </w:p>
    <w:p w14:paraId="1E330A01" w14:textId="77777777" w:rsidR="00E62AFE" w:rsidRPr="00E62AFE" w:rsidRDefault="00E62AFE" w:rsidP="00E62AFE">
      <w:pPr>
        <w:rPr>
          <w:lang w:val="fr-SN"/>
        </w:rPr>
      </w:pPr>
      <w:r w:rsidRPr="00E62AFE">
        <w:rPr>
          <w:lang w:val="fr-SN"/>
        </w:rPr>
        <w:t>De plus, les ménages semblent accorder une part croissante de leurs ressources à d'autres secteurs tels que la santé, l'éducation et les loisirs, au détriment des produits alimentaires de base. Cette redistribution des dépenses peut être attribuée à l'amélioration du pouvoir d'achat des Sénégalais, avec un PIB par habitant en hausse significative, passant de 1 060 USD en 2014 à 1 540 USD en 2021, selon les données de la Banque mondiale.</w:t>
      </w:r>
    </w:p>
    <w:p w14:paraId="5B1B8A29" w14:textId="2B484FD7" w:rsidR="00E62AFE" w:rsidRPr="00D051AC" w:rsidRDefault="00E62AFE" w:rsidP="00E62AFE">
      <w:pPr>
        <w:rPr>
          <w:lang w:val="fr-SN"/>
        </w:rPr>
      </w:pPr>
      <w:r w:rsidRPr="00E62AFE">
        <w:rPr>
          <w:lang w:val="fr-SN"/>
        </w:rPr>
        <w:t>L’urbanisation croissante du pays, marquée par une augmentation du taux d’urbanisation de 42 % en 2014 à 46 % en 2021, a également contribué à modifier les habitudes de consommation. Les ménages urbains, exposés à une offre alimentaire plus variée, consomment davantage de produits transformés, réduisant ainsi leurs achats de produits bruts, tels que les céréales. Ces changements traduisent une adaptation des modes de vie à un contexte socio-économique en évolution rapide.</w:t>
      </w:r>
    </w:p>
    <w:p w14:paraId="70F92222" w14:textId="77777777" w:rsidR="00FE18F6" w:rsidRPr="00F974FD" w:rsidRDefault="00FE18F6">
      <w:pPr>
        <w:pStyle w:val="Paragraphedeliste"/>
        <w:numPr>
          <w:ilvl w:val="0"/>
          <w:numId w:val="20"/>
        </w:numPr>
        <w:rPr>
          <w:b/>
          <w:bCs/>
          <w:lang w:val="fr-SN"/>
        </w:rPr>
      </w:pPr>
      <w:r w:rsidRPr="00F974FD">
        <w:rPr>
          <w:b/>
          <w:bCs/>
          <w:lang w:val="fr-SN"/>
        </w:rPr>
        <w:t>Boissons alcoolisées et stupéfiants</w:t>
      </w:r>
    </w:p>
    <w:p w14:paraId="2FFA2ACA" w14:textId="7B9D0307" w:rsidR="0047752C" w:rsidRPr="0047752C" w:rsidRDefault="00FE18F6" w:rsidP="0047752C">
      <w:r w:rsidRPr="003673C6">
        <w:t xml:space="preserve">L'analyse pour la division "Boissons alcoolisées, tabacs et stupéfiants" montre une baisse globale de </w:t>
      </w:r>
      <w:r>
        <w:t>0,</w:t>
      </w:r>
      <w:r w:rsidR="008F23CE">
        <w:t>26</w:t>
      </w:r>
      <w:r w:rsidRPr="003673C6">
        <w:t xml:space="preserve"> point de pourcentage entre 2014 et 202</w:t>
      </w:r>
      <w:r w:rsidR="00050F0D">
        <w:t>1</w:t>
      </w:r>
      <w:r w:rsidRPr="003673C6">
        <w:t xml:space="preserve">, passant de </w:t>
      </w:r>
      <w:r>
        <w:t>0,49%</w:t>
      </w:r>
      <w:r w:rsidRPr="003673C6">
        <w:t xml:space="preserve"> à 0,</w:t>
      </w:r>
      <w:r w:rsidR="003742CA">
        <w:t>22</w:t>
      </w:r>
      <w:r w:rsidRPr="003673C6">
        <w:t xml:space="preserve"> %. Cette diminution est principalement due à la forte baisse de la part des stupéfiants</w:t>
      </w:r>
      <w:r>
        <w:t xml:space="preserve"> et du tabac</w:t>
      </w:r>
      <w:r w:rsidRPr="003673C6">
        <w:t xml:space="preserve">, qui </w:t>
      </w:r>
      <w:r>
        <w:t>ont</w:t>
      </w:r>
      <w:r w:rsidRPr="003673C6">
        <w:t xml:space="preserve"> chuté de 0,</w:t>
      </w:r>
      <w:r>
        <w:t>24</w:t>
      </w:r>
      <w:r w:rsidRPr="003673C6">
        <w:t xml:space="preserve"> point de pourcentage, passant de 0,</w:t>
      </w:r>
      <w:r>
        <w:t>36</w:t>
      </w:r>
      <w:r w:rsidRPr="003673C6">
        <w:t xml:space="preserve"> % à 0</w:t>
      </w:r>
      <w:r>
        <w:t>,12</w:t>
      </w:r>
      <w:r w:rsidRPr="003673C6">
        <w:t xml:space="preserve"> %. En revanche, les boissons alcoolisées ont enregistré une légère hausse, augmentant de 0,</w:t>
      </w:r>
      <w:r w:rsidR="008F23CE">
        <w:t>06</w:t>
      </w:r>
      <w:r w:rsidRPr="003673C6">
        <w:t xml:space="preserve"> point.</w:t>
      </w:r>
      <w:bookmarkStart w:id="65" w:name="_Toc180927596"/>
    </w:p>
    <w:p w14:paraId="0B5DFAAD" w14:textId="77777777" w:rsidR="0047752C" w:rsidRDefault="0047752C" w:rsidP="00FE18F6">
      <w:pPr>
        <w:pStyle w:val="Lgende"/>
        <w:keepNext/>
        <w:rPr>
          <w:sz w:val="24"/>
          <w:szCs w:val="24"/>
        </w:rPr>
      </w:pPr>
    </w:p>
    <w:p w14:paraId="07D5307C" w14:textId="77777777" w:rsidR="0047752C" w:rsidRPr="0047752C" w:rsidRDefault="0047752C" w:rsidP="0047752C"/>
    <w:p w14:paraId="742C07EB" w14:textId="77777777" w:rsidR="0047752C" w:rsidRDefault="0047752C" w:rsidP="00FE18F6">
      <w:pPr>
        <w:pStyle w:val="Lgende"/>
        <w:keepNext/>
        <w:rPr>
          <w:sz w:val="24"/>
          <w:szCs w:val="24"/>
        </w:rPr>
      </w:pPr>
    </w:p>
    <w:p w14:paraId="1431574A" w14:textId="77777777" w:rsidR="0047752C" w:rsidRDefault="0047752C" w:rsidP="00FE18F6">
      <w:pPr>
        <w:pStyle w:val="Lgende"/>
        <w:keepNext/>
        <w:rPr>
          <w:sz w:val="24"/>
          <w:szCs w:val="24"/>
        </w:rPr>
      </w:pPr>
    </w:p>
    <w:p w14:paraId="0842A315" w14:textId="77777777" w:rsidR="0047752C" w:rsidRDefault="0047752C" w:rsidP="00FE18F6">
      <w:pPr>
        <w:pStyle w:val="Lgende"/>
        <w:keepNext/>
        <w:rPr>
          <w:sz w:val="24"/>
          <w:szCs w:val="24"/>
        </w:rPr>
      </w:pPr>
    </w:p>
    <w:p w14:paraId="17D0F50A" w14:textId="77777777" w:rsidR="0047752C" w:rsidRDefault="0047752C" w:rsidP="00FE18F6">
      <w:pPr>
        <w:pStyle w:val="Lgende"/>
        <w:keepNext/>
        <w:rPr>
          <w:sz w:val="24"/>
          <w:szCs w:val="24"/>
        </w:rPr>
      </w:pPr>
    </w:p>
    <w:p w14:paraId="53E20942" w14:textId="77777777" w:rsidR="0047752C" w:rsidRPr="0047752C" w:rsidRDefault="0047752C" w:rsidP="0047752C"/>
    <w:p w14:paraId="128F6786" w14:textId="77777777" w:rsidR="0047752C" w:rsidRDefault="0047752C" w:rsidP="0047752C"/>
    <w:p w14:paraId="20288144" w14:textId="04045B19" w:rsidR="00FE18F6" w:rsidRPr="00D051AC" w:rsidRDefault="00FE18F6" w:rsidP="00FE18F6">
      <w:pPr>
        <w:pStyle w:val="Lgende"/>
        <w:keepNext/>
        <w:rPr>
          <w:b/>
          <w:bCs/>
          <w:i w:val="0"/>
          <w:iCs w:val="0"/>
          <w:sz w:val="24"/>
          <w:szCs w:val="24"/>
        </w:rPr>
      </w:pPr>
      <w:r w:rsidRPr="00D051AC">
        <w:rPr>
          <w:sz w:val="24"/>
          <w:szCs w:val="24"/>
        </w:rPr>
        <w:t xml:space="preserve">Tableau </w:t>
      </w:r>
      <w:r w:rsidRPr="00D051AC">
        <w:rPr>
          <w:b/>
          <w:bCs/>
          <w:i w:val="0"/>
          <w:iCs w:val="0"/>
          <w:sz w:val="24"/>
          <w:szCs w:val="24"/>
        </w:rPr>
        <w:fldChar w:fldCharType="begin"/>
      </w:r>
      <w:r w:rsidRPr="00D051AC">
        <w:rPr>
          <w:sz w:val="24"/>
          <w:szCs w:val="24"/>
        </w:rPr>
        <w:instrText xml:space="preserve"> SEQ Tableau \* ARABIC </w:instrText>
      </w:r>
      <w:r w:rsidRPr="00D051AC">
        <w:rPr>
          <w:b/>
          <w:bCs/>
          <w:i w:val="0"/>
          <w:iCs w:val="0"/>
          <w:sz w:val="24"/>
          <w:szCs w:val="24"/>
        </w:rPr>
        <w:fldChar w:fldCharType="separate"/>
      </w:r>
      <w:r w:rsidR="00427D57">
        <w:rPr>
          <w:noProof/>
          <w:sz w:val="24"/>
          <w:szCs w:val="24"/>
        </w:rPr>
        <w:t>2</w:t>
      </w:r>
      <w:r w:rsidRPr="00D051AC">
        <w:rPr>
          <w:b/>
          <w:bCs/>
          <w:i w:val="0"/>
          <w:iCs w:val="0"/>
          <w:sz w:val="24"/>
          <w:szCs w:val="24"/>
        </w:rPr>
        <w:fldChar w:fldCharType="end"/>
      </w:r>
      <w:r w:rsidRPr="00D051AC">
        <w:rPr>
          <w:sz w:val="24"/>
          <w:szCs w:val="24"/>
        </w:rPr>
        <w:t xml:space="preserve"> : </w:t>
      </w:r>
      <w:r w:rsidRPr="00D051AC">
        <w:rPr>
          <w:sz w:val="24"/>
          <w:szCs w:val="24"/>
          <w:lang w:val="fr-SN"/>
        </w:rPr>
        <w:t xml:space="preserve">Structure de consommation (en %) </w:t>
      </w:r>
      <w:r>
        <w:rPr>
          <w:sz w:val="24"/>
          <w:szCs w:val="24"/>
          <w:lang w:val="fr-SN"/>
        </w:rPr>
        <w:t>boissons alcoolisées tabac et stupéfiants</w:t>
      </w:r>
      <w:r w:rsidRPr="00D051AC">
        <w:rPr>
          <w:sz w:val="24"/>
          <w:szCs w:val="24"/>
          <w:lang w:val="fr-SN"/>
        </w:rPr>
        <w:t xml:space="preserve"> entre 2014 et</w:t>
      </w:r>
      <w:r>
        <w:rPr>
          <w:sz w:val="24"/>
          <w:szCs w:val="24"/>
          <w:lang w:val="fr-SN"/>
        </w:rPr>
        <w:t xml:space="preserve"> </w:t>
      </w:r>
      <w:r w:rsidRPr="00D051AC">
        <w:rPr>
          <w:sz w:val="24"/>
          <w:szCs w:val="24"/>
          <w:lang w:val="fr-SN"/>
        </w:rPr>
        <w:t>2021</w:t>
      </w:r>
      <w:r>
        <w:rPr>
          <w:sz w:val="24"/>
          <w:szCs w:val="24"/>
          <w:lang w:val="fr-SN"/>
        </w:rPr>
        <w:t>.</w:t>
      </w:r>
      <w:bookmarkEnd w:id="65"/>
    </w:p>
    <w:tbl>
      <w:tblPr>
        <w:tblStyle w:val="Grilledutableau"/>
        <w:tblW w:w="0" w:type="auto"/>
        <w:tblLook w:val="04A0" w:firstRow="1" w:lastRow="0" w:firstColumn="1" w:lastColumn="0" w:noHBand="0" w:noVBand="1"/>
      </w:tblPr>
      <w:tblGrid>
        <w:gridCol w:w="1997"/>
        <w:gridCol w:w="1812"/>
        <w:gridCol w:w="1812"/>
        <w:gridCol w:w="1813"/>
        <w:gridCol w:w="1813"/>
      </w:tblGrid>
      <w:tr w:rsidR="00FE18F6" w:rsidRPr="00F505DC" w14:paraId="5135A96B" w14:textId="77777777" w:rsidTr="00E62AFE">
        <w:tc>
          <w:tcPr>
            <w:tcW w:w="1997" w:type="dxa"/>
            <w:tcBorders>
              <w:top w:val="single" w:sz="4" w:space="0" w:color="auto"/>
              <w:left w:val="single" w:sz="4" w:space="0" w:color="auto"/>
              <w:bottom w:val="single" w:sz="4" w:space="0" w:color="auto"/>
              <w:right w:val="single" w:sz="4" w:space="0" w:color="auto"/>
            </w:tcBorders>
            <w:hideMark/>
          </w:tcPr>
          <w:p w14:paraId="4CF3D27D" w14:textId="396240F7" w:rsidR="00FE18F6" w:rsidRPr="00F505DC" w:rsidRDefault="00FE18F6" w:rsidP="00427D57">
            <w:pPr>
              <w:spacing w:after="200" w:line="276" w:lineRule="auto"/>
              <w:rPr>
                <w:lang w:val="fr-SN"/>
              </w:rPr>
            </w:pPr>
            <w:r w:rsidRPr="00F505DC">
              <w:rPr>
                <w:lang w:val="fr-SN"/>
              </w:rPr>
              <w:t>Nomenclature 202</w:t>
            </w:r>
            <w:r w:rsidR="00050F0D">
              <w:rPr>
                <w:lang w:val="fr-SN"/>
              </w:rPr>
              <w:t>1</w:t>
            </w:r>
          </w:p>
        </w:tc>
        <w:tc>
          <w:tcPr>
            <w:tcW w:w="1812" w:type="dxa"/>
            <w:tcBorders>
              <w:top w:val="single" w:sz="4" w:space="0" w:color="auto"/>
              <w:left w:val="single" w:sz="4" w:space="0" w:color="auto"/>
              <w:bottom w:val="single" w:sz="4" w:space="0" w:color="auto"/>
              <w:right w:val="single" w:sz="4" w:space="0" w:color="auto"/>
            </w:tcBorders>
            <w:hideMark/>
          </w:tcPr>
          <w:p w14:paraId="40DED582" w14:textId="77777777" w:rsidR="00FE18F6" w:rsidRPr="00F505DC" w:rsidRDefault="00FE18F6" w:rsidP="00427D57">
            <w:pPr>
              <w:spacing w:after="200" w:line="276" w:lineRule="auto"/>
              <w:rPr>
                <w:lang w:val="fr-SN"/>
              </w:rPr>
            </w:pPr>
            <w:r w:rsidRPr="00F505DC">
              <w:rPr>
                <w:lang w:val="fr-SN"/>
              </w:rPr>
              <w:t>Nomenclature 2014</w:t>
            </w:r>
          </w:p>
        </w:tc>
        <w:tc>
          <w:tcPr>
            <w:tcW w:w="1812" w:type="dxa"/>
            <w:tcBorders>
              <w:top w:val="single" w:sz="4" w:space="0" w:color="auto"/>
              <w:left w:val="single" w:sz="4" w:space="0" w:color="auto"/>
              <w:bottom w:val="single" w:sz="4" w:space="0" w:color="auto"/>
              <w:right w:val="single" w:sz="4" w:space="0" w:color="auto"/>
            </w:tcBorders>
            <w:hideMark/>
          </w:tcPr>
          <w:p w14:paraId="3FB1BCBC" w14:textId="77777777" w:rsidR="00FE18F6" w:rsidRPr="00F505DC" w:rsidRDefault="00FE18F6" w:rsidP="00427D57">
            <w:pPr>
              <w:spacing w:after="200" w:line="276" w:lineRule="auto"/>
              <w:rPr>
                <w:lang w:val="fr-SN"/>
              </w:rPr>
            </w:pPr>
            <w:r w:rsidRPr="00F505DC">
              <w:rPr>
                <w:lang w:val="fr-SN"/>
              </w:rPr>
              <w:t>Pondération 2014</w:t>
            </w:r>
          </w:p>
        </w:tc>
        <w:tc>
          <w:tcPr>
            <w:tcW w:w="1813" w:type="dxa"/>
            <w:tcBorders>
              <w:top w:val="single" w:sz="4" w:space="0" w:color="auto"/>
              <w:left w:val="single" w:sz="4" w:space="0" w:color="auto"/>
              <w:bottom w:val="single" w:sz="4" w:space="0" w:color="auto"/>
              <w:right w:val="single" w:sz="4" w:space="0" w:color="auto"/>
            </w:tcBorders>
            <w:hideMark/>
          </w:tcPr>
          <w:p w14:paraId="20A25057" w14:textId="77777777" w:rsidR="00FE18F6" w:rsidRPr="00F505DC" w:rsidRDefault="00FE18F6" w:rsidP="00427D57">
            <w:pPr>
              <w:spacing w:after="200" w:line="276" w:lineRule="auto"/>
              <w:rPr>
                <w:lang w:val="fr-SN"/>
              </w:rPr>
            </w:pPr>
            <w:r w:rsidRPr="00F505DC">
              <w:rPr>
                <w:lang w:val="fr-SN"/>
              </w:rPr>
              <w:t>Pondération</w:t>
            </w:r>
          </w:p>
          <w:p w14:paraId="0DF0DD7E" w14:textId="77777777" w:rsidR="00FE18F6" w:rsidRPr="00F505DC" w:rsidRDefault="00FE18F6" w:rsidP="00427D57">
            <w:pPr>
              <w:spacing w:after="200" w:line="276" w:lineRule="auto"/>
              <w:rPr>
                <w:lang w:val="fr-SN"/>
              </w:rPr>
            </w:pPr>
            <w:r w:rsidRPr="00F505DC">
              <w:rPr>
                <w:lang w:val="fr-SN"/>
              </w:rPr>
              <w:t>202</w:t>
            </w:r>
            <w:r>
              <w:rPr>
                <w:lang w:val="fr-SN"/>
              </w:rPr>
              <w:t>1</w:t>
            </w:r>
          </w:p>
        </w:tc>
        <w:tc>
          <w:tcPr>
            <w:tcW w:w="1813" w:type="dxa"/>
            <w:tcBorders>
              <w:top w:val="single" w:sz="4" w:space="0" w:color="auto"/>
              <w:left w:val="single" w:sz="4" w:space="0" w:color="auto"/>
              <w:bottom w:val="single" w:sz="4" w:space="0" w:color="auto"/>
              <w:right w:val="single" w:sz="4" w:space="0" w:color="auto"/>
            </w:tcBorders>
            <w:hideMark/>
          </w:tcPr>
          <w:p w14:paraId="6C6DF3FA" w14:textId="77777777" w:rsidR="00FE18F6" w:rsidRPr="00F505DC" w:rsidRDefault="00FE18F6" w:rsidP="00427D57">
            <w:pPr>
              <w:spacing w:after="200" w:line="276" w:lineRule="auto"/>
              <w:rPr>
                <w:lang w:val="fr-SN"/>
              </w:rPr>
            </w:pPr>
            <w:r w:rsidRPr="00F505DC">
              <w:rPr>
                <w:lang w:val="fr-SN"/>
              </w:rPr>
              <w:t>Variation en point de pourcentage</w:t>
            </w:r>
          </w:p>
        </w:tc>
      </w:tr>
      <w:tr w:rsidR="00E62AFE" w:rsidRPr="00F505DC" w14:paraId="777D3B88" w14:textId="77777777" w:rsidTr="00E62AFE">
        <w:tc>
          <w:tcPr>
            <w:tcW w:w="1997" w:type="dxa"/>
            <w:tcBorders>
              <w:top w:val="single" w:sz="4" w:space="0" w:color="auto"/>
              <w:left w:val="single" w:sz="4" w:space="0" w:color="auto"/>
              <w:bottom w:val="single" w:sz="4" w:space="0" w:color="auto"/>
              <w:right w:val="single" w:sz="4" w:space="0" w:color="auto"/>
            </w:tcBorders>
          </w:tcPr>
          <w:p w14:paraId="12B1416B" w14:textId="77777777" w:rsidR="00E62AFE" w:rsidRPr="00F505DC" w:rsidRDefault="00E62AFE" w:rsidP="00E62AFE">
            <w:pPr>
              <w:spacing w:after="200" w:line="276" w:lineRule="auto"/>
              <w:rPr>
                <w:b/>
                <w:bCs/>
                <w:lang w:val="fr-SN"/>
              </w:rPr>
            </w:pPr>
            <w:r w:rsidRPr="00F505DC">
              <w:rPr>
                <w:b/>
                <w:bCs/>
                <w:lang w:val="fr-SN"/>
              </w:rPr>
              <w:t>02.</w:t>
            </w:r>
            <w:bookmarkStart w:id="66" w:name="_Hlk180923959"/>
            <w:r w:rsidRPr="00F505DC">
              <w:rPr>
                <w:b/>
                <w:bCs/>
                <w:lang w:val="fr-SN"/>
              </w:rPr>
              <w:t>BOISSONS ALCOOLISÉES, TABAC ET STUPEFIANTS</w:t>
            </w:r>
          </w:p>
          <w:bookmarkEnd w:id="66"/>
          <w:p w14:paraId="35276DA7" w14:textId="77777777" w:rsidR="00E62AFE" w:rsidRPr="00F505DC" w:rsidRDefault="00E62AFE" w:rsidP="00E62AFE">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tcPr>
          <w:p w14:paraId="44A679F5" w14:textId="77777777" w:rsidR="00E62AFE" w:rsidRPr="00F505DC" w:rsidRDefault="00E62AFE" w:rsidP="00E62AFE">
            <w:pPr>
              <w:spacing w:after="200" w:line="276" w:lineRule="auto"/>
              <w:rPr>
                <w:b/>
                <w:bCs/>
                <w:lang w:val="fr-SN"/>
              </w:rPr>
            </w:pPr>
            <w:r w:rsidRPr="00F505DC">
              <w:rPr>
                <w:b/>
                <w:bCs/>
                <w:lang w:val="fr-SN"/>
              </w:rPr>
              <w:t>Tabac et stupéfiants</w:t>
            </w:r>
          </w:p>
          <w:p w14:paraId="41A1811F" w14:textId="77777777" w:rsidR="00E62AFE" w:rsidRPr="00F505DC" w:rsidRDefault="00E62AFE" w:rsidP="00E62AFE">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vAlign w:val="bottom"/>
            <w:hideMark/>
          </w:tcPr>
          <w:p w14:paraId="6BE36949" w14:textId="77777777" w:rsidR="00E62AFE" w:rsidRPr="00F505DC" w:rsidRDefault="00E62AFE" w:rsidP="00E62AFE">
            <w:pPr>
              <w:spacing w:after="200" w:line="276" w:lineRule="auto"/>
              <w:rPr>
                <w:b/>
                <w:bCs/>
                <w:lang w:val="fr-SN"/>
              </w:rPr>
            </w:pPr>
            <w:r>
              <w:rPr>
                <w:rFonts w:ascii="Aptos Narrow" w:hAnsi="Aptos Narrow"/>
                <w:b/>
                <w:bCs/>
                <w:color w:val="000000"/>
                <w:sz w:val="22"/>
              </w:rPr>
              <w:t>0,49%</w:t>
            </w:r>
          </w:p>
        </w:tc>
        <w:tc>
          <w:tcPr>
            <w:tcW w:w="1813" w:type="dxa"/>
            <w:tcBorders>
              <w:top w:val="single" w:sz="4" w:space="0" w:color="auto"/>
              <w:left w:val="single" w:sz="4" w:space="0" w:color="auto"/>
              <w:bottom w:val="single" w:sz="4" w:space="0" w:color="auto"/>
              <w:right w:val="single" w:sz="4" w:space="0" w:color="auto"/>
            </w:tcBorders>
            <w:vAlign w:val="bottom"/>
            <w:hideMark/>
          </w:tcPr>
          <w:p w14:paraId="0E4B0C5C" w14:textId="69499006" w:rsidR="00E62AFE" w:rsidRPr="00F505DC" w:rsidRDefault="00E62AFE" w:rsidP="00E62AFE">
            <w:pPr>
              <w:spacing w:after="200" w:line="276" w:lineRule="auto"/>
              <w:rPr>
                <w:b/>
                <w:bCs/>
                <w:lang w:val="fr-SN"/>
              </w:rPr>
            </w:pPr>
            <w:r>
              <w:rPr>
                <w:rFonts w:ascii="Aptos Narrow" w:hAnsi="Aptos Narrow"/>
                <w:b/>
                <w:bCs/>
                <w:color w:val="000000"/>
                <w:sz w:val="22"/>
              </w:rPr>
              <w:t>0,22%</w:t>
            </w:r>
          </w:p>
        </w:tc>
        <w:tc>
          <w:tcPr>
            <w:tcW w:w="1813" w:type="dxa"/>
            <w:tcBorders>
              <w:top w:val="single" w:sz="4" w:space="0" w:color="auto"/>
              <w:left w:val="single" w:sz="4" w:space="0" w:color="auto"/>
              <w:bottom w:val="single" w:sz="4" w:space="0" w:color="auto"/>
              <w:right w:val="single" w:sz="4" w:space="0" w:color="auto"/>
            </w:tcBorders>
            <w:vAlign w:val="bottom"/>
            <w:hideMark/>
          </w:tcPr>
          <w:p w14:paraId="7025DC31" w14:textId="65368F1F" w:rsidR="00E62AFE" w:rsidRPr="00050F0D" w:rsidRDefault="00E62AFE" w:rsidP="00E62AFE">
            <w:pPr>
              <w:spacing w:after="200" w:line="276" w:lineRule="auto"/>
              <w:rPr>
                <w:b/>
                <w:bCs/>
                <w:lang w:val="fr-SN"/>
              </w:rPr>
            </w:pPr>
            <w:r w:rsidRPr="00050F0D">
              <w:rPr>
                <w:rFonts w:ascii="Aptos Narrow" w:hAnsi="Aptos Narrow"/>
                <w:b/>
                <w:bCs/>
                <w:color w:val="000000"/>
                <w:sz w:val="22"/>
              </w:rPr>
              <w:t>-0,26%</w:t>
            </w:r>
          </w:p>
        </w:tc>
      </w:tr>
      <w:tr w:rsidR="00FE18F6" w:rsidRPr="00F505DC" w14:paraId="58BF0BE6" w14:textId="77777777" w:rsidTr="00E62AFE">
        <w:tc>
          <w:tcPr>
            <w:tcW w:w="1997" w:type="dxa"/>
            <w:tcBorders>
              <w:top w:val="single" w:sz="4" w:space="0" w:color="auto"/>
              <w:left w:val="single" w:sz="4" w:space="0" w:color="auto"/>
              <w:bottom w:val="single" w:sz="4" w:space="0" w:color="auto"/>
              <w:right w:val="single" w:sz="4" w:space="0" w:color="auto"/>
            </w:tcBorders>
          </w:tcPr>
          <w:p w14:paraId="3713B0D5" w14:textId="23E7F9AA" w:rsidR="00FE18F6" w:rsidRPr="0047752C" w:rsidRDefault="00FE18F6" w:rsidP="00427D57">
            <w:pPr>
              <w:spacing w:after="200" w:line="276" w:lineRule="auto"/>
              <w:rPr>
                <w:lang w:val="fr-SN"/>
              </w:rPr>
            </w:pPr>
            <w:r w:rsidRPr="00F505DC">
              <w:rPr>
                <w:lang w:val="fr-SN"/>
              </w:rPr>
              <w:t>0201.BOISSONS ALCOOLISÉES</w:t>
            </w:r>
          </w:p>
        </w:tc>
        <w:tc>
          <w:tcPr>
            <w:tcW w:w="1812" w:type="dxa"/>
            <w:tcBorders>
              <w:top w:val="single" w:sz="4" w:space="0" w:color="auto"/>
              <w:left w:val="single" w:sz="4" w:space="0" w:color="auto"/>
              <w:bottom w:val="single" w:sz="4" w:space="0" w:color="auto"/>
              <w:right w:val="single" w:sz="4" w:space="0" w:color="auto"/>
            </w:tcBorders>
          </w:tcPr>
          <w:p w14:paraId="0973A45D" w14:textId="77777777" w:rsidR="00FE18F6" w:rsidRPr="00F505DC" w:rsidRDefault="00FE18F6" w:rsidP="00427D57">
            <w:pPr>
              <w:spacing w:after="200" w:line="276" w:lineRule="auto"/>
              <w:rPr>
                <w:lang w:val="fr-SN"/>
              </w:rPr>
            </w:pPr>
            <w:r w:rsidRPr="00F505DC">
              <w:rPr>
                <w:lang w:val="fr-SN"/>
              </w:rPr>
              <w:t>Boissons alcoolisées</w:t>
            </w:r>
          </w:p>
          <w:p w14:paraId="3475341D" w14:textId="77777777" w:rsidR="00FE18F6" w:rsidRPr="00F505DC" w:rsidRDefault="00FE18F6" w:rsidP="00427D57">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vAlign w:val="bottom"/>
            <w:hideMark/>
          </w:tcPr>
          <w:p w14:paraId="0F5D1C72" w14:textId="77777777" w:rsidR="00FE18F6" w:rsidRPr="00F505DC" w:rsidRDefault="00FE18F6" w:rsidP="00427D57">
            <w:pPr>
              <w:spacing w:after="200" w:line="276" w:lineRule="auto"/>
              <w:rPr>
                <w:lang w:val="fr-SN"/>
              </w:rPr>
            </w:pPr>
            <w:r>
              <w:rPr>
                <w:rFonts w:ascii="Aptos Narrow" w:hAnsi="Aptos Narrow"/>
                <w:color w:val="000000"/>
                <w:sz w:val="22"/>
              </w:rPr>
              <w:t>0,13%</w:t>
            </w:r>
          </w:p>
        </w:tc>
        <w:tc>
          <w:tcPr>
            <w:tcW w:w="1813" w:type="dxa"/>
            <w:tcBorders>
              <w:top w:val="single" w:sz="4" w:space="0" w:color="auto"/>
              <w:left w:val="single" w:sz="4" w:space="0" w:color="auto"/>
              <w:bottom w:val="single" w:sz="4" w:space="0" w:color="auto"/>
              <w:right w:val="single" w:sz="4" w:space="0" w:color="auto"/>
            </w:tcBorders>
            <w:vAlign w:val="bottom"/>
            <w:hideMark/>
          </w:tcPr>
          <w:p w14:paraId="02190813" w14:textId="77777777" w:rsidR="00FE18F6" w:rsidRPr="00F505DC" w:rsidRDefault="00FE18F6" w:rsidP="00427D57">
            <w:pPr>
              <w:spacing w:after="200" w:line="276" w:lineRule="auto"/>
              <w:rPr>
                <w:lang w:val="fr-SN"/>
              </w:rPr>
            </w:pPr>
            <w:r>
              <w:rPr>
                <w:rFonts w:ascii="Aptos Narrow" w:hAnsi="Aptos Narrow"/>
                <w:color w:val="000000"/>
                <w:sz w:val="22"/>
              </w:rPr>
              <w:t>0,19%</w:t>
            </w:r>
          </w:p>
        </w:tc>
        <w:tc>
          <w:tcPr>
            <w:tcW w:w="1813" w:type="dxa"/>
            <w:tcBorders>
              <w:top w:val="single" w:sz="4" w:space="0" w:color="auto"/>
              <w:left w:val="single" w:sz="4" w:space="0" w:color="auto"/>
              <w:bottom w:val="single" w:sz="4" w:space="0" w:color="auto"/>
              <w:right w:val="single" w:sz="4" w:space="0" w:color="auto"/>
            </w:tcBorders>
            <w:vAlign w:val="bottom"/>
            <w:hideMark/>
          </w:tcPr>
          <w:p w14:paraId="15577F65" w14:textId="77777777" w:rsidR="00FE18F6" w:rsidRPr="00F505DC" w:rsidRDefault="00FE18F6" w:rsidP="00427D57">
            <w:pPr>
              <w:spacing w:after="200" w:line="276" w:lineRule="auto"/>
              <w:rPr>
                <w:lang w:val="fr-SN"/>
              </w:rPr>
            </w:pPr>
            <w:r>
              <w:rPr>
                <w:rFonts w:ascii="Aptos Narrow" w:hAnsi="Aptos Narrow"/>
                <w:color w:val="000000"/>
                <w:sz w:val="22"/>
              </w:rPr>
              <w:t>0,06%</w:t>
            </w:r>
          </w:p>
        </w:tc>
      </w:tr>
      <w:tr w:rsidR="00FE18F6" w:rsidRPr="00F505DC" w14:paraId="0A7A60B1" w14:textId="77777777" w:rsidTr="00E62AFE">
        <w:tc>
          <w:tcPr>
            <w:tcW w:w="1997" w:type="dxa"/>
            <w:tcBorders>
              <w:top w:val="single" w:sz="4" w:space="0" w:color="auto"/>
              <w:left w:val="single" w:sz="4" w:space="0" w:color="auto"/>
              <w:bottom w:val="single" w:sz="4" w:space="0" w:color="auto"/>
              <w:right w:val="single" w:sz="4" w:space="0" w:color="auto"/>
            </w:tcBorders>
          </w:tcPr>
          <w:p w14:paraId="34386EF7" w14:textId="77777777" w:rsidR="00FE18F6" w:rsidRPr="00F505DC" w:rsidRDefault="00FE18F6" w:rsidP="00427D57">
            <w:pPr>
              <w:spacing w:after="200" w:line="276" w:lineRule="auto"/>
              <w:rPr>
                <w:lang w:val="fr-SN"/>
              </w:rPr>
            </w:pPr>
            <w:r w:rsidRPr="00F505DC">
              <w:rPr>
                <w:lang w:val="fr-SN"/>
              </w:rPr>
              <w:t>020</w:t>
            </w:r>
            <w:r>
              <w:rPr>
                <w:lang w:val="fr-SN"/>
              </w:rPr>
              <w:t>2</w:t>
            </w:r>
            <w:r w:rsidRPr="00F505DC">
              <w:rPr>
                <w:lang w:val="fr-SN"/>
              </w:rPr>
              <w:t>.</w:t>
            </w:r>
            <w:r>
              <w:rPr>
                <w:lang w:val="fr-SN"/>
              </w:rPr>
              <w:t xml:space="preserve"> Tabac</w:t>
            </w:r>
          </w:p>
          <w:p w14:paraId="7405CF98" w14:textId="77777777" w:rsidR="00FE18F6" w:rsidRPr="00F505DC" w:rsidRDefault="00FE18F6" w:rsidP="00427D57">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tcPr>
          <w:p w14:paraId="1DFA0091" w14:textId="3944694A" w:rsidR="00FE18F6" w:rsidRDefault="00FE18F6" w:rsidP="00427D57">
            <w:pPr>
              <w:rPr>
                <w:rFonts w:ascii="Arial" w:hAnsi="Arial" w:cs="Arial"/>
                <w:sz w:val="20"/>
                <w:szCs w:val="20"/>
                <w:lang w:val="fr-SN"/>
              </w:rPr>
            </w:pPr>
            <w:r>
              <w:rPr>
                <w:rFonts w:ascii="Arial" w:hAnsi="Arial" w:cs="Arial"/>
                <w:sz w:val="20"/>
                <w:szCs w:val="20"/>
              </w:rPr>
              <w:t xml:space="preserve">Tabacs et </w:t>
            </w:r>
            <w:r w:rsidR="00050F0D">
              <w:rPr>
                <w:rFonts w:ascii="Arial" w:hAnsi="Arial" w:cs="Arial"/>
                <w:sz w:val="20"/>
                <w:szCs w:val="20"/>
              </w:rPr>
              <w:t>stupéfiants</w:t>
            </w:r>
          </w:p>
          <w:p w14:paraId="1AF48861" w14:textId="77777777" w:rsidR="00FE18F6" w:rsidRPr="00F505DC" w:rsidRDefault="00FE18F6" w:rsidP="00427D57">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vAlign w:val="bottom"/>
          </w:tcPr>
          <w:p w14:paraId="3220B294" w14:textId="77777777" w:rsidR="00FE18F6" w:rsidRPr="00F505DC" w:rsidRDefault="00FE18F6" w:rsidP="00427D57">
            <w:pPr>
              <w:spacing w:after="200" w:line="276" w:lineRule="auto"/>
              <w:rPr>
                <w:lang w:val="fr-SN"/>
              </w:rPr>
            </w:pPr>
            <w:r>
              <w:rPr>
                <w:rFonts w:ascii="Aptos Narrow" w:hAnsi="Aptos Narrow"/>
                <w:color w:val="000000"/>
                <w:sz w:val="22"/>
              </w:rPr>
              <w:t>0,36%</w:t>
            </w:r>
          </w:p>
        </w:tc>
        <w:tc>
          <w:tcPr>
            <w:tcW w:w="1813" w:type="dxa"/>
            <w:tcBorders>
              <w:top w:val="single" w:sz="4" w:space="0" w:color="auto"/>
              <w:left w:val="single" w:sz="4" w:space="0" w:color="auto"/>
              <w:bottom w:val="single" w:sz="4" w:space="0" w:color="auto"/>
              <w:right w:val="single" w:sz="4" w:space="0" w:color="auto"/>
            </w:tcBorders>
            <w:vAlign w:val="bottom"/>
          </w:tcPr>
          <w:p w14:paraId="2B6F9A3B" w14:textId="77777777" w:rsidR="00FE18F6" w:rsidRPr="00F505DC" w:rsidRDefault="00FE18F6" w:rsidP="00427D57">
            <w:pPr>
              <w:spacing w:after="200" w:line="276" w:lineRule="auto"/>
              <w:rPr>
                <w:lang w:val="fr-SN"/>
              </w:rPr>
            </w:pPr>
            <w:r>
              <w:rPr>
                <w:rFonts w:ascii="Aptos Narrow" w:hAnsi="Aptos Narrow"/>
                <w:color w:val="000000"/>
                <w:sz w:val="22"/>
              </w:rPr>
              <w:t>0,11%</w:t>
            </w:r>
          </w:p>
        </w:tc>
        <w:tc>
          <w:tcPr>
            <w:tcW w:w="1813" w:type="dxa"/>
            <w:tcBorders>
              <w:top w:val="single" w:sz="4" w:space="0" w:color="auto"/>
              <w:left w:val="single" w:sz="4" w:space="0" w:color="auto"/>
              <w:bottom w:val="single" w:sz="4" w:space="0" w:color="auto"/>
              <w:right w:val="single" w:sz="4" w:space="0" w:color="auto"/>
            </w:tcBorders>
            <w:vAlign w:val="bottom"/>
          </w:tcPr>
          <w:p w14:paraId="737C8154" w14:textId="77777777" w:rsidR="00FE18F6" w:rsidRPr="00F505DC" w:rsidRDefault="00FE18F6" w:rsidP="00427D57">
            <w:pPr>
              <w:spacing w:after="200" w:line="276" w:lineRule="auto"/>
              <w:rPr>
                <w:lang w:val="fr-SN"/>
              </w:rPr>
            </w:pPr>
            <w:r>
              <w:rPr>
                <w:rFonts w:ascii="Aptos Narrow" w:hAnsi="Aptos Narrow"/>
                <w:color w:val="000000"/>
                <w:sz w:val="22"/>
              </w:rPr>
              <w:t>-0,07%</w:t>
            </w:r>
          </w:p>
        </w:tc>
      </w:tr>
      <w:tr w:rsidR="00FE18F6" w:rsidRPr="00F505DC" w14:paraId="067BDAEF" w14:textId="77777777" w:rsidTr="00E62AFE">
        <w:tc>
          <w:tcPr>
            <w:tcW w:w="1997" w:type="dxa"/>
            <w:tcBorders>
              <w:top w:val="single" w:sz="4" w:space="0" w:color="auto"/>
              <w:left w:val="single" w:sz="4" w:space="0" w:color="auto"/>
              <w:bottom w:val="single" w:sz="4" w:space="0" w:color="auto"/>
              <w:right w:val="single" w:sz="4" w:space="0" w:color="auto"/>
            </w:tcBorders>
          </w:tcPr>
          <w:p w14:paraId="13DC0C71" w14:textId="77777777" w:rsidR="00FE18F6" w:rsidRPr="00F505DC" w:rsidRDefault="00FE18F6" w:rsidP="00427D57">
            <w:pPr>
              <w:spacing w:after="200" w:line="276" w:lineRule="auto"/>
              <w:rPr>
                <w:lang w:val="fr-SN"/>
              </w:rPr>
            </w:pPr>
            <w:r>
              <w:rPr>
                <w:lang w:val="fr-SN"/>
              </w:rPr>
              <w:t>0203.Stupéfiants</w:t>
            </w:r>
          </w:p>
        </w:tc>
        <w:tc>
          <w:tcPr>
            <w:tcW w:w="1812" w:type="dxa"/>
            <w:tcBorders>
              <w:top w:val="single" w:sz="4" w:space="0" w:color="auto"/>
              <w:left w:val="single" w:sz="4" w:space="0" w:color="auto"/>
              <w:bottom w:val="single" w:sz="4" w:space="0" w:color="auto"/>
              <w:right w:val="single" w:sz="4" w:space="0" w:color="auto"/>
            </w:tcBorders>
            <w:shd w:val="clear" w:color="auto" w:fill="FFFF00"/>
          </w:tcPr>
          <w:p w14:paraId="7BD60FFB" w14:textId="77777777" w:rsidR="00FE18F6" w:rsidRPr="00600392" w:rsidRDefault="00FE18F6" w:rsidP="00427D57">
            <w:pPr>
              <w:rPr>
                <w:highlight w:val="yellow"/>
                <w:lang w:val="fr-SN"/>
              </w:rPr>
            </w:pPr>
          </w:p>
        </w:tc>
        <w:tc>
          <w:tcPr>
            <w:tcW w:w="1812" w:type="dxa"/>
            <w:tcBorders>
              <w:top w:val="single" w:sz="4" w:space="0" w:color="auto"/>
              <w:left w:val="single" w:sz="4" w:space="0" w:color="auto"/>
              <w:bottom w:val="single" w:sz="4" w:space="0" w:color="auto"/>
              <w:right w:val="single" w:sz="4" w:space="0" w:color="auto"/>
            </w:tcBorders>
            <w:shd w:val="clear" w:color="auto" w:fill="FFFF00"/>
            <w:vAlign w:val="bottom"/>
          </w:tcPr>
          <w:p w14:paraId="5E301495" w14:textId="77777777" w:rsidR="00FE18F6" w:rsidRPr="00600392" w:rsidRDefault="00FE18F6" w:rsidP="00427D57">
            <w:pPr>
              <w:spacing w:after="200" w:line="276" w:lineRule="auto"/>
              <w:rPr>
                <w:highlight w:val="yellow"/>
                <w:lang w:val="fr-SN"/>
              </w:rPr>
            </w:pPr>
          </w:p>
        </w:tc>
        <w:tc>
          <w:tcPr>
            <w:tcW w:w="1813" w:type="dxa"/>
            <w:tcBorders>
              <w:top w:val="single" w:sz="4" w:space="0" w:color="auto"/>
              <w:left w:val="single" w:sz="4" w:space="0" w:color="auto"/>
              <w:bottom w:val="single" w:sz="4" w:space="0" w:color="auto"/>
              <w:right w:val="single" w:sz="4" w:space="0" w:color="auto"/>
            </w:tcBorders>
            <w:vAlign w:val="bottom"/>
          </w:tcPr>
          <w:p w14:paraId="75927077" w14:textId="77777777" w:rsidR="00FE18F6" w:rsidRPr="00F505DC" w:rsidRDefault="00FE18F6" w:rsidP="00427D57">
            <w:pPr>
              <w:spacing w:after="200" w:line="276" w:lineRule="auto"/>
              <w:rPr>
                <w:lang w:val="fr-SN"/>
              </w:rPr>
            </w:pPr>
            <w:r>
              <w:rPr>
                <w:rFonts w:ascii="Aptos Narrow" w:hAnsi="Aptos Narrow"/>
                <w:color w:val="000000"/>
                <w:sz w:val="22"/>
              </w:rPr>
              <w:t>0,01%</w:t>
            </w:r>
          </w:p>
        </w:tc>
        <w:tc>
          <w:tcPr>
            <w:tcW w:w="1813" w:type="dxa"/>
            <w:tcBorders>
              <w:top w:val="single" w:sz="4" w:space="0" w:color="auto"/>
              <w:left w:val="single" w:sz="4" w:space="0" w:color="auto"/>
              <w:bottom w:val="single" w:sz="4" w:space="0" w:color="auto"/>
              <w:right w:val="single" w:sz="4" w:space="0" w:color="auto"/>
            </w:tcBorders>
            <w:vAlign w:val="bottom"/>
          </w:tcPr>
          <w:p w14:paraId="0DF18B5B" w14:textId="77777777" w:rsidR="00FE18F6" w:rsidRPr="00F505DC" w:rsidRDefault="00FE18F6" w:rsidP="00427D57">
            <w:pPr>
              <w:spacing w:after="200" w:line="276" w:lineRule="auto"/>
              <w:rPr>
                <w:lang w:val="fr-SN"/>
              </w:rPr>
            </w:pPr>
            <w:r>
              <w:rPr>
                <w:rFonts w:ascii="Aptos Narrow" w:hAnsi="Aptos Narrow"/>
                <w:color w:val="000000"/>
                <w:sz w:val="22"/>
              </w:rPr>
              <w:t>-0,17%</w:t>
            </w:r>
          </w:p>
        </w:tc>
      </w:tr>
    </w:tbl>
    <w:p w14:paraId="588AB121" w14:textId="6BE13F3F" w:rsidR="00FE18F6" w:rsidRPr="00050F0D" w:rsidRDefault="00FE18F6" w:rsidP="00FE18F6">
      <w:pPr>
        <w:rPr>
          <w:i/>
          <w:iCs/>
          <w:lang w:val="fr-SN"/>
        </w:rPr>
      </w:pPr>
      <w:r w:rsidRPr="00050F0D">
        <w:rPr>
          <w:i/>
          <w:iCs/>
          <w:lang w:val="fr-SN"/>
        </w:rPr>
        <w:t xml:space="preserve">Source : ANSD, pondération IHPC 2014 et </w:t>
      </w:r>
      <w:r w:rsidR="00023158">
        <w:rPr>
          <w:i/>
          <w:iCs/>
          <w:lang w:val="fr-SN"/>
        </w:rPr>
        <w:t>2021</w:t>
      </w:r>
      <w:r w:rsidRPr="00050F0D">
        <w:rPr>
          <w:i/>
          <w:iCs/>
          <w:lang w:val="fr-SN"/>
        </w:rPr>
        <w:t>.</w:t>
      </w:r>
    </w:p>
    <w:p w14:paraId="5BBA2291" w14:textId="77777777" w:rsidR="00FE18F6" w:rsidRPr="00F974FD" w:rsidRDefault="00FE18F6">
      <w:pPr>
        <w:pStyle w:val="Paragraphedeliste"/>
        <w:numPr>
          <w:ilvl w:val="0"/>
          <w:numId w:val="20"/>
        </w:numPr>
        <w:rPr>
          <w:b/>
          <w:bCs/>
          <w:lang w:val="fr-SN"/>
        </w:rPr>
      </w:pPr>
      <w:r w:rsidRPr="00F974FD">
        <w:rPr>
          <w:b/>
          <w:bCs/>
          <w:lang w:val="fr-SN"/>
        </w:rPr>
        <w:t>Vêtements et chaussures</w:t>
      </w:r>
    </w:p>
    <w:p w14:paraId="0ECCFDE1" w14:textId="513FFA29" w:rsidR="00FE18F6" w:rsidRPr="00F505DC" w:rsidRDefault="00FE18F6" w:rsidP="00FE18F6">
      <w:pPr>
        <w:rPr>
          <w:lang w:val="fr-SN"/>
        </w:rPr>
      </w:pPr>
      <w:r w:rsidRPr="00F505DC">
        <w:rPr>
          <w:lang w:val="fr-SN"/>
        </w:rPr>
        <w:t>L'analyse des dépenses allouées aux "Vêtements et chaussures" révèle une baisse de 2,5</w:t>
      </w:r>
      <w:r w:rsidR="00837213">
        <w:rPr>
          <w:lang w:val="fr-SN"/>
        </w:rPr>
        <w:t>3</w:t>
      </w:r>
      <w:r w:rsidRPr="00F505DC">
        <w:rPr>
          <w:lang w:val="fr-SN"/>
        </w:rPr>
        <w:t xml:space="preserve"> points de pourcentage entre 2014 et 202</w:t>
      </w:r>
      <w:r w:rsidR="00050F0D">
        <w:rPr>
          <w:lang w:val="fr-SN"/>
        </w:rPr>
        <w:t>1</w:t>
      </w:r>
      <w:r w:rsidRPr="00F505DC">
        <w:rPr>
          <w:lang w:val="fr-SN"/>
        </w:rPr>
        <w:t>, passant de 7,3 % à 4,</w:t>
      </w:r>
      <w:r w:rsidR="00837213">
        <w:rPr>
          <w:lang w:val="fr-SN"/>
        </w:rPr>
        <w:t>77</w:t>
      </w:r>
      <w:r w:rsidRPr="00F505DC">
        <w:rPr>
          <w:lang w:val="fr-SN"/>
        </w:rPr>
        <w:t xml:space="preserve"> % des dépenses globales des ménages. Cette diminution est principalement due à la baisse de la part des vêtements, qui a chuté de 2,4</w:t>
      </w:r>
      <w:r w:rsidR="00837213">
        <w:rPr>
          <w:lang w:val="fr-SN"/>
        </w:rPr>
        <w:t xml:space="preserve">1 </w:t>
      </w:r>
      <w:r w:rsidRPr="00F505DC">
        <w:rPr>
          <w:lang w:val="fr-SN"/>
        </w:rPr>
        <w:t>points, passant de 6,0</w:t>
      </w:r>
      <w:r w:rsidR="002D33D4">
        <w:rPr>
          <w:lang w:val="fr-SN"/>
        </w:rPr>
        <w:t>2</w:t>
      </w:r>
      <w:r w:rsidRPr="00F505DC">
        <w:rPr>
          <w:lang w:val="fr-SN"/>
        </w:rPr>
        <w:t xml:space="preserve"> % à 3,6</w:t>
      </w:r>
      <w:r w:rsidR="00837213">
        <w:rPr>
          <w:lang w:val="fr-SN"/>
        </w:rPr>
        <w:t>1</w:t>
      </w:r>
      <w:r w:rsidRPr="00F505DC">
        <w:rPr>
          <w:lang w:val="fr-SN"/>
        </w:rPr>
        <w:t>%. Les dépenses allouées aux chaussures ont également diminué, mais dans une moindre mesure, avec une réduction de 0,1</w:t>
      </w:r>
      <w:r w:rsidR="00837213">
        <w:rPr>
          <w:lang w:val="fr-SN"/>
        </w:rPr>
        <w:t>2</w:t>
      </w:r>
      <w:r w:rsidRPr="00F505DC">
        <w:rPr>
          <w:lang w:val="fr-SN"/>
        </w:rPr>
        <w:t xml:space="preserve"> point de pourcentage, passant de 1,</w:t>
      </w:r>
      <w:r w:rsidR="0068113B">
        <w:rPr>
          <w:lang w:val="fr-SN"/>
        </w:rPr>
        <w:t>28</w:t>
      </w:r>
      <w:r w:rsidRPr="00F505DC">
        <w:rPr>
          <w:lang w:val="fr-SN"/>
        </w:rPr>
        <w:t>% à 1,</w:t>
      </w:r>
      <w:r w:rsidR="00837213">
        <w:rPr>
          <w:lang w:val="fr-SN"/>
        </w:rPr>
        <w:t>16</w:t>
      </w:r>
      <w:r w:rsidRPr="00F505DC">
        <w:rPr>
          <w:lang w:val="fr-SN"/>
        </w:rPr>
        <w:t xml:space="preserve"> %.</w:t>
      </w:r>
    </w:p>
    <w:p w14:paraId="0E28F6D1" w14:textId="77777777" w:rsidR="0047752C" w:rsidRDefault="0047752C" w:rsidP="0047752C">
      <w:bookmarkStart w:id="67" w:name="_Toc180927597"/>
    </w:p>
    <w:p w14:paraId="6934551C" w14:textId="6F3FBE9E" w:rsidR="00FE18F6" w:rsidRPr="009918C9" w:rsidRDefault="00FE18F6" w:rsidP="00FE18F6">
      <w:pPr>
        <w:pStyle w:val="Lgende"/>
        <w:keepNext/>
        <w:rPr>
          <w:b/>
          <w:bCs/>
          <w:i w:val="0"/>
          <w:iCs w:val="0"/>
          <w:sz w:val="28"/>
          <w:szCs w:val="28"/>
        </w:rPr>
      </w:pPr>
      <w:r w:rsidRPr="009918C9">
        <w:rPr>
          <w:sz w:val="28"/>
          <w:szCs w:val="28"/>
        </w:rPr>
        <w:t xml:space="preserve">Tableau </w:t>
      </w:r>
      <w:r w:rsidRPr="009918C9">
        <w:rPr>
          <w:b/>
          <w:bCs/>
          <w:i w:val="0"/>
          <w:iCs w:val="0"/>
          <w:sz w:val="28"/>
          <w:szCs w:val="28"/>
        </w:rPr>
        <w:fldChar w:fldCharType="begin"/>
      </w:r>
      <w:r w:rsidRPr="009918C9">
        <w:rPr>
          <w:sz w:val="28"/>
          <w:szCs w:val="28"/>
        </w:rPr>
        <w:instrText xml:space="preserve"> SEQ Tableau \* ARABIC </w:instrText>
      </w:r>
      <w:r w:rsidRPr="009918C9">
        <w:rPr>
          <w:b/>
          <w:bCs/>
          <w:i w:val="0"/>
          <w:iCs w:val="0"/>
          <w:sz w:val="28"/>
          <w:szCs w:val="28"/>
        </w:rPr>
        <w:fldChar w:fldCharType="separate"/>
      </w:r>
      <w:r w:rsidR="00427D57">
        <w:rPr>
          <w:noProof/>
          <w:sz w:val="28"/>
          <w:szCs w:val="28"/>
        </w:rPr>
        <w:t>3</w:t>
      </w:r>
      <w:r w:rsidRPr="009918C9">
        <w:rPr>
          <w:b/>
          <w:bCs/>
          <w:i w:val="0"/>
          <w:iCs w:val="0"/>
          <w:sz w:val="28"/>
          <w:szCs w:val="28"/>
        </w:rPr>
        <w:fldChar w:fldCharType="end"/>
      </w:r>
      <w:r w:rsidRPr="009918C9">
        <w:rPr>
          <w:sz w:val="28"/>
          <w:szCs w:val="28"/>
        </w:rPr>
        <w:t xml:space="preserve"> : </w:t>
      </w:r>
      <w:r w:rsidRPr="009918C9">
        <w:rPr>
          <w:sz w:val="28"/>
          <w:szCs w:val="28"/>
          <w:lang w:val="fr-SN"/>
        </w:rPr>
        <w:t>Structure de consommation (en %) vêtements et chaussures entre 2014 et 2021</w:t>
      </w:r>
      <w:bookmarkEnd w:id="67"/>
    </w:p>
    <w:tbl>
      <w:tblPr>
        <w:tblStyle w:val="Grilledutableau"/>
        <w:tblW w:w="0" w:type="auto"/>
        <w:tblLook w:val="04A0" w:firstRow="1" w:lastRow="0" w:firstColumn="1" w:lastColumn="0" w:noHBand="0" w:noVBand="1"/>
      </w:tblPr>
      <w:tblGrid>
        <w:gridCol w:w="1850"/>
        <w:gridCol w:w="1812"/>
        <w:gridCol w:w="1812"/>
        <w:gridCol w:w="1813"/>
        <w:gridCol w:w="1813"/>
      </w:tblGrid>
      <w:tr w:rsidR="00FE18F6" w:rsidRPr="00F505DC" w14:paraId="7EBA93E2" w14:textId="77777777" w:rsidTr="00427D57">
        <w:tc>
          <w:tcPr>
            <w:tcW w:w="1812" w:type="dxa"/>
            <w:tcBorders>
              <w:top w:val="single" w:sz="4" w:space="0" w:color="auto"/>
              <w:left w:val="single" w:sz="4" w:space="0" w:color="auto"/>
              <w:bottom w:val="single" w:sz="4" w:space="0" w:color="auto"/>
              <w:right w:val="single" w:sz="4" w:space="0" w:color="auto"/>
            </w:tcBorders>
            <w:hideMark/>
          </w:tcPr>
          <w:p w14:paraId="17B2121A" w14:textId="51201BFE" w:rsidR="00FE18F6" w:rsidRPr="00F505DC" w:rsidRDefault="00FE18F6" w:rsidP="00427D57">
            <w:pPr>
              <w:spacing w:after="200" w:line="276" w:lineRule="auto"/>
              <w:rPr>
                <w:lang w:val="fr-SN"/>
              </w:rPr>
            </w:pPr>
            <w:r w:rsidRPr="00F505DC">
              <w:rPr>
                <w:lang w:val="fr-SN"/>
              </w:rPr>
              <w:t>Nomenclature 202</w:t>
            </w:r>
            <w:r w:rsidR="00050F0D">
              <w:rPr>
                <w:lang w:val="fr-SN"/>
              </w:rPr>
              <w:t>1</w:t>
            </w:r>
          </w:p>
        </w:tc>
        <w:tc>
          <w:tcPr>
            <w:tcW w:w="1812" w:type="dxa"/>
            <w:tcBorders>
              <w:top w:val="single" w:sz="4" w:space="0" w:color="auto"/>
              <w:left w:val="single" w:sz="4" w:space="0" w:color="auto"/>
              <w:bottom w:val="single" w:sz="4" w:space="0" w:color="auto"/>
              <w:right w:val="single" w:sz="4" w:space="0" w:color="auto"/>
            </w:tcBorders>
            <w:hideMark/>
          </w:tcPr>
          <w:p w14:paraId="256D3DBF" w14:textId="77777777" w:rsidR="00FE18F6" w:rsidRPr="00F505DC" w:rsidRDefault="00FE18F6" w:rsidP="00427D57">
            <w:pPr>
              <w:spacing w:after="200" w:line="276" w:lineRule="auto"/>
              <w:rPr>
                <w:lang w:val="fr-SN"/>
              </w:rPr>
            </w:pPr>
            <w:r w:rsidRPr="00F505DC">
              <w:rPr>
                <w:lang w:val="fr-SN"/>
              </w:rPr>
              <w:t>Nomenclature 2014</w:t>
            </w:r>
          </w:p>
        </w:tc>
        <w:tc>
          <w:tcPr>
            <w:tcW w:w="1812" w:type="dxa"/>
            <w:tcBorders>
              <w:top w:val="single" w:sz="4" w:space="0" w:color="auto"/>
              <w:left w:val="single" w:sz="4" w:space="0" w:color="auto"/>
              <w:bottom w:val="single" w:sz="4" w:space="0" w:color="auto"/>
              <w:right w:val="single" w:sz="4" w:space="0" w:color="auto"/>
            </w:tcBorders>
            <w:hideMark/>
          </w:tcPr>
          <w:p w14:paraId="6AE69B1B" w14:textId="77777777" w:rsidR="00FE18F6" w:rsidRPr="00F505DC" w:rsidRDefault="00FE18F6" w:rsidP="00427D57">
            <w:pPr>
              <w:spacing w:after="200" w:line="276" w:lineRule="auto"/>
              <w:rPr>
                <w:lang w:val="fr-SN"/>
              </w:rPr>
            </w:pPr>
            <w:r w:rsidRPr="00F505DC">
              <w:rPr>
                <w:lang w:val="fr-SN"/>
              </w:rPr>
              <w:t>Pondération 2014</w:t>
            </w:r>
          </w:p>
        </w:tc>
        <w:tc>
          <w:tcPr>
            <w:tcW w:w="1813" w:type="dxa"/>
            <w:tcBorders>
              <w:top w:val="single" w:sz="4" w:space="0" w:color="auto"/>
              <w:left w:val="single" w:sz="4" w:space="0" w:color="auto"/>
              <w:bottom w:val="single" w:sz="4" w:space="0" w:color="auto"/>
              <w:right w:val="single" w:sz="4" w:space="0" w:color="auto"/>
            </w:tcBorders>
            <w:hideMark/>
          </w:tcPr>
          <w:p w14:paraId="2BD94908" w14:textId="77777777" w:rsidR="00FE18F6" w:rsidRPr="00F505DC" w:rsidRDefault="00FE18F6" w:rsidP="00427D57">
            <w:pPr>
              <w:spacing w:after="200" w:line="276" w:lineRule="auto"/>
              <w:rPr>
                <w:lang w:val="fr-SN"/>
              </w:rPr>
            </w:pPr>
            <w:r w:rsidRPr="00F505DC">
              <w:rPr>
                <w:lang w:val="fr-SN"/>
              </w:rPr>
              <w:t>Pondération</w:t>
            </w:r>
          </w:p>
          <w:p w14:paraId="49D372E0" w14:textId="77777777" w:rsidR="00FE18F6" w:rsidRPr="00F505DC" w:rsidRDefault="00FE18F6" w:rsidP="00427D57">
            <w:pPr>
              <w:spacing w:after="200" w:line="276" w:lineRule="auto"/>
              <w:rPr>
                <w:lang w:val="fr-SN"/>
              </w:rPr>
            </w:pPr>
            <w:r w:rsidRPr="00F505DC">
              <w:rPr>
                <w:lang w:val="fr-SN"/>
              </w:rPr>
              <w:t>202</w:t>
            </w:r>
            <w:r>
              <w:rPr>
                <w:lang w:val="fr-SN"/>
              </w:rPr>
              <w:t>1</w:t>
            </w:r>
          </w:p>
        </w:tc>
        <w:tc>
          <w:tcPr>
            <w:tcW w:w="1813" w:type="dxa"/>
            <w:tcBorders>
              <w:top w:val="single" w:sz="4" w:space="0" w:color="auto"/>
              <w:left w:val="single" w:sz="4" w:space="0" w:color="auto"/>
              <w:bottom w:val="single" w:sz="4" w:space="0" w:color="auto"/>
              <w:right w:val="single" w:sz="4" w:space="0" w:color="auto"/>
            </w:tcBorders>
            <w:hideMark/>
          </w:tcPr>
          <w:p w14:paraId="4FEAD357" w14:textId="77777777" w:rsidR="00FE18F6" w:rsidRPr="00F505DC" w:rsidRDefault="00FE18F6" w:rsidP="00427D57">
            <w:pPr>
              <w:spacing w:after="200" w:line="276" w:lineRule="auto"/>
              <w:rPr>
                <w:lang w:val="fr-SN"/>
              </w:rPr>
            </w:pPr>
            <w:r w:rsidRPr="00F505DC">
              <w:rPr>
                <w:lang w:val="fr-SN"/>
              </w:rPr>
              <w:t>Variation en point de pourcentage</w:t>
            </w:r>
          </w:p>
        </w:tc>
      </w:tr>
      <w:tr w:rsidR="00837213" w:rsidRPr="00F505DC" w14:paraId="738720CB" w14:textId="77777777" w:rsidTr="00427D57">
        <w:tc>
          <w:tcPr>
            <w:tcW w:w="1812" w:type="dxa"/>
            <w:tcBorders>
              <w:top w:val="single" w:sz="4" w:space="0" w:color="auto"/>
              <w:left w:val="single" w:sz="4" w:space="0" w:color="auto"/>
              <w:bottom w:val="single" w:sz="4" w:space="0" w:color="auto"/>
              <w:right w:val="single" w:sz="4" w:space="0" w:color="auto"/>
            </w:tcBorders>
          </w:tcPr>
          <w:p w14:paraId="56C838CA" w14:textId="77777777" w:rsidR="00837213" w:rsidRPr="00F505DC" w:rsidRDefault="00837213" w:rsidP="00837213">
            <w:pPr>
              <w:spacing w:after="200" w:line="276" w:lineRule="auto"/>
              <w:rPr>
                <w:b/>
                <w:bCs/>
                <w:lang w:val="fr-SN"/>
              </w:rPr>
            </w:pPr>
            <w:r w:rsidRPr="00F505DC">
              <w:rPr>
                <w:b/>
                <w:bCs/>
                <w:lang w:val="fr-SN"/>
              </w:rPr>
              <w:t>03. Vêtements et chaussures</w:t>
            </w:r>
          </w:p>
          <w:p w14:paraId="5A37889B" w14:textId="77777777" w:rsidR="00837213" w:rsidRPr="00F505DC" w:rsidRDefault="00837213" w:rsidP="00837213">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tcPr>
          <w:p w14:paraId="1F807961" w14:textId="77777777" w:rsidR="00837213" w:rsidRPr="00F505DC" w:rsidRDefault="00837213" w:rsidP="00837213">
            <w:pPr>
              <w:spacing w:after="200" w:line="276" w:lineRule="auto"/>
              <w:rPr>
                <w:b/>
                <w:bCs/>
                <w:lang w:val="fr-SN"/>
              </w:rPr>
            </w:pPr>
            <w:r w:rsidRPr="00F505DC">
              <w:rPr>
                <w:b/>
                <w:bCs/>
                <w:lang w:val="fr-SN"/>
              </w:rPr>
              <w:t>Articles d'habillement et chaussures</w:t>
            </w:r>
          </w:p>
          <w:p w14:paraId="1EBD3444" w14:textId="77777777" w:rsidR="00837213" w:rsidRPr="00F505DC" w:rsidRDefault="00837213" w:rsidP="00837213">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hideMark/>
          </w:tcPr>
          <w:p w14:paraId="5B8AC6C1" w14:textId="77777777" w:rsidR="00837213" w:rsidRPr="00F505DC" w:rsidRDefault="00837213" w:rsidP="00837213">
            <w:pPr>
              <w:spacing w:after="200" w:line="276" w:lineRule="auto"/>
              <w:rPr>
                <w:b/>
                <w:bCs/>
                <w:lang w:val="fr-SN"/>
              </w:rPr>
            </w:pPr>
            <w:r w:rsidRPr="00F505DC">
              <w:rPr>
                <w:b/>
                <w:bCs/>
                <w:lang w:val="fr-SN"/>
              </w:rPr>
              <w:t>7,3%</w:t>
            </w:r>
          </w:p>
        </w:tc>
        <w:tc>
          <w:tcPr>
            <w:tcW w:w="1813" w:type="dxa"/>
            <w:tcBorders>
              <w:top w:val="single" w:sz="4" w:space="0" w:color="auto"/>
              <w:left w:val="single" w:sz="4" w:space="0" w:color="auto"/>
              <w:bottom w:val="single" w:sz="4" w:space="0" w:color="auto"/>
              <w:right w:val="single" w:sz="4" w:space="0" w:color="auto"/>
            </w:tcBorders>
            <w:hideMark/>
          </w:tcPr>
          <w:p w14:paraId="75F7C0D6" w14:textId="4FB7BFC1" w:rsidR="00837213" w:rsidRPr="00837213" w:rsidRDefault="00837213" w:rsidP="00837213">
            <w:pPr>
              <w:spacing w:after="200" w:line="276" w:lineRule="auto"/>
              <w:rPr>
                <w:b/>
                <w:bCs/>
                <w:lang w:val="fr-SN"/>
              </w:rPr>
            </w:pPr>
            <w:r w:rsidRPr="00837213">
              <w:rPr>
                <w:b/>
                <w:bCs/>
              </w:rPr>
              <w:t>4,77%</w:t>
            </w:r>
          </w:p>
        </w:tc>
        <w:tc>
          <w:tcPr>
            <w:tcW w:w="1813" w:type="dxa"/>
            <w:tcBorders>
              <w:top w:val="single" w:sz="4" w:space="0" w:color="auto"/>
              <w:left w:val="single" w:sz="4" w:space="0" w:color="auto"/>
              <w:bottom w:val="single" w:sz="4" w:space="0" w:color="auto"/>
              <w:right w:val="single" w:sz="4" w:space="0" w:color="auto"/>
            </w:tcBorders>
            <w:hideMark/>
          </w:tcPr>
          <w:p w14:paraId="3CADD312" w14:textId="6E063D40" w:rsidR="00837213" w:rsidRPr="00837213" w:rsidRDefault="00837213" w:rsidP="00837213">
            <w:pPr>
              <w:spacing w:after="200" w:line="276" w:lineRule="auto"/>
              <w:rPr>
                <w:b/>
                <w:bCs/>
                <w:lang w:val="fr-SN"/>
              </w:rPr>
            </w:pPr>
            <w:r w:rsidRPr="00837213">
              <w:rPr>
                <w:b/>
                <w:bCs/>
              </w:rPr>
              <w:t>-2,53%</w:t>
            </w:r>
          </w:p>
        </w:tc>
      </w:tr>
      <w:tr w:rsidR="00837213" w:rsidRPr="00F505DC" w14:paraId="12E288F9" w14:textId="77777777" w:rsidTr="00427D57">
        <w:tc>
          <w:tcPr>
            <w:tcW w:w="1812" w:type="dxa"/>
            <w:tcBorders>
              <w:top w:val="single" w:sz="4" w:space="0" w:color="auto"/>
              <w:left w:val="single" w:sz="4" w:space="0" w:color="auto"/>
              <w:bottom w:val="single" w:sz="4" w:space="0" w:color="auto"/>
              <w:right w:val="single" w:sz="4" w:space="0" w:color="auto"/>
            </w:tcBorders>
          </w:tcPr>
          <w:p w14:paraId="220201FC" w14:textId="77777777" w:rsidR="00837213" w:rsidRPr="00F505DC" w:rsidRDefault="00837213" w:rsidP="00837213">
            <w:pPr>
              <w:spacing w:after="200" w:line="276" w:lineRule="auto"/>
              <w:rPr>
                <w:lang w:val="fr-SN"/>
              </w:rPr>
            </w:pPr>
            <w:r w:rsidRPr="00F505DC">
              <w:rPr>
                <w:lang w:val="fr-SN"/>
              </w:rPr>
              <w:t>0301. Vêtements</w:t>
            </w:r>
          </w:p>
          <w:p w14:paraId="4212EC4D" w14:textId="77777777" w:rsidR="00837213" w:rsidRPr="00F505DC" w:rsidRDefault="00837213" w:rsidP="00837213">
            <w:pPr>
              <w:spacing w:after="200" w:line="276" w:lineRule="auto"/>
              <w:rPr>
                <w:b/>
                <w:bCs/>
                <w:lang w:val="fr-SN"/>
              </w:rPr>
            </w:pPr>
          </w:p>
        </w:tc>
        <w:tc>
          <w:tcPr>
            <w:tcW w:w="1812" w:type="dxa"/>
            <w:tcBorders>
              <w:top w:val="single" w:sz="4" w:space="0" w:color="auto"/>
              <w:left w:val="single" w:sz="4" w:space="0" w:color="auto"/>
              <w:bottom w:val="single" w:sz="4" w:space="0" w:color="auto"/>
              <w:right w:val="single" w:sz="4" w:space="0" w:color="auto"/>
            </w:tcBorders>
          </w:tcPr>
          <w:p w14:paraId="6B0011F3" w14:textId="77777777" w:rsidR="00837213" w:rsidRPr="00F505DC" w:rsidRDefault="00837213" w:rsidP="00837213">
            <w:pPr>
              <w:spacing w:after="200" w:line="276" w:lineRule="auto"/>
              <w:rPr>
                <w:lang w:val="fr-SN"/>
              </w:rPr>
            </w:pPr>
            <w:r w:rsidRPr="00F505DC">
              <w:rPr>
                <w:lang w:val="fr-SN"/>
              </w:rPr>
              <w:t>Articles d'habillement</w:t>
            </w:r>
          </w:p>
          <w:p w14:paraId="7CBD7828" w14:textId="77777777" w:rsidR="00837213" w:rsidRPr="00F505DC" w:rsidRDefault="00837213" w:rsidP="00837213">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hideMark/>
          </w:tcPr>
          <w:p w14:paraId="0BB7917E" w14:textId="1259A882" w:rsidR="00837213" w:rsidRPr="00F505DC" w:rsidRDefault="00837213" w:rsidP="00837213">
            <w:pPr>
              <w:spacing w:after="200" w:line="276" w:lineRule="auto"/>
              <w:rPr>
                <w:lang w:val="fr-SN"/>
              </w:rPr>
            </w:pPr>
            <w:r w:rsidRPr="00F505DC">
              <w:rPr>
                <w:lang w:val="fr-SN"/>
              </w:rPr>
              <w:t>6,0</w:t>
            </w:r>
            <w:r w:rsidR="002D33D4">
              <w:rPr>
                <w:lang w:val="fr-SN"/>
              </w:rPr>
              <w:t>2</w:t>
            </w:r>
            <w:r w:rsidRPr="00F505DC">
              <w:rPr>
                <w:lang w:val="fr-SN"/>
              </w:rPr>
              <w:t>%</w:t>
            </w:r>
          </w:p>
        </w:tc>
        <w:tc>
          <w:tcPr>
            <w:tcW w:w="1813" w:type="dxa"/>
            <w:tcBorders>
              <w:top w:val="single" w:sz="4" w:space="0" w:color="auto"/>
              <w:left w:val="single" w:sz="4" w:space="0" w:color="auto"/>
              <w:bottom w:val="single" w:sz="4" w:space="0" w:color="auto"/>
              <w:right w:val="single" w:sz="4" w:space="0" w:color="auto"/>
            </w:tcBorders>
            <w:hideMark/>
          </w:tcPr>
          <w:p w14:paraId="1C554519" w14:textId="5081D336" w:rsidR="00837213" w:rsidRPr="00F505DC" w:rsidRDefault="00837213" w:rsidP="00837213">
            <w:pPr>
              <w:spacing w:after="200" w:line="276" w:lineRule="auto"/>
              <w:rPr>
                <w:lang w:val="fr-SN"/>
              </w:rPr>
            </w:pPr>
            <w:r w:rsidRPr="00340DA4">
              <w:t>3,61%</w:t>
            </w:r>
          </w:p>
        </w:tc>
        <w:tc>
          <w:tcPr>
            <w:tcW w:w="1813" w:type="dxa"/>
            <w:tcBorders>
              <w:top w:val="single" w:sz="4" w:space="0" w:color="auto"/>
              <w:left w:val="single" w:sz="4" w:space="0" w:color="auto"/>
              <w:bottom w:val="single" w:sz="4" w:space="0" w:color="auto"/>
              <w:right w:val="single" w:sz="4" w:space="0" w:color="auto"/>
            </w:tcBorders>
            <w:hideMark/>
          </w:tcPr>
          <w:p w14:paraId="0E489E03" w14:textId="0B40BAA4" w:rsidR="00837213" w:rsidRPr="00F505DC" w:rsidRDefault="00837213" w:rsidP="00837213">
            <w:pPr>
              <w:spacing w:after="200" w:line="276" w:lineRule="auto"/>
              <w:rPr>
                <w:lang w:val="fr-SN"/>
              </w:rPr>
            </w:pPr>
            <w:r w:rsidRPr="00340DA4">
              <w:t>-2,41%</w:t>
            </w:r>
          </w:p>
        </w:tc>
      </w:tr>
      <w:tr w:rsidR="00837213" w:rsidRPr="00F505DC" w14:paraId="511D78D2" w14:textId="77777777" w:rsidTr="00427D57">
        <w:tc>
          <w:tcPr>
            <w:tcW w:w="1812" w:type="dxa"/>
            <w:tcBorders>
              <w:top w:val="single" w:sz="4" w:space="0" w:color="auto"/>
              <w:left w:val="single" w:sz="4" w:space="0" w:color="auto"/>
              <w:bottom w:val="single" w:sz="4" w:space="0" w:color="auto"/>
              <w:right w:val="single" w:sz="4" w:space="0" w:color="auto"/>
            </w:tcBorders>
          </w:tcPr>
          <w:p w14:paraId="17AD6E8F" w14:textId="16C3BB76" w:rsidR="00837213" w:rsidRPr="00F505DC" w:rsidRDefault="00837213" w:rsidP="00837213">
            <w:pPr>
              <w:spacing w:after="200" w:line="276" w:lineRule="auto"/>
              <w:rPr>
                <w:lang w:val="fr-SN"/>
              </w:rPr>
            </w:pPr>
            <w:r w:rsidRPr="00F505DC">
              <w:rPr>
                <w:lang w:val="fr-SN"/>
              </w:rPr>
              <w:t>0302</w:t>
            </w:r>
            <w:r w:rsidR="00050F0D">
              <w:rPr>
                <w:lang w:val="fr-SN"/>
              </w:rPr>
              <w:t>.</w:t>
            </w:r>
            <w:r w:rsidRPr="00F505DC">
              <w:rPr>
                <w:lang w:val="fr-SN"/>
              </w:rPr>
              <w:t>Chaussures</w:t>
            </w:r>
          </w:p>
          <w:p w14:paraId="73771CF8" w14:textId="77777777" w:rsidR="00837213" w:rsidRPr="00F505DC" w:rsidRDefault="00837213" w:rsidP="00837213">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tcPr>
          <w:p w14:paraId="3B9F38B3" w14:textId="77777777" w:rsidR="00837213" w:rsidRPr="00F505DC" w:rsidRDefault="00837213" w:rsidP="00837213">
            <w:pPr>
              <w:spacing w:after="200" w:line="276" w:lineRule="auto"/>
              <w:jc w:val="center"/>
              <w:rPr>
                <w:lang w:val="fr-SN"/>
              </w:rPr>
            </w:pPr>
            <w:r w:rsidRPr="00F505DC">
              <w:rPr>
                <w:lang w:val="fr-SN"/>
              </w:rPr>
              <w:t>Chaussures</w:t>
            </w:r>
          </w:p>
          <w:p w14:paraId="664F065D" w14:textId="77777777" w:rsidR="00837213" w:rsidRPr="00F505DC" w:rsidRDefault="00837213" w:rsidP="00837213">
            <w:pPr>
              <w:spacing w:after="200" w:line="276" w:lineRule="auto"/>
              <w:rPr>
                <w:lang w:val="fr-SN"/>
              </w:rPr>
            </w:pPr>
          </w:p>
        </w:tc>
        <w:tc>
          <w:tcPr>
            <w:tcW w:w="1812" w:type="dxa"/>
            <w:tcBorders>
              <w:top w:val="single" w:sz="4" w:space="0" w:color="auto"/>
              <w:left w:val="single" w:sz="4" w:space="0" w:color="auto"/>
              <w:bottom w:val="single" w:sz="4" w:space="0" w:color="auto"/>
              <w:right w:val="single" w:sz="4" w:space="0" w:color="auto"/>
            </w:tcBorders>
            <w:hideMark/>
          </w:tcPr>
          <w:p w14:paraId="66FC530A" w14:textId="77777777" w:rsidR="0068113B" w:rsidRDefault="0068113B" w:rsidP="0068113B">
            <w:pPr>
              <w:spacing w:after="0" w:line="240" w:lineRule="auto"/>
              <w:rPr>
                <w:rFonts w:ascii="Aptos Narrow" w:eastAsia="Times New Roman" w:hAnsi="Aptos Narrow"/>
                <w:color w:val="000000"/>
                <w:kern w:val="0"/>
                <w:sz w:val="22"/>
                <w:lang w:val="fr-SN"/>
                <w14:ligatures w14:val="none"/>
              </w:rPr>
            </w:pPr>
            <w:r>
              <w:rPr>
                <w:rFonts w:ascii="Aptos Narrow" w:hAnsi="Aptos Narrow"/>
                <w:color w:val="000000"/>
                <w:sz w:val="22"/>
              </w:rPr>
              <w:t>1,28%</w:t>
            </w:r>
          </w:p>
          <w:p w14:paraId="00B407BD" w14:textId="03D0E019" w:rsidR="00837213" w:rsidRPr="00F505DC" w:rsidRDefault="00837213" w:rsidP="00837213">
            <w:pPr>
              <w:spacing w:after="200" w:line="276" w:lineRule="auto"/>
              <w:rPr>
                <w:lang w:val="fr-SN"/>
              </w:rPr>
            </w:pPr>
          </w:p>
        </w:tc>
        <w:tc>
          <w:tcPr>
            <w:tcW w:w="1813" w:type="dxa"/>
            <w:tcBorders>
              <w:top w:val="single" w:sz="4" w:space="0" w:color="auto"/>
              <w:left w:val="single" w:sz="4" w:space="0" w:color="auto"/>
              <w:bottom w:val="single" w:sz="4" w:space="0" w:color="auto"/>
              <w:right w:val="single" w:sz="4" w:space="0" w:color="auto"/>
            </w:tcBorders>
            <w:hideMark/>
          </w:tcPr>
          <w:p w14:paraId="15998AFF" w14:textId="45CD876C" w:rsidR="00837213" w:rsidRPr="00F505DC" w:rsidRDefault="00837213" w:rsidP="00837213">
            <w:pPr>
              <w:spacing w:after="200" w:line="276" w:lineRule="auto"/>
              <w:rPr>
                <w:lang w:val="fr-SN"/>
              </w:rPr>
            </w:pPr>
            <w:r w:rsidRPr="00D3435A">
              <w:t>1,16%</w:t>
            </w:r>
          </w:p>
        </w:tc>
        <w:tc>
          <w:tcPr>
            <w:tcW w:w="1813" w:type="dxa"/>
            <w:tcBorders>
              <w:top w:val="single" w:sz="4" w:space="0" w:color="auto"/>
              <w:left w:val="single" w:sz="4" w:space="0" w:color="auto"/>
              <w:bottom w:val="single" w:sz="4" w:space="0" w:color="auto"/>
              <w:right w:val="single" w:sz="4" w:space="0" w:color="auto"/>
            </w:tcBorders>
            <w:hideMark/>
          </w:tcPr>
          <w:p w14:paraId="3E7607FE" w14:textId="08B6C62C" w:rsidR="00837213" w:rsidRPr="00F505DC" w:rsidRDefault="00837213" w:rsidP="00837213">
            <w:pPr>
              <w:spacing w:after="200" w:line="276" w:lineRule="auto"/>
              <w:rPr>
                <w:lang w:val="fr-SN"/>
              </w:rPr>
            </w:pPr>
            <w:r w:rsidRPr="00D3435A">
              <w:t>-0,12%</w:t>
            </w:r>
          </w:p>
        </w:tc>
      </w:tr>
    </w:tbl>
    <w:p w14:paraId="72B0F4D7" w14:textId="427B403B" w:rsidR="00FE18F6" w:rsidRPr="009918C9" w:rsidRDefault="00FE18F6" w:rsidP="00FE18F6">
      <w:pPr>
        <w:rPr>
          <w:i/>
          <w:iCs/>
          <w:lang w:val="fr-SN"/>
        </w:rPr>
      </w:pPr>
      <w:r w:rsidRPr="009918C9">
        <w:rPr>
          <w:i/>
          <w:iCs/>
          <w:lang w:val="fr-SN"/>
        </w:rPr>
        <w:t xml:space="preserve">Source : ANSD, pondération IHPC 2014 et </w:t>
      </w:r>
      <w:r w:rsidR="00023158">
        <w:rPr>
          <w:i/>
          <w:iCs/>
          <w:lang w:val="fr-SN"/>
        </w:rPr>
        <w:t>2021</w:t>
      </w:r>
      <w:r w:rsidRPr="009918C9">
        <w:rPr>
          <w:i/>
          <w:iCs/>
          <w:lang w:val="fr-SN"/>
        </w:rPr>
        <w:t>.</w:t>
      </w:r>
    </w:p>
    <w:p w14:paraId="09ADD32C" w14:textId="5793AA71" w:rsidR="00FE18F6" w:rsidRPr="00F5015D" w:rsidRDefault="00FE18F6" w:rsidP="00FE18F6">
      <w:pPr>
        <w:rPr>
          <w:lang w:val="fr-SN"/>
        </w:rPr>
      </w:pPr>
      <w:r w:rsidRPr="00F5015D">
        <w:rPr>
          <w:lang w:val="fr-SN"/>
        </w:rPr>
        <w:t xml:space="preserve">Selon </w:t>
      </w:r>
      <w:r>
        <w:rPr>
          <w:lang w:val="fr-SN"/>
        </w:rPr>
        <w:t>les données de l’ANSD</w:t>
      </w:r>
      <w:r w:rsidRPr="00F5015D">
        <w:rPr>
          <w:lang w:val="fr-SN"/>
        </w:rPr>
        <w:t>, près de 30 % des ménages sénégalais ont déclaré acheter des vêtements d'occasion, ce qui contribue à la réduction des coûts pour cette catégorie</w:t>
      </w:r>
      <w:r>
        <w:rPr>
          <w:lang w:val="fr-SN"/>
        </w:rPr>
        <w:t>.</w:t>
      </w:r>
      <w:r w:rsidRPr="00F5015D">
        <w:rPr>
          <w:lang w:val="fr-SN"/>
        </w:rPr>
        <w:t> De plus, les importations de produits textiles ont considérablement augmenté ces dernières années, représentant environ 200 milliards de FCFA, dont 7 000 tonnes de friperie en 2021</w:t>
      </w:r>
      <w:r>
        <w:rPr>
          <w:lang w:val="fr-SN"/>
        </w:rPr>
        <w:t>.</w:t>
      </w:r>
    </w:p>
    <w:p w14:paraId="6C8AE439" w14:textId="77777777" w:rsidR="00FE18F6" w:rsidRPr="00F5015D" w:rsidRDefault="00FE18F6" w:rsidP="00FE18F6">
      <w:pPr>
        <w:rPr>
          <w:lang w:val="fr-SN"/>
        </w:rPr>
      </w:pPr>
      <w:r w:rsidRPr="00F5015D">
        <w:rPr>
          <w:lang w:val="fr-SN"/>
        </w:rPr>
        <w:t xml:space="preserve">Cette dynamique est confirmée par </w:t>
      </w:r>
      <w:r>
        <w:rPr>
          <w:lang w:val="fr-SN"/>
        </w:rPr>
        <w:t>les données du</w:t>
      </w:r>
      <w:r w:rsidRPr="00F5015D">
        <w:rPr>
          <w:lang w:val="fr-SN"/>
        </w:rPr>
        <w:t xml:space="preserve"> </w:t>
      </w:r>
      <w:r>
        <w:rPr>
          <w:lang w:val="fr-SN"/>
        </w:rPr>
        <w:t>m</w:t>
      </w:r>
      <w:r w:rsidRPr="00F5015D">
        <w:rPr>
          <w:lang w:val="fr-SN"/>
        </w:rPr>
        <w:t xml:space="preserve">inistère du </w:t>
      </w:r>
      <w:r>
        <w:rPr>
          <w:lang w:val="fr-SN"/>
        </w:rPr>
        <w:t>c</w:t>
      </w:r>
      <w:r w:rsidRPr="00F5015D">
        <w:rPr>
          <w:lang w:val="fr-SN"/>
        </w:rPr>
        <w:t>ommerce, qui indique que les importations de tissus et de vêtements ont coûté au Sénégal près de 100 millions de dollars en 2021</w:t>
      </w:r>
      <w:r>
        <w:rPr>
          <w:lang w:val="fr-SN"/>
        </w:rPr>
        <w:t>.</w:t>
      </w:r>
    </w:p>
    <w:p w14:paraId="2762431D" w14:textId="77777777" w:rsidR="00FE18F6" w:rsidRDefault="00FE18F6" w:rsidP="00FE18F6">
      <w:r w:rsidRPr="00F5015D">
        <w:rPr>
          <w:lang w:val="fr-SN"/>
        </w:rPr>
        <w:t>Ces importations massives</w:t>
      </w:r>
      <w:r>
        <w:rPr>
          <w:lang w:val="fr-SN"/>
        </w:rPr>
        <w:t>,</w:t>
      </w:r>
      <w:r w:rsidRPr="00F5015D">
        <w:rPr>
          <w:lang w:val="fr-SN"/>
        </w:rPr>
        <w:t xml:space="preserve"> entraîn</w:t>
      </w:r>
      <w:r>
        <w:rPr>
          <w:lang w:val="fr-SN"/>
        </w:rPr>
        <w:t>ant</w:t>
      </w:r>
      <w:r w:rsidRPr="00F5015D">
        <w:rPr>
          <w:lang w:val="fr-SN"/>
        </w:rPr>
        <w:t xml:space="preserve"> une baisse des prix des vêtements</w:t>
      </w:r>
      <w:r>
        <w:rPr>
          <w:lang w:val="fr-SN"/>
        </w:rPr>
        <w:t>, pourraient être à l’origine de la</w:t>
      </w:r>
      <w:r w:rsidRPr="00F5015D">
        <w:rPr>
          <w:lang w:val="fr-SN"/>
        </w:rPr>
        <w:t xml:space="preserve"> diminution des dépenses dans ce secteur. </w:t>
      </w:r>
    </w:p>
    <w:p w14:paraId="7FB5724B" w14:textId="77777777" w:rsidR="00FE18F6" w:rsidRPr="00F974FD" w:rsidRDefault="00FE18F6">
      <w:pPr>
        <w:pStyle w:val="Paragraphedeliste"/>
        <w:numPr>
          <w:ilvl w:val="0"/>
          <w:numId w:val="20"/>
        </w:numPr>
        <w:rPr>
          <w:b/>
          <w:bCs/>
          <w:lang w:val="fr-SN"/>
        </w:rPr>
      </w:pPr>
      <w:r w:rsidRPr="00F974FD">
        <w:rPr>
          <w:b/>
          <w:bCs/>
          <w:lang w:val="fr-SN"/>
        </w:rPr>
        <w:t>LOGEMENT, EAU, ÉLECTRICITÉ, GAZ ET AUTRES COMBUSTIBLES</w:t>
      </w:r>
    </w:p>
    <w:p w14:paraId="6EEEA160" w14:textId="1A1049F1" w:rsidR="00FE18F6" w:rsidRPr="00F505DC" w:rsidRDefault="00FE18F6" w:rsidP="00FE18F6">
      <w:pPr>
        <w:rPr>
          <w:lang w:val="fr-SN"/>
        </w:rPr>
      </w:pPr>
      <w:r w:rsidRPr="00F505DC">
        <w:rPr>
          <w:lang w:val="fr-SN"/>
        </w:rPr>
        <w:t>La part des dépenses des ménages allouées à la division "Logement, eau, électricité, gaz et autres combustibles" a baissé de 2,8</w:t>
      </w:r>
      <w:r w:rsidR="00AE2BF0">
        <w:rPr>
          <w:lang w:val="fr-SN"/>
        </w:rPr>
        <w:t>8</w:t>
      </w:r>
      <w:r w:rsidRPr="00F505DC">
        <w:rPr>
          <w:lang w:val="fr-SN"/>
        </w:rPr>
        <w:t xml:space="preserve"> points de pourcentage entre 2014 et </w:t>
      </w:r>
      <w:r w:rsidR="00023158">
        <w:rPr>
          <w:lang w:val="fr-SN"/>
        </w:rPr>
        <w:t>2021</w:t>
      </w:r>
      <w:r w:rsidRPr="00F505DC">
        <w:rPr>
          <w:lang w:val="fr-SN"/>
        </w:rPr>
        <w:t>, passant de 12,0</w:t>
      </w:r>
      <w:r w:rsidR="0068113B">
        <w:rPr>
          <w:lang w:val="fr-SN"/>
        </w:rPr>
        <w:t>4</w:t>
      </w:r>
      <w:r w:rsidRPr="00F505DC">
        <w:rPr>
          <w:lang w:val="fr-SN"/>
        </w:rPr>
        <w:t xml:space="preserve"> % à 9,</w:t>
      </w:r>
      <w:r w:rsidR="00AE2BF0">
        <w:rPr>
          <w:lang w:val="fr-SN"/>
        </w:rPr>
        <w:t>16</w:t>
      </w:r>
      <w:r w:rsidRPr="00F505DC">
        <w:rPr>
          <w:lang w:val="fr-SN"/>
        </w:rPr>
        <w:t>%. Cette baisse est principalement due à la diminution des dépenses pour les locations réelles, qui ont chuté de 0,6</w:t>
      </w:r>
      <w:r w:rsidR="00AE2BF0">
        <w:rPr>
          <w:lang w:val="fr-SN"/>
        </w:rPr>
        <w:t>5</w:t>
      </w:r>
      <w:r w:rsidRPr="00F505DC">
        <w:rPr>
          <w:lang w:val="fr-SN"/>
        </w:rPr>
        <w:t xml:space="preserve"> point. L'entretien et la réparation des logements ont également reculé de 1,</w:t>
      </w:r>
      <w:r w:rsidR="00AE2BF0">
        <w:rPr>
          <w:lang w:val="fr-SN"/>
        </w:rPr>
        <w:t>38</w:t>
      </w:r>
      <w:r w:rsidRPr="00F505DC">
        <w:rPr>
          <w:lang w:val="fr-SN"/>
        </w:rPr>
        <w:t xml:space="preserve"> point, tandis que l'alimentation en eau et les combustibles ont enregistré des baisses respectives de 0,1</w:t>
      </w:r>
      <w:r w:rsidR="00AE2BF0">
        <w:rPr>
          <w:lang w:val="fr-SN"/>
        </w:rPr>
        <w:t>2</w:t>
      </w:r>
      <w:r w:rsidRPr="00F505DC">
        <w:rPr>
          <w:lang w:val="fr-SN"/>
        </w:rPr>
        <w:t xml:space="preserve"> et 0,7 point.</w:t>
      </w:r>
    </w:p>
    <w:tbl>
      <w:tblPr>
        <w:tblpPr w:leftFromText="141" w:rightFromText="141" w:bottomFromText="160" w:vertAnchor="page" w:horzAnchor="margin" w:tblpXSpec="center" w:tblpY="4167"/>
        <w:tblW w:w="8634" w:type="dxa"/>
        <w:tblCellMar>
          <w:left w:w="70" w:type="dxa"/>
          <w:right w:w="70" w:type="dxa"/>
        </w:tblCellMar>
        <w:tblLook w:val="04A0" w:firstRow="1" w:lastRow="0" w:firstColumn="1" w:lastColumn="0" w:noHBand="0" w:noVBand="1"/>
      </w:tblPr>
      <w:tblGrid>
        <w:gridCol w:w="2631"/>
        <w:gridCol w:w="2534"/>
        <w:gridCol w:w="1300"/>
        <w:gridCol w:w="1300"/>
        <w:gridCol w:w="1313"/>
      </w:tblGrid>
      <w:tr w:rsidR="00522A6B" w:rsidRPr="00F505DC" w14:paraId="41FA7774" w14:textId="77777777" w:rsidTr="00795372">
        <w:trPr>
          <w:trHeight w:val="250"/>
        </w:trPr>
        <w:tc>
          <w:tcPr>
            <w:tcW w:w="2631" w:type="dxa"/>
            <w:tcBorders>
              <w:top w:val="single" w:sz="4" w:space="0" w:color="auto"/>
              <w:left w:val="single" w:sz="4" w:space="0" w:color="auto"/>
              <w:bottom w:val="single" w:sz="4" w:space="0" w:color="auto"/>
              <w:right w:val="single" w:sz="4" w:space="0" w:color="auto"/>
            </w:tcBorders>
            <w:noWrap/>
            <w:hideMark/>
          </w:tcPr>
          <w:p w14:paraId="323E10A4" w14:textId="28CD1503" w:rsidR="00522A6B" w:rsidRPr="00F505DC" w:rsidRDefault="00522A6B" w:rsidP="00522A6B">
            <w:pPr>
              <w:rPr>
                <w:lang w:val="fr-SN"/>
              </w:rPr>
            </w:pPr>
            <w:bookmarkStart w:id="68" w:name="_Toc180927598"/>
            <w:r w:rsidRPr="00F505DC">
              <w:rPr>
                <w:lang w:val="fr-SN"/>
              </w:rPr>
              <w:t>Nomenclature 202</w:t>
            </w:r>
            <w:r w:rsidR="00050F0D">
              <w:rPr>
                <w:lang w:val="fr-SN"/>
              </w:rPr>
              <w:t>1</w:t>
            </w:r>
          </w:p>
        </w:tc>
        <w:tc>
          <w:tcPr>
            <w:tcW w:w="2534" w:type="dxa"/>
            <w:tcBorders>
              <w:top w:val="single" w:sz="4" w:space="0" w:color="auto"/>
              <w:left w:val="nil"/>
              <w:bottom w:val="single" w:sz="4" w:space="0" w:color="auto"/>
              <w:right w:val="single" w:sz="4" w:space="0" w:color="auto"/>
            </w:tcBorders>
            <w:noWrap/>
            <w:hideMark/>
          </w:tcPr>
          <w:p w14:paraId="12111F60" w14:textId="77777777" w:rsidR="00522A6B" w:rsidRPr="00F505DC" w:rsidRDefault="00522A6B" w:rsidP="00522A6B">
            <w:pPr>
              <w:rPr>
                <w:lang w:val="fr-SN"/>
              </w:rPr>
            </w:pPr>
            <w:r w:rsidRPr="00F505DC">
              <w:rPr>
                <w:lang w:val="fr-SN"/>
              </w:rPr>
              <w:t>Nomenclature 2014</w:t>
            </w:r>
          </w:p>
        </w:tc>
        <w:tc>
          <w:tcPr>
            <w:tcW w:w="1145" w:type="dxa"/>
            <w:tcBorders>
              <w:top w:val="single" w:sz="4" w:space="0" w:color="auto"/>
              <w:left w:val="nil"/>
              <w:bottom w:val="single" w:sz="4" w:space="0" w:color="auto"/>
              <w:right w:val="single" w:sz="4" w:space="0" w:color="auto"/>
            </w:tcBorders>
            <w:noWrap/>
            <w:hideMark/>
          </w:tcPr>
          <w:p w14:paraId="35ED5767" w14:textId="77777777" w:rsidR="00522A6B" w:rsidRPr="00F505DC" w:rsidRDefault="00522A6B" w:rsidP="00522A6B">
            <w:pPr>
              <w:rPr>
                <w:lang w:val="fr-SN"/>
              </w:rPr>
            </w:pPr>
            <w:r w:rsidRPr="00F505DC">
              <w:rPr>
                <w:lang w:val="fr-SN"/>
              </w:rPr>
              <w:t>Pondération 2014</w:t>
            </w:r>
          </w:p>
        </w:tc>
        <w:tc>
          <w:tcPr>
            <w:tcW w:w="1145" w:type="dxa"/>
            <w:tcBorders>
              <w:top w:val="single" w:sz="4" w:space="0" w:color="auto"/>
              <w:left w:val="nil"/>
              <w:bottom w:val="single" w:sz="4" w:space="0" w:color="auto"/>
              <w:right w:val="single" w:sz="4" w:space="0" w:color="auto"/>
            </w:tcBorders>
            <w:noWrap/>
            <w:hideMark/>
          </w:tcPr>
          <w:p w14:paraId="6D3EE6BA" w14:textId="77777777" w:rsidR="00522A6B" w:rsidRPr="00F505DC" w:rsidRDefault="00522A6B" w:rsidP="00522A6B">
            <w:pPr>
              <w:rPr>
                <w:lang w:val="fr-SN"/>
              </w:rPr>
            </w:pPr>
            <w:r w:rsidRPr="00F505DC">
              <w:rPr>
                <w:lang w:val="fr-SN"/>
              </w:rPr>
              <w:t>Pondération</w:t>
            </w:r>
          </w:p>
          <w:p w14:paraId="21266562" w14:textId="77777777" w:rsidR="00522A6B" w:rsidRPr="00F505DC" w:rsidRDefault="00522A6B" w:rsidP="00522A6B">
            <w:pPr>
              <w:rPr>
                <w:lang w:val="fr-SN"/>
              </w:rPr>
            </w:pPr>
            <w:r w:rsidRPr="00F505DC">
              <w:rPr>
                <w:lang w:val="fr-SN"/>
              </w:rPr>
              <w:t>202</w:t>
            </w:r>
            <w:r>
              <w:rPr>
                <w:lang w:val="fr-SN"/>
              </w:rPr>
              <w:t>1</w:t>
            </w:r>
          </w:p>
        </w:tc>
        <w:tc>
          <w:tcPr>
            <w:tcW w:w="1179" w:type="dxa"/>
            <w:tcBorders>
              <w:top w:val="single" w:sz="4" w:space="0" w:color="auto"/>
              <w:left w:val="nil"/>
              <w:bottom w:val="single" w:sz="4" w:space="0" w:color="auto"/>
              <w:right w:val="single" w:sz="4" w:space="0" w:color="auto"/>
            </w:tcBorders>
            <w:noWrap/>
            <w:hideMark/>
          </w:tcPr>
          <w:p w14:paraId="590C2529" w14:textId="77777777" w:rsidR="00522A6B" w:rsidRPr="00F505DC" w:rsidRDefault="00522A6B" w:rsidP="00522A6B">
            <w:pPr>
              <w:rPr>
                <w:lang w:val="fr-SN"/>
              </w:rPr>
            </w:pPr>
            <w:r w:rsidRPr="00F505DC">
              <w:rPr>
                <w:lang w:val="fr-SN"/>
              </w:rPr>
              <w:t>Variation en point de pourcentage</w:t>
            </w:r>
          </w:p>
        </w:tc>
      </w:tr>
      <w:tr w:rsidR="00522A6B" w:rsidRPr="00F505DC" w14:paraId="685C8268" w14:textId="77777777" w:rsidTr="00795372">
        <w:trPr>
          <w:trHeight w:val="250"/>
        </w:trPr>
        <w:tc>
          <w:tcPr>
            <w:tcW w:w="2631" w:type="dxa"/>
            <w:tcBorders>
              <w:top w:val="single" w:sz="4" w:space="0" w:color="auto"/>
              <w:left w:val="single" w:sz="4" w:space="0" w:color="auto"/>
              <w:bottom w:val="single" w:sz="4" w:space="0" w:color="auto"/>
              <w:right w:val="single" w:sz="4" w:space="0" w:color="auto"/>
            </w:tcBorders>
            <w:noWrap/>
            <w:vAlign w:val="bottom"/>
            <w:hideMark/>
          </w:tcPr>
          <w:p w14:paraId="40C563A6" w14:textId="77777777" w:rsidR="00522A6B" w:rsidRPr="00F505DC" w:rsidRDefault="00522A6B" w:rsidP="00522A6B">
            <w:pPr>
              <w:rPr>
                <w:b/>
                <w:bCs/>
                <w:lang w:val="fr-SN"/>
              </w:rPr>
            </w:pPr>
            <w:r w:rsidRPr="00F505DC">
              <w:rPr>
                <w:b/>
                <w:bCs/>
                <w:lang w:val="fr-SN"/>
              </w:rPr>
              <w:t>04. LOGEMENT, EAU, ÉLECTRICITÉ, GAZ ET AUTRES COMBUSTIBLES</w:t>
            </w:r>
          </w:p>
        </w:tc>
        <w:tc>
          <w:tcPr>
            <w:tcW w:w="2534" w:type="dxa"/>
            <w:tcBorders>
              <w:top w:val="single" w:sz="4" w:space="0" w:color="auto"/>
              <w:left w:val="nil"/>
              <w:bottom w:val="single" w:sz="4" w:space="0" w:color="auto"/>
              <w:right w:val="single" w:sz="4" w:space="0" w:color="auto"/>
            </w:tcBorders>
            <w:noWrap/>
            <w:vAlign w:val="bottom"/>
            <w:hideMark/>
          </w:tcPr>
          <w:p w14:paraId="6F8CAE38" w14:textId="77777777" w:rsidR="00522A6B" w:rsidRPr="00F505DC" w:rsidRDefault="00522A6B" w:rsidP="00522A6B">
            <w:pPr>
              <w:rPr>
                <w:lang w:val="fr-SN"/>
              </w:rPr>
            </w:pPr>
            <w:r w:rsidRPr="00F505DC">
              <w:rPr>
                <w:b/>
                <w:bCs/>
                <w:lang w:val="fr-SN"/>
              </w:rPr>
              <w:t>Logement, eau, gaz, électricité et autres combustibles</w:t>
            </w:r>
          </w:p>
        </w:tc>
        <w:tc>
          <w:tcPr>
            <w:tcW w:w="1145" w:type="dxa"/>
            <w:tcBorders>
              <w:top w:val="single" w:sz="4" w:space="0" w:color="auto"/>
              <w:left w:val="nil"/>
              <w:bottom w:val="single" w:sz="4" w:space="0" w:color="auto"/>
              <w:right w:val="single" w:sz="4" w:space="0" w:color="auto"/>
            </w:tcBorders>
            <w:noWrap/>
            <w:hideMark/>
          </w:tcPr>
          <w:p w14:paraId="03048F29" w14:textId="77777777" w:rsidR="00522A6B" w:rsidRPr="00F505DC" w:rsidRDefault="00522A6B" w:rsidP="00522A6B">
            <w:pPr>
              <w:rPr>
                <w:b/>
                <w:bCs/>
                <w:lang w:val="fr-SN"/>
              </w:rPr>
            </w:pPr>
            <w:r w:rsidRPr="00F505DC">
              <w:rPr>
                <w:b/>
                <w:bCs/>
                <w:lang w:val="fr-SN"/>
              </w:rPr>
              <w:t>12,0</w:t>
            </w:r>
            <w:r>
              <w:rPr>
                <w:b/>
                <w:bCs/>
                <w:lang w:val="fr-SN"/>
              </w:rPr>
              <w:t>4</w:t>
            </w:r>
            <w:r w:rsidRPr="00F505DC">
              <w:rPr>
                <w:b/>
                <w:bCs/>
                <w:lang w:val="fr-SN"/>
              </w:rPr>
              <w:t>%</w:t>
            </w:r>
          </w:p>
        </w:tc>
        <w:tc>
          <w:tcPr>
            <w:tcW w:w="1145" w:type="dxa"/>
            <w:tcBorders>
              <w:top w:val="single" w:sz="4" w:space="0" w:color="auto"/>
              <w:left w:val="nil"/>
              <w:bottom w:val="single" w:sz="4" w:space="0" w:color="auto"/>
              <w:right w:val="single" w:sz="4" w:space="0" w:color="auto"/>
            </w:tcBorders>
            <w:noWrap/>
            <w:hideMark/>
          </w:tcPr>
          <w:p w14:paraId="60F4D243" w14:textId="77777777" w:rsidR="00522A6B" w:rsidRPr="00AE2BF0" w:rsidRDefault="00522A6B" w:rsidP="00522A6B">
            <w:pPr>
              <w:rPr>
                <w:b/>
                <w:bCs/>
                <w:lang w:val="fr-SN"/>
              </w:rPr>
            </w:pPr>
            <w:r w:rsidRPr="00AE2BF0">
              <w:rPr>
                <w:b/>
                <w:bCs/>
              </w:rPr>
              <w:t>9,16%</w:t>
            </w:r>
          </w:p>
        </w:tc>
        <w:tc>
          <w:tcPr>
            <w:tcW w:w="1179" w:type="dxa"/>
            <w:tcBorders>
              <w:top w:val="single" w:sz="4" w:space="0" w:color="auto"/>
              <w:left w:val="nil"/>
              <w:bottom w:val="single" w:sz="4" w:space="0" w:color="auto"/>
              <w:right w:val="single" w:sz="4" w:space="0" w:color="auto"/>
            </w:tcBorders>
            <w:noWrap/>
            <w:hideMark/>
          </w:tcPr>
          <w:p w14:paraId="2B33414A" w14:textId="77777777" w:rsidR="00522A6B" w:rsidRPr="00AE2BF0" w:rsidRDefault="00522A6B" w:rsidP="00522A6B">
            <w:pPr>
              <w:rPr>
                <w:b/>
                <w:bCs/>
                <w:lang w:val="fr-SN"/>
              </w:rPr>
            </w:pPr>
            <w:r w:rsidRPr="00AE2BF0">
              <w:rPr>
                <w:b/>
                <w:bCs/>
              </w:rPr>
              <w:t>-2,88%</w:t>
            </w:r>
          </w:p>
        </w:tc>
      </w:tr>
      <w:tr w:rsidR="00522A6B" w:rsidRPr="00F505DC" w14:paraId="03E2D7FE" w14:textId="77777777" w:rsidTr="00795372">
        <w:trPr>
          <w:trHeight w:val="250"/>
        </w:trPr>
        <w:tc>
          <w:tcPr>
            <w:tcW w:w="2631" w:type="dxa"/>
            <w:tcBorders>
              <w:top w:val="nil"/>
              <w:left w:val="single" w:sz="4" w:space="0" w:color="auto"/>
              <w:bottom w:val="single" w:sz="4" w:space="0" w:color="auto"/>
              <w:right w:val="single" w:sz="4" w:space="0" w:color="auto"/>
            </w:tcBorders>
            <w:noWrap/>
            <w:vAlign w:val="bottom"/>
            <w:hideMark/>
          </w:tcPr>
          <w:p w14:paraId="4003B768" w14:textId="77777777" w:rsidR="00522A6B" w:rsidRPr="00F505DC" w:rsidRDefault="00522A6B" w:rsidP="00522A6B">
            <w:pPr>
              <w:rPr>
                <w:lang w:val="fr-SN"/>
              </w:rPr>
            </w:pPr>
            <w:r w:rsidRPr="00F505DC">
              <w:rPr>
                <w:lang w:val="fr-SN"/>
              </w:rPr>
              <w:t>0401. LOCATIONS RÉELLES POUR LE LOGEMENT</w:t>
            </w:r>
          </w:p>
        </w:tc>
        <w:tc>
          <w:tcPr>
            <w:tcW w:w="2534" w:type="dxa"/>
            <w:tcBorders>
              <w:top w:val="nil"/>
              <w:left w:val="nil"/>
              <w:bottom w:val="single" w:sz="4" w:space="0" w:color="auto"/>
              <w:right w:val="single" w:sz="4" w:space="0" w:color="auto"/>
            </w:tcBorders>
            <w:noWrap/>
            <w:vAlign w:val="bottom"/>
            <w:hideMark/>
          </w:tcPr>
          <w:p w14:paraId="699FF2A3" w14:textId="77777777" w:rsidR="00522A6B" w:rsidRPr="00F505DC" w:rsidRDefault="00522A6B" w:rsidP="00522A6B">
            <w:pPr>
              <w:rPr>
                <w:lang w:val="fr-SN"/>
              </w:rPr>
            </w:pPr>
            <w:r w:rsidRPr="00F505DC">
              <w:rPr>
                <w:lang w:val="fr-SN"/>
              </w:rPr>
              <w:t>Loyers effectifs</w:t>
            </w:r>
          </w:p>
        </w:tc>
        <w:tc>
          <w:tcPr>
            <w:tcW w:w="1145" w:type="dxa"/>
            <w:tcBorders>
              <w:top w:val="nil"/>
              <w:left w:val="nil"/>
              <w:bottom w:val="single" w:sz="4" w:space="0" w:color="auto"/>
              <w:right w:val="single" w:sz="4" w:space="0" w:color="auto"/>
            </w:tcBorders>
            <w:noWrap/>
            <w:hideMark/>
          </w:tcPr>
          <w:p w14:paraId="382C3999" w14:textId="77777777" w:rsidR="00522A6B" w:rsidRPr="00F505DC" w:rsidRDefault="00522A6B" w:rsidP="00522A6B">
            <w:pPr>
              <w:rPr>
                <w:lang w:val="fr-SN"/>
              </w:rPr>
            </w:pPr>
            <w:r w:rsidRPr="00F505DC">
              <w:rPr>
                <w:lang w:val="fr-SN"/>
              </w:rPr>
              <w:t>3,0</w:t>
            </w:r>
            <w:r>
              <w:rPr>
                <w:lang w:val="fr-SN"/>
              </w:rPr>
              <w:t>3</w:t>
            </w:r>
            <w:r w:rsidRPr="00F505DC">
              <w:rPr>
                <w:lang w:val="fr-SN"/>
              </w:rPr>
              <w:t>%</w:t>
            </w:r>
          </w:p>
        </w:tc>
        <w:tc>
          <w:tcPr>
            <w:tcW w:w="1145" w:type="dxa"/>
            <w:tcBorders>
              <w:top w:val="nil"/>
              <w:left w:val="nil"/>
              <w:bottom w:val="single" w:sz="4" w:space="0" w:color="auto"/>
              <w:right w:val="single" w:sz="4" w:space="0" w:color="auto"/>
            </w:tcBorders>
            <w:noWrap/>
            <w:hideMark/>
          </w:tcPr>
          <w:p w14:paraId="13AA6905" w14:textId="77777777" w:rsidR="00522A6B" w:rsidRPr="00F505DC" w:rsidRDefault="00522A6B" w:rsidP="00522A6B">
            <w:pPr>
              <w:rPr>
                <w:lang w:val="fr-SN"/>
              </w:rPr>
            </w:pPr>
            <w:r w:rsidRPr="00A4766C">
              <w:t>2,38%</w:t>
            </w:r>
          </w:p>
        </w:tc>
        <w:tc>
          <w:tcPr>
            <w:tcW w:w="1179" w:type="dxa"/>
            <w:tcBorders>
              <w:top w:val="nil"/>
              <w:left w:val="nil"/>
              <w:bottom w:val="single" w:sz="4" w:space="0" w:color="auto"/>
              <w:right w:val="single" w:sz="4" w:space="0" w:color="auto"/>
            </w:tcBorders>
            <w:noWrap/>
            <w:hideMark/>
          </w:tcPr>
          <w:p w14:paraId="0B8B8E68" w14:textId="77777777" w:rsidR="00522A6B" w:rsidRPr="00F505DC" w:rsidRDefault="00522A6B" w:rsidP="00522A6B">
            <w:pPr>
              <w:rPr>
                <w:lang w:val="fr-SN"/>
              </w:rPr>
            </w:pPr>
            <w:r w:rsidRPr="00A4766C">
              <w:t>-0,65%</w:t>
            </w:r>
          </w:p>
        </w:tc>
      </w:tr>
      <w:tr w:rsidR="00522A6B" w:rsidRPr="00F505DC" w14:paraId="43141099" w14:textId="77777777" w:rsidTr="00795372">
        <w:trPr>
          <w:trHeight w:val="250"/>
        </w:trPr>
        <w:tc>
          <w:tcPr>
            <w:tcW w:w="2631" w:type="dxa"/>
            <w:tcBorders>
              <w:top w:val="nil"/>
              <w:left w:val="single" w:sz="4" w:space="0" w:color="auto"/>
              <w:bottom w:val="single" w:sz="4" w:space="0" w:color="auto"/>
              <w:right w:val="single" w:sz="4" w:space="0" w:color="auto"/>
            </w:tcBorders>
            <w:noWrap/>
            <w:vAlign w:val="bottom"/>
            <w:hideMark/>
          </w:tcPr>
          <w:p w14:paraId="3084E532" w14:textId="77777777" w:rsidR="00522A6B" w:rsidRPr="00F505DC" w:rsidRDefault="00522A6B" w:rsidP="00522A6B">
            <w:pPr>
              <w:rPr>
                <w:lang w:val="fr-SN"/>
              </w:rPr>
            </w:pPr>
            <w:r w:rsidRPr="00F505DC">
              <w:rPr>
                <w:lang w:val="fr-SN"/>
              </w:rPr>
              <w:t>0402. ENTRETIEN, RÉPARATION ET SÉCURITÉ DU LOGEMENT</w:t>
            </w:r>
          </w:p>
        </w:tc>
        <w:tc>
          <w:tcPr>
            <w:tcW w:w="2534" w:type="dxa"/>
            <w:tcBorders>
              <w:top w:val="nil"/>
              <w:left w:val="nil"/>
              <w:bottom w:val="single" w:sz="4" w:space="0" w:color="auto"/>
              <w:right w:val="single" w:sz="4" w:space="0" w:color="auto"/>
            </w:tcBorders>
            <w:noWrap/>
            <w:vAlign w:val="bottom"/>
            <w:hideMark/>
          </w:tcPr>
          <w:p w14:paraId="7559724C" w14:textId="77777777" w:rsidR="00522A6B" w:rsidRPr="00F505DC" w:rsidRDefault="00522A6B" w:rsidP="00522A6B">
            <w:pPr>
              <w:rPr>
                <w:lang w:val="fr-SN"/>
              </w:rPr>
            </w:pPr>
            <w:r w:rsidRPr="00F505DC">
              <w:rPr>
                <w:lang w:val="fr-SN"/>
              </w:rPr>
              <w:t>Entretien et réparation des logements</w:t>
            </w:r>
          </w:p>
        </w:tc>
        <w:tc>
          <w:tcPr>
            <w:tcW w:w="1145" w:type="dxa"/>
            <w:tcBorders>
              <w:top w:val="nil"/>
              <w:left w:val="nil"/>
              <w:bottom w:val="single" w:sz="4" w:space="0" w:color="auto"/>
              <w:right w:val="single" w:sz="4" w:space="0" w:color="auto"/>
            </w:tcBorders>
            <w:noWrap/>
            <w:hideMark/>
          </w:tcPr>
          <w:p w14:paraId="0382C43A" w14:textId="77777777" w:rsidR="00522A6B" w:rsidRPr="00F505DC" w:rsidRDefault="00522A6B" w:rsidP="00522A6B">
            <w:pPr>
              <w:rPr>
                <w:lang w:val="fr-SN"/>
              </w:rPr>
            </w:pPr>
            <w:r w:rsidRPr="00F505DC">
              <w:rPr>
                <w:lang w:val="fr-SN"/>
              </w:rPr>
              <w:t>1,</w:t>
            </w:r>
            <w:r>
              <w:rPr>
                <w:lang w:val="fr-SN"/>
              </w:rPr>
              <w:t>71</w:t>
            </w:r>
            <w:r w:rsidRPr="00F505DC">
              <w:rPr>
                <w:lang w:val="fr-SN"/>
              </w:rPr>
              <w:t>%</w:t>
            </w:r>
          </w:p>
        </w:tc>
        <w:tc>
          <w:tcPr>
            <w:tcW w:w="1145" w:type="dxa"/>
            <w:tcBorders>
              <w:top w:val="nil"/>
              <w:left w:val="nil"/>
              <w:bottom w:val="single" w:sz="4" w:space="0" w:color="auto"/>
              <w:right w:val="single" w:sz="4" w:space="0" w:color="auto"/>
            </w:tcBorders>
            <w:noWrap/>
            <w:hideMark/>
          </w:tcPr>
          <w:p w14:paraId="4AAE86DD" w14:textId="77777777" w:rsidR="00522A6B" w:rsidRPr="00F505DC" w:rsidRDefault="00522A6B" w:rsidP="00522A6B">
            <w:pPr>
              <w:rPr>
                <w:lang w:val="fr-SN"/>
              </w:rPr>
            </w:pPr>
            <w:r w:rsidRPr="003A34B9">
              <w:t>0,33%</w:t>
            </w:r>
          </w:p>
        </w:tc>
        <w:tc>
          <w:tcPr>
            <w:tcW w:w="1179" w:type="dxa"/>
            <w:tcBorders>
              <w:top w:val="nil"/>
              <w:left w:val="nil"/>
              <w:bottom w:val="single" w:sz="4" w:space="0" w:color="auto"/>
              <w:right w:val="single" w:sz="4" w:space="0" w:color="auto"/>
            </w:tcBorders>
            <w:noWrap/>
            <w:hideMark/>
          </w:tcPr>
          <w:p w14:paraId="2478A30E" w14:textId="77777777" w:rsidR="00522A6B" w:rsidRPr="00F505DC" w:rsidRDefault="00522A6B" w:rsidP="00522A6B">
            <w:pPr>
              <w:rPr>
                <w:lang w:val="fr-SN"/>
              </w:rPr>
            </w:pPr>
            <w:r w:rsidRPr="003A34B9">
              <w:t>-1,38%</w:t>
            </w:r>
          </w:p>
        </w:tc>
      </w:tr>
      <w:tr w:rsidR="00522A6B" w:rsidRPr="00F505DC" w14:paraId="40E34C63" w14:textId="77777777" w:rsidTr="00795372">
        <w:trPr>
          <w:trHeight w:val="250"/>
        </w:trPr>
        <w:tc>
          <w:tcPr>
            <w:tcW w:w="2631" w:type="dxa"/>
            <w:tcBorders>
              <w:top w:val="nil"/>
              <w:left w:val="single" w:sz="4" w:space="0" w:color="auto"/>
              <w:bottom w:val="single" w:sz="4" w:space="0" w:color="auto"/>
              <w:right w:val="single" w:sz="4" w:space="0" w:color="auto"/>
            </w:tcBorders>
            <w:noWrap/>
            <w:vAlign w:val="bottom"/>
            <w:hideMark/>
          </w:tcPr>
          <w:p w14:paraId="73CDA67B" w14:textId="77777777" w:rsidR="00522A6B" w:rsidRPr="00F505DC" w:rsidRDefault="00522A6B" w:rsidP="00522A6B">
            <w:pPr>
              <w:rPr>
                <w:lang w:val="fr-SN"/>
              </w:rPr>
            </w:pPr>
            <w:r w:rsidRPr="00F505DC">
              <w:rPr>
                <w:lang w:val="fr-SN"/>
              </w:rPr>
              <w:t>0403. ALIMENTATION EN EAU ET SERVICES DIVERS RELATIFS AU LOGEMENT</w:t>
            </w:r>
          </w:p>
        </w:tc>
        <w:tc>
          <w:tcPr>
            <w:tcW w:w="2534" w:type="dxa"/>
            <w:tcBorders>
              <w:top w:val="nil"/>
              <w:left w:val="nil"/>
              <w:bottom w:val="single" w:sz="4" w:space="0" w:color="auto"/>
              <w:right w:val="single" w:sz="4" w:space="0" w:color="auto"/>
            </w:tcBorders>
            <w:noWrap/>
            <w:vAlign w:val="bottom"/>
            <w:hideMark/>
          </w:tcPr>
          <w:p w14:paraId="3378A1EA" w14:textId="77777777" w:rsidR="00522A6B" w:rsidRPr="00F505DC" w:rsidRDefault="00522A6B" w:rsidP="00522A6B">
            <w:pPr>
              <w:rPr>
                <w:lang w:val="fr-SN"/>
              </w:rPr>
            </w:pPr>
            <w:r w:rsidRPr="00F505DC">
              <w:rPr>
                <w:lang w:val="fr-SN"/>
              </w:rPr>
              <w:t>Alimentation en eau et services divers lié au logement</w:t>
            </w:r>
          </w:p>
        </w:tc>
        <w:tc>
          <w:tcPr>
            <w:tcW w:w="1145" w:type="dxa"/>
            <w:tcBorders>
              <w:top w:val="nil"/>
              <w:left w:val="nil"/>
              <w:bottom w:val="single" w:sz="4" w:space="0" w:color="auto"/>
              <w:right w:val="single" w:sz="4" w:space="0" w:color="auto"/>
            </w:tcBorders>
            <w:noWrap/>
            <w:hideMark/>
          </w:tcPr>
          <w:p w14:paraId="35E850C5" w14:textId="77777777" w:rsidR="00522A6B" w:rsidRPr="00F505DC" w:rsidRDefault="00522A6B" w:rsidP="00522A6B">
            <w:pPr>
              <w:rPr>
                <w:lang w:val="fr-SN"/>
              </w:rPr>
            </w:pPr>
            <w:r w:rsidRPr="00F505DC">
              <w:rPr>
                <w:lang w:val="fr-SN"/>
              </w:rPr>
              <w:t>2,2</w:t>
            </w:r>
            <w:r>
              <w:rPr>
                <w:lang w:val="fr-SN"/>
              </w:rPr>
              <w:t>1</w:t>
            </w:r>
            <w:r w:rsidRPr="00F505DC">
              <w:rPr>
                <w:lang w:val="fr-SN"/>
              </w:rPr>
              <w:t>%</w:t>
            </w:r>
          </w:p>
        </w:tc>
        <w:tc>
          <w:tcPr>
            <w:tcW w:w="1145" w:type="dxa"/>
            <w:tcBorders>
              <w:top w:val="nil"/>
              <w:left w:val="nil"/>
              <w:bottom w:val="single" w:sz="4" w:space="0" w:color="auto"/>
              <w:right w:val="single" w:sz="4" w:space="0" w:color="auto"/>
            </w:tcBorders>
            <w:noWrap/>
            <w:hideMark/>
          </w:tcPr>
          <w:p w14:paraId="2C6F6956" w14:textId="77777777" w:rsidR="00522A6B" w:rsidRPr="00F505DC" w:rsidRDefault="00522A6B" w:rsidP="00522A6B">
            <w:pPr>
              <w:rPr>
                <w:lang w:val="fr-SN"/>
              </w:rPr>
            </w:pPr>
            <w:r w:rsidRPr="00BA3EF2">
              <w:t>2,09%</w:t>
            </w:r>
          </w:p>
        </w:tc>
        <w:tc>
          <w:tcPr>
            <w:tcW w:w="1179" w:type="dxa"/>
            <w:tcBorders>
              <w:top w:val="nil"/>
              <w:left w:val="nil"/>
              <w:bottom w:val="single" w:sz="4" w:space="0" w:color="auto"/>
              <w:right w:val="single" w:sz="4" w:space="0" w:color="auto"/>
            </w:tcBorders>
            <w:noWrap/>
            <w:hideMark/>
          </w:tcPr>
          <w:p w14:paraId="4928E4EE" w14:textId="77777777" w:rsidR="00522A6B" w:rsidRPr="00F505DC" w:rsidRDefault="00522A6B" w:rsidP="00522A6B">
            <w:pPr>
              <w:rPr>
                <w:lang w:val="fr-SN"/>
              </w:rPr>
            </w:pPr>
            <w:r w:rsidRPr="00BA3EF2">
              <w:t>-0,12%</w:t>
            </w:r>
          </w:p>
        </w:tc>
      </w:tr>
      <w:tr w:rsidR="00522A6B" w:rsidRPr="00F505DC" w14:paraId="0A7B7F9E" w14:textId="77777777" w:rsidTr="00795372">
        <w:trPr>
          <w:trHeight w:val="250"/>
        </w:trPr>
        <w:tc>
          <w:tcPr>
            <w:tcW w:w="2631" w:type="dxa"/>
            <w:tcBorders>
              <w:top w:val="nil"/>
              <w:left w:val="single" w:sz="4" w:space="0" w:color="auto"/>
              <w:bottom w:val="single" w:sz="4" w:space="0" w:color="auto"/>
              <w:right w:val="single" w:sz="4" w:space="0" w:color="auto"/>
            </w:tcBorders>
            <w:noWrap/>
            <w:vAlign w:val="bottom"/>
            <w:hideMark/>
          </w:tcPr>
          <w:p w14:paraId="6AF64834" w14:textId="77777777" w:rsidR="00522A6B" w:rsidRPr="00F505DC" w:rsidRDefault="00522A6B" w:rsidP="00522A6B">
            <w:pPr>
              <w:rPr>
                <w:lang w:val="fr-SN"/>
              </w:rPr>
            </w:pPr>
            <w:r w:rsidRPr="00F505DC">
              <w:rPr>
                <w:lang w:val="fr-SN"/>
              </w:rPr>
              <w:t>0404. ÉLECTRICITÉ, GAZ ET AUTRES COMBUSTIBLES</w:t>
            </w:r>
          </w:p>
        </w:tc>
        <w:tc>
          <w:tcPr>
            <w:tcW w:w="2534" w:type="dxa"/>
            <w:tcBorders>
              <w:top w:val="nil"/>
              <w:left w:val="nil"/>
              <w:bottom w:val="single" w:sz="4" w:space="0" w:color="auto"/>
              <w:right w:val="single" w:sz="4" w:space="0" w:color="auto"/>
            </w:tcBorders>
            <w:noWrap/>
            <w:vAlign w:val="bottom"/>
            <w:hideMark/>
          </w:tcPr>
          <w:p w14:paraId="053CF5B8" w14:textId="77777777" w:rsidR="00522A6B" w:rsidRPr="00F505DC" w:rsidRDefault="00522A6B" w:rsidP="00522A6B">
            <w:pPr>
              <w:rPr>
                <w:lang w:val="fr-SN"/>
              </w:rPr>
            </w:pPr>
            <w:proofErr w:type="spellStart"/>
            <w:r w:rsidRPr="00F505DC">
              <w:rPr>
                <w:lang w:val="fr-SN"/>
              </w:rPr>
              <w:t>Eléctricite</w:t>
            </w:r>
            <w:proofErr w:type="spellEnd"/>
            <w:r w:rsidRPr="00F505DC">
              <w:rPr>
                <w:lang w:val="fr-SN"/>
              </w:rPr>
              <w:t>, gaz et autres combustibles</w:t>
            </w:r>
          </w:p>
        </w:tc>
        <w:tc>
          <w:tcPr>
            <w:tcW w:w="1145" w:type="dxa"/>
            <w:tcBorders>
              <w:top w:val="nil"/>
              <w:left w:val="nil"/>
              <w:bottom w:val="single" w:sz="4" w:space="0" w:color="auto"/>
              <w:right w:val="single" w:sz="4" w:space="0" w:color="auto"/>
            </w:tcBorders>
            <w:noWrap/>
            <w:hideMark/>
          </w:tcPr>
          <w:p w14:paraId="0EAB4D04" w14:textId="77777777" w:rsidR="00522A6B" w:rsidRPr="00F505DC" w:rsidRDefault="00522A6B" w:rsidP="00522A6B">
            <w:pPr>
              <w:rPr>
                <w:lang w:val="fr-SN"/>
              </w:rPr>
            </w:pPr>
            <w:r w:rsidRPr="00F505DC">
              <w:rPr>
                <w:lang w:val="fr-SN"/>
              </w:rPr>
              <w:t>5,</w:t>
            </w:r>
            <w:r>
              <w:rPr>
                <w:lang w:val="fr-SN"/>
              </w:rPr>
              <w:t>09</w:t>
            </w:r>
            <w:r w:rsidRPr="00F505DC">
              <w:rPr>
                <w:lang w:val="fr-SN"/>
              </w:rPr>
              <w:t>%</w:t>
            </w:r>
          </w:p>
        </w:tc>
        <w:tc>
          <w:tcPr>
            <w:tcW w:w="1145" w:type="dxa"/>
            <w:tcBorders>
              <w:top w:val="nil"/>
              <w:left w:val="nil"/>
              <w:bottom w:val="single" w:sz="4" w:space="0" w:color="auto"/>
              <w:right w:val="single" w:sz="4" w:space="0" w:color="auto"/>
            </w:tcBorders>
            <w:noWrap/>
            <w:hideMark/>
          </w:tcPr>
          <w:p w14:paraId="5CB65CA1" w14:textId="77777777" w:rsidR="00522A6B" w:rsidRPr="00F505DC" w:rsidRDefault="00522A6B" w:rsidP="00522A6B">
            <w:pPr>
              <w:rPr>
                <w:lang w:val="fr-SN"/>
              </w:rPr>
            </w:pPr>
            <w:r w:rsidRPr="00934879">
              <w:t>4,39%</w:t>
            </w:r>
          </w:p>
        </w:tc>
        <w:tc>
          <w:tcPr>
            <w:tcW w:w="1179" w:type="dxa"/>
            <w:tcBorders>
              <w:top w:val="nil"/>
              <w:left w:val="nil"/>
              <w:bottom w:val="single" w:sz="4" w:space="0" w:color="auto"/>
              <w:right w:val="single" w:sz="4" w:space="0" w:color="auto"/>
            </w:tcBorders>
            <w:noWrap/>
            <w:hideMark/>
          </w:tcPr>
          <w:p w14:paraId="5B0C85F2" w14:textId="77777777" w:rsidR="00522A6B" w:rsidRPr="00F505DC" w:rsidRDefault="00522A6B" w:rsidP="00522A6B">
            <w:pPr>
              <w:rPr>
                <w:lang w:val="fr-SN"/>
              </w:rPr>
            </w:pPr>
            <w:r w:rsidRPr="00934879">
              <w:t>-0,70%</w:t>
            </w:r>
          </w:p>
        </w:tc>
      </w:tr>
    </w:tbl>
    <w:p w14:paraId="0F87ADCF" w14:textId="77777777" w:rsidR="00522A6B" w:rsidRDefault="00522A6B" w:rsidP="00FE18F6">
      <w:pPr>
        <w:pStyle w:val="Lgende"/>
        <w:keepNext/>
        <w:rPr>
          <w:sz w:val="28"/>
          <w:szCs w:val="28"/>
        </w:rPr>
      </w:pPr>
    </w:p>
    <w:p w14:paraId="210607A2" w14:textId="31D040DA" w:rsidR="00522A6B" w:rsidRPr="00522A6B" w:rsidRDefault="00FE18F6" w:rsidP="00522A6B">
      <w:pPr>
        <w:pStyle w:val="Lgende"/>
        <w:keepNext/>
        <w:rPr>
          <w:i w:val="0"/>
          <w:iCs w:val="0"/>
        </w:rPr>
      </w:pPr>
      <w:r w:rsidRPr="009918C9">
        <w:rPr>
          <w:sz w:val="28"/>
          <w:szCs w:val="28"/>
        </w:rPr>
        <w:t xml:space="preserve">Tableau </w:t>
      </w:r>
      <w:r w:rsidRPr="009918C9">
        <w:rPr>
          <w:b/>
          <w:bCs/>
          <w:i w:val="0"/>
          <w:iCs w:val="0"/>
          <w:sz w:val="28"/>
          <w:szCs w:val="28"/>
        </w:rPr>
        <w:fldChar w:fldCharType="begin"/>
      </w:r>
      <w:r w:rsidRPr="009918C9">
        <w:rPr>
          <w:sz w:val="28"/>
          <w:szCs w:val="28"/>
        </w:rPr>
        <w:instrText xml:space="preserve"> SEQ Tableau \* ARABIC </w:instrText>
      </w:r>
      <w:r w:rsidRPr="009918C9">
        <w:rPr>
          <w:b/>
          <w:bCs/>
          <w:i w:val="0"/>
          <w:iCs w:val="0"/>
          <w:sz w:val="28"/>
          <w:szCs w:val="28"/>
        </w:rPr>
        <w:fldChar w:fldCharType="separate"/>
      </w:r>
      <w:r w:rsidR="00427D57">
        <w:rPr>
          <w:noProof/>
          <w:sz w:val="28"/>
          <w:szCs w:val="28"/>
        </w:rPr>
        <w:t>4</w:t>
      </w:r>
      <w:r w:rsidRPr="009918C9">
        <w:rPr>
          <w:b/>
          <w:bCs/>
          <w:i w:val="0"/>
          <w:iCs w:val="0"/>
          <w:sz w:val="28"/>
          <w:szCs w:val="28"/>
        </w:rPr>
        <w:fldChar w:fldCharType="end"/>
      </w:r>
      <w:r w:rsidRPr="009918C9">
        <w:rPr>
          <w:sz w:val="28"/>
          <w:szCs w:val="28"/>
        </w:rPr>
        <w:t xml:space="preserve"> : </w:t>
      </w:r>
      <w:r w:rsidRPr="009918C9">
        <w:rPr>
          <w:sz w:val="28"/>
          <w:szCs w:val="28"/>
          <w:lang w:val="fr-SN"/>
        </w:rPr>
        <w:t xml:space="preserve">Structure de consommation (en %) </w:t>
      </w:r>
      <w:r>
        <w:rPr>
          <w:sz w:val="28"/>
          <w:szCs w:val="28"/>
          <w:lang w:val="fr-SN"/>
        </w:rPr>
        <w:t>logement, eau, électricité, gaz et autres combustibles</w:t>
      </w:r>
      <w:r w:rsidRPr="009918C9">
        <w:rPr>
          <w:sz w:val="28"/>
          <w:szCs w:val="28"/>
          <w:lang w:val="fr-SN"/>
        </w:rPr>
        <w:t xml:space="preserve"> entre 2014 et 2021</w:t>
      </w:r>
      <w:bookmarkEnd w:id="68"/>
    </w:p>
    <w:p w14:paraId="5CB1970C" w14:textId="77777777" w:rsidR="00050F0D" w:rsidRDefault="00050F0D" w:rsidP="00FE18F6">
      <w:pPr>
        <w:rPr>
          <w:i/>
          <w:iCs/>
          <w:lang w:val="fr-SN"/>
        </w:rPr>
      </w:pPr>
    </w:p>
    <w:p w14:paraId="2982B477" w14:textId="01E836C3" w:rsidR="00FE18F6" w:rsidRPr="00522A6B" w:rsidRDefault="00FE18F6" w:rsidP="00FE18F6">
      <w:pPr>
        <w:rPr>
          <w:i/>
          <w:iCs/>
          <w:lang w:val="fr-SN"/>
        </w:rPr>
      </w:pPr>
      <w:r w:rsidRPr="009918C9">
        <w:rPr>
          <w:i/>
          <w:iCs/>
          <w:lang w:val="fr-SN"/>
        </w:rPr>
        <w:t>Source : ANSD, pondération IHPC 2014 et 202</w:t>
      </w:r>
      <w:r w:rsidR="00050F0D">
        <w:rPr>
          <w:i/>
          <w:iCs/>
          <w:lang w:val="fr-SN"/>
        </w:rPr>
        <w:t>1</w:t>
      </w:r>
      <w:r w:rsidRPr="009918C9">
        <w:rPr>
          <w:i/>
          <w:iCs/>
          <w:lang w:val="fr-SN"/>
        </w:rPr>
        <w:t>.</w:t>
      </w:r>
    </w:p>
    <w:p w14:paraId="1651F63A" w14:textId="77777777" w:rsidR="00FE18F6" w:rsidRPr="00F974FD" w:rsidRDefault="00FE18F6">
      <w:pPr>
        <w:pStyle w:val="Paragraphedeliste"/>
        <w:numPr>
          <w:ilvl w:val="0"/>
          <w:numId w:val="20"/>
        </w:numPr>
        <w:rPr>
          <w:b/>
          <w:bCs/>
          <w:lang w:val="fr-SN"/>
        </w:rPr>
      </w:pPr>
      <w:r w:rsidRPr="00F974FD">
        <w:rPr>
          <w:b/>
          <w:bCs/>
          <w:lang w:val="fr-SN"/>
        </w:rPr>
        <w:t xml:space="preserve">AMEUBLEMENT, ÉQUIPEMENT MÉNAGER ET ENTRETIEN COURANT DU MÉNAGE </w:t>
      </w:r>
    </w:p>
    <w:p w14:paraId="615FBD00" w14:textId="684C3AC8" w:rsidR="00FE18F6" w:rsidRPr="00F505DC" w:rsidRDefault="00FE18F6" w:rsidP="00FE18F6">
      <w:pPr>
        <w:rPr>
          <w:lang w:val="fr-SN"/>
        </w:rPr>
      </w:pPr>
      <w:r w:rsidRPr="00F505DC">
        <w:rPr>
          <w:lang w:val="fr-SN"/>
        </w:rPr>
        <w:t>La part des dépenses des ménages allouée à la division "Ameublement, équipement ménager et entretien courant du ménage" a augmenté de 0,</w:t>
      </w:r>
      <w:r w:rsidR="00AE2BF0">
        <w:rPr>
          <w:lang w:val="fr-SN"/>
        </w:rPr>
        <w:t>65</w:t>
      </w:r>
      <w:r w:rsidRPr="00F505DC">
        <w:rPr>
          <w:lang w:val="fr-SN"/>
        </w:rPr>
        <w:t xml:space="preserve"> point de pourcentage entre 2014 et 202</w:t>
      </w:r>
      <w:r w:rsidR="00842DD4">
        <w:rPr>
          <w:lang w:val="fr-SN"/>
        </w:rPr>
        <w:t>1</w:t>
      </w:r>
      <w:r w:rsidRPr="00F505DC">
        <w:rPr>
          <w:lang w:val="fr-SN"/>
        </w:rPr>
        <w:t>, passant de 5,0</w:t>
      </w:r>
      <w:r w:rsidR="001A3247">
        <w:rPr>
          <w:lang w:val="fr-SN"/>
        </w:rPr>
        <w:t>2</w:t>
      </w:r>
      <w:r w:rsidRPr="00F505DC">
        <w:rPr>
          <w:lang w:val="fr-SN"/>
        </w:rPr>
        <w:t xml:space="preserve"> % à 5,</w:t>
      </w:r>
      <w:r w:rsidR="00AE2BF0">
        <w:rPr>
          <w:lang w:val="fr-SN"/>
        </w:rPr>
        <w:t>67</w:t>
      </w:r>
      <w:r w:rsidRPr="00F505DC">
        <w:rPr>
          <w:lang w:val="fr-SN"/>
        </w:rPr>
        <w:t xml:space="preserve"> %. Cette progression est principalement portée par la sous-catégorie des "Meubles, articles d'ameublement et autres revêtements de sol", qui a connu une hausse de 1,4 point de pourcentage, passant de 1,</w:t>
      </w:r>
      <w:r w:rsidR="001A3247">
        <w:rPr>
          <w:lang w:val="fr-SN"/>
        </w:rPr>
        <w:t>29</w:t>
      </w:r>
      <w:r w:rsidRPr="00F505DC">
        <w:rPr>
          <w:lang w:val="fr-SN"/>
        </w:rPr>
        <w:t xml:space="preserve"> % à 2,7</w:t>
      </w:r>
      <w:r w:rsidR="001A3247">
        <w:rPr>
          <w:lang w:val="fr-SN"/>
        </w:rPr>
        <w:t>0</w:t>
      </w:r>
      <w:r w:rsidRPr="00F505DC">
        <w:rPr>
          <w:lang w:val="fr-SN"/>
        </w:rPr>
        <w:t xml:space="preserve"> %. En revanche, certaines sous-catégories comme les "Textiles ménagers" ont diminué de 0,</w:t>
      </w:r>
      <w:r w:rsidR="00AE2BF0">
        <w:rPr>
          <w:lang w:val="fr-SN"/>
        </w:rPr>
        <w:t>19</w:t>
      </w:r>
      <w:r w:rsidRPr="00F505DC">
        <w:rPr>
          <w:lang w:val="fr-SN"/>
        </w:rPr>
        <w:t xml:space="preserve"> point, passant de 0,3</w:t>
      </w:r>
      <w:r w:rsidR="001A3247">
        <w:rPr>
          <w:lang w:val="fr-SN"/>
        </w:rPr>
        <w:t>2</w:t>
      </w:r>
      <w:r w:rsidRPr="00F505DC">
        <w:rPr>
          <w:lang w:val="fr-SN"/>
        </w:rPr>
        <w:t xml:space="preserve"> % à 0,1</w:t>
      </w:r>
      <w:r w:rsidR="00AE2BF0">
        <w:rPr>
          <w:lang w:val="fr-SN"/>
        </w:rPr>
        <w:t>4</w:t>
      </w:r>
      <w:r w:rsidRPr="00F505DC">
        <w:rPr>
          <w:lang w:val="fr-SN"/>
        </w:rPr>
        <w:t xml:space="preserve"> %. Les "Appareils ménagers" et les "Outils et équipement pour la maison et le jardin" ont tous deux progressé de</w:t>
      </w:r>
      <w:r w:rsidR="00AE2BF0">
        <w:rPr>
          <w:lang w:val="fr-SN"/>
        </w:rPr>
        <w:t xml:space="preserve"> près de</w:t>
      </w:r>
      <w:r w:rsidRPr="00F505DC">
        <w:rPr>
          <w:lang w:val="fr-SN"/>
        </w:rPr>
        <w:t xml:space="preserve"> 0,1 point de pourcentage, tandis que la part des "Biens et services pour l'entretien courant du ménage" a diminué de 0,7</w:t>
      </w:r>
      <w:r w:rsidR="00AE2BF0">
        <w:rPr>
          <w:lang w:val="fr-SN"/>
        </w:rPr>
        <w:t>2</w:t>
      </w:r>
      <w:r w:rsidRPr="00F505DC">
        <w:rPr>
          <w:lang w:val="fr-SN"/>
        </w:rPr>
        <w:t xml:space="preserve"> point, passant de 2,8</w:t>
      </w:r>
      <w:r w:rsidR="001A3247">
        <w:rPr>
          <w:lang w:val="fr-SN"/>
        </w:rPr>
        <w:t>3</w:t>
      </w:r>
      <w:r w:rsidRPr="00F505DC">
        <w:rPr>
          <w:lang w:val="fr-SN"/>
        </w:rPr>
        <w:t xml:space="preserve"> % à 2,1</w:t>
      </w:r>
      <w:r w:rsidR="00AE2BF0">
        <w:rPr>
          <w:lang w:val="fr-SN"/>
        </w:rPr>
        <w:t>1</w:t>
      </w:r>
      <w:r w:rsidRPr="00F505DC">
        <w:rPr>
          <w:lang w:val="fr-SN"/>
        </w:rPr>
        <w:t xml:space="preserve"> %.</w:t>
      </w:r>
    </w:p>
    <w:p w14:paraId="30E2901A" w14:textId="4702B9F0" w:rsidR="00FE18F6" w:rsidRPr="009918C9" w:rsidRDefault="00FE18F6" w:rsidP="00FE18F6">
      <w:pPr>
        <w:pStyle w:val="Lgende"/>
        <w:keepNext/>
        <w:rPr>
          <w:b/>
          <w:bCs/>
          <w:i w:val="0"/>
          <w:iCs w:val="0"/>
          <w:sz w:val="28"/>
          <w:szCs w:val="28"/>
        </w:rPr>
      </w:pPr>
      <w:bookmarkStart w:id="69" w:name="_Toc180927599"/>
      <w:r w:rsidRPr="009918C9">
        <w:rPr>
          <w:sz w:val="28"/>
          <w:szCs w:val="28"/>
        </w:rPr>
        <w:t xml:space="preserve">Tableau </w:t>
      </w:r>
      <w:r w:rsidRPr="009918C9">
        <w:rPr>
          <w:b/>
          <w:bCs/>
          <w:i w:val="0"/>
          <w:iCs w:val="0"/>
          <w:sz w:val="28"/>
          <w:szCs w:val="28"/>
        </w:rPr>
        <w:fldChar w:fldCharType="begin"/>
      </w:r>
      <w:r w:rsidRPr="009918C9">
        <w:rPr>
          <w:sz w:val="28"/>
          <w:szCs w:val="28"/>
        </w:rPr>
        <w:instrText xml:space="preserve"> SEQ Tableau \* ARABIC </w:instrText>
      </w:r>
      <w:r w:rsidRPr="009918C9">
        <w:rPr>
          <w:b/>
          <w:bCs/>
          <w:i w:val="0"/>
          <w:iCs w:val="0"/>
          <w:sz w:val="28"/>
          <w:szCs w:val="28"/>
        </w:rPr>
        <w:fldChar w:fldCharType="separate"/>
      </w:r>
      <w:r w:rsidR="00427D57">
        <w:rPr>
          <w:noProof/>
          <w:sz w:val="28"/>
          <w:szCs w:val="28"/>
        </w:rPr>
        <w:t>5</w:t>
      </w:r>
      <w:r w:rsidRPr="009918C9">
        <w:rPr>
          <w:b/>
          <w:bCs/>
          <w:i w:val="0"/>
          <w:iCs w:val="0"/>
          <w:sz w:val="28"/>
          <w:szCs w:val="28"/>
        </w:rPr>
        <w:fldChar w:fldCharType="end"/>
      </w:r>
      <w:r w:rsidRPr="009918C9">
        <w:rPr>
          <w:sz w:val="28"/>
          <w:szCs w:val="28"/>
        </w:rPr>
        <w:t xml:space="preserve"> : </w:t>
      </w:r>
      <w:r w:rsidRPr="009918C9">
        <w:rPr>
          <w:sz w:val="28"/>
          <w:szCs w:val="28"/>
          <w:lang w:val="fr-SN"/>
        </w:rPr>
        <w:t>Structure de consommation (en %) ameublement, équipement ménager et entretien courant du ménage entre 2014 et 2021</w:t>
      </w:r>
      <w:bookmarkEnd w:id="69"/>
    </w:p>
    <w:tbl>
      <w:tblPr>
        <w:tblpPr w:leftFromText="141" w:rightFromText="141" w:bottomFromText="160" w:vertAnchor="page" w:horzAnchor="margin" w:tblpXSpec="center" w:tblpY="2641"/>
        <w:tblW w:w="9568" w:type="dxa"/>
        <w:tblCellMar>
          <w:left w:w="70" w:type="dxa"/>
          <w:right w:w="70" w:type="dxa"/>
        </w:tblCellMar>
        <w:tblLook w:val="04A0" w:firstRow="1" w:lastRow="0" w:firstColumn="1" w:lastColumn="0" w:noHBand="0" w:noVBand="1"/>
      </w:tblPr>
      <w:tblGrid>
        <w:gridCol w:w="2608"/>
        <w:gridCol w:w="2172"/>
        <w:gridCol w:w="2187"/>
        <w:gridCol w:w="1300"/>
        <w:gridCol w:w="1317"/>
      </w:tblGrid>
      <w:tr w:rsidR="00FE18F6" w:rsidRPr="00F505DC" w14:paraId="3D34E67F" w14:textId="77777777" w:rsidTr="00795372">
        <w:trPr>
          <w:trHeight w:val="224"/>
        </w:trPr>
        <w:tc>
          <w:tcPr>
            <w:tcW w:w="2608" w:type="dxa"/>
            <w:tcBorders>
              <w:top w:val="single" w:sz="4" w:space="0" w:color="auto"/>
              <w:left w:val="single" w:sz="4" w:space="0" w:color="auto"/>
              <w:bottom w:val="single" w:sz="4" w:space="0" w:color="auto"/>
              <w:right w:val="single" w:sz="4" w:space="0" w:color="auto"/>
            </w:tcBorders>
            <w:noWrap/>
            <w:hideMark/>
          </w:tcPr>
          <w:p w14:paraId="7EBF0CE2" w14:textId="4ADDF040" w:rsidR="00FE18F6" w:rsidRPr="00F505DC" w:rsidRDefault="00FE18F6" w:rsidP="00427D57">
            <w:pPr>
              <w:rPr>
                <w:b/>
                <w:bCs/>
                <w:lang w:val="fr-SN"/>
              </w:rPr>
            </w:pPr>
            <w:r w:rsidRPr="00F505DC">
              <w:rPr>
                <w:lang w:val="fr-SN"/>
              </w:rPr>
              <w:t>Nomenclature 202</w:t>
            </w:r>
            <w:r w:rsidR="00842DD4">
              <w:rPr>
                <w:lang w:val="fr-SN"/>
              </w:rPr>
              <w:t>1</w:t>
            </w:r>
          </w:p>
        </w:tc>
        <w:tc>
          <w:tcPr>
            <w:tcW w:w="2172" w:type="dxa"/>
            <w:tcBorders>
              <w:top w:val="single" w:sz="4" w:space="0" w:color="auto"/>
              <w:left w:val="nil"/>
              <w:bottom w:val="single" w:sz="4" w:space="0" w:color="auto"/>
              <w:right w:val="single" w:sz="4" w:space="0" w:color="auto"/>
            </w:tcBorders>
            <w:noWrap/>
            <w:hideMark/>
          </w:tcPr>
          <w:p w14:paraId="025E3955" w14:textId="77777777" w:rsidR="00FE18F6" w:rsidRPr="00F505DC" w:rsidRDefault="00FE18F6" w:rsidP="00427D57">
            <w:pPr>
              <w:rPr>
                <w:b/>
                <w:bCs/>
                <w:lang w:val="fr-SN"/>
              </w:rPr>
            </w:pPr>
            <w:r w:rsidRPr="00F505DC">
              <w:rPr>
                <w:lang w:val="fr-SN"/>
              </w:rPr>
              <w:t>Nomenclature 2014</w:t>
            </w:r>
          </w:p>
        </w:tc>
        <w:tc>
          <w:tcPr>
            <w:tcW w:w="2187" w:type="dxa"/>
            <w:tcBorders>
              <w:top w:val="single" w:sz="4" w:space="0" w:color="auto"/>
              <w:left w:val="nil"/>
              <w:bottom w:val="single" w:sz="4" w:space="0" w:color="auto"/>
              <w:right w:val="single" w:sz="4" w:space="0" w:color="auto"/>
            </w:tcBorders>
            <w:noWrap/>
            <w:hideMark/>
          </w:tcPr>
          <w:p w14:paraId="73CA35D6" w14:textId="77777777" w:rsidR="00FE18F6" w:rsidRPr="00F505DC" w:rsidRDefault="00FE18F6" w:rsidP="00427D57">
            <w:pPr>
              <w:rPr>
                <w:b/>
                <w:bCs/>
                <w:lang w:val="fr-SN"/>
              </w:rPr>
            </w:pPr>
            <w:r w:rsidRPr="00F505DC">
              <w:rPr>
                <w:lang w:val="fr-SN"/>
              </w:rPr>
              <w:t>Pondération 2014</w:t>
            </w:r>
          </w:p>
        </w:tc>
        <w:tc>
          <w:tcPr>
            <w:tcW w:w="1284" w:type="dxa"/>
            <w:tcBorders>
              <w:top w:val="single" w:sz="4" w:space="0" w:color="auto"/>
              <w:left w:val="nil"/>
              <w:bottom w:val="single" w:sz="4" w:space="0" w:color="auto"/>
              <w:right w:val="single" w:sz="4" w:space="0" w:color="auto"/>
            </w:tcBorders>
            <w:noWrap/>
            <w:hideMark/>
          </w:tcPr>
          <w:p w14:paraId="2F804948" w14:textId="77777777" w:rsidR="00FE18F6" w:rsidRPr="00F505DC" w:rsidRDefault="00FE18F6" w:rsidP="00427D57">
            <w:pPr>
              <w:rPr>
                <w:lang w:val="fr-SN"/>
              </w:rPr>
            </w:pPr>
            <w:r w:rsidRPr="00F505DC">
              <w:rPr>
                <w:lang w:val="fr-SN"/>
              </w:rPr>
              <w:t>Pondération</w:t>
            </w:r>
          </w:p>
          <w:p w14:paraId="67882758" w14:textId="77777777" w:rsidR="00FE18F6" w:rsidRPr="00F505DC" w:rsidRDefault="00FE18F6" w:rsidP="00427D57">
            <w:pPr>
              <w:rPr>
                <w:b/>
                <w:bCs/>
                <w:lang w:val="fr-SN"/>
              </w:rPr>
            </w:pPr>
            <w:r w:rsidRPr="00F505DC">
              <w:rPr>
                <w:lang w:val="fr-SN"/>
              </w:rPr>
              <w:t>202</w:t>
            </w:r>
            <w:r>
              <w:rPr>
                <w:lang w:val="fr-SN"/>
              </w:rPr>
              <w:t>1</w:t>
            </w:r>
          </w:p>
        </w:tc>
        <w:tc>
          <w:tcPr>
            <w:tcW w:w="1317" w:type="dxa"/>
            <w:tcBorders>
              <w:top w:val="single" w:sz="4" w:space="0" w:color="auto"/>
              <w:left w:val="nil"/>
              <w:bottom w:val="single" w:sz="4" w:space="0" w:color="auto"/>
              <w:right w:val="single" w:sz="4" w:space="0" w:color="auto"/>
            </w:tcBorders>
            <w:noWrap/>
            <w:hideMark/>
          </w:tcPr>
          <w:p w14:paraId="6D5A5327" w14:textId="77777777" w:rsidR="00FE18F6" w:rsidRPr="00F505DC" w:rsidRDefault="00FE18F6" w:rsidP="00427D57">
            <w:pPr>
              <w:rPr>
                <w:b/>
                <w:bCs/>
                <w:lang w:val="fr-SN"/>
              </w:rPr>
            </w:pPr>
            <w:r w:rsidRPr="00F505DC">
              <w:rPr>
                <w:lang w:val="fr-SN"/>
              </w:rPr>
              <w:t>Variation en point de pourcentage</w:t>
            </w:r>
          </w:p>
        </w:tc>
      </w:tr>
      <w:tr w:rsidR="00AE2BF0" w:rsidRPr="00F505DC" w14:paraId="4357EEE2" w14:textId="77777777" w:rsidTr="00795372">
        <w:trPr>
          <w:trHeight w:val="224"/>
        </w:trPr>
        <w:tc>
          <w:tcPr>
            <w:tcW w:w="2608" w:type="dxa"/>
            <w:tcBorders>
              <w:top w:val="single" w:sz="4" w:space="0" w:color="auto"/>
              <w:left w:val="single" w:sz="4" w:space="0" w:color="auto"/>
              <w:bottom w:val="single" w:sz="4" w:space="0" w:color="auto"/>
              <w:right w:val="single" w:sz="4" w:space="0" w:color="auto"/>
            </w:tcBorders>
            <w:noWrap/>
            <w:vAlign w:val="bottom"/>
            <w:hideMark/>
          </w:tcPr>
          <w:p w14:paraId="317B5C32" w14:textId="77777777" w:rsidR="00AE2BF0" w:rsidRPr="00F505DC" w:rsidRDefault="00AE2BF0" w:rsidP="00AE2BF0">
            <w:pPr>
              <w:rPr>
                <w:b/>
                <w:bCs/>
                <w:lang w:val="fr-SN"/>
              </w:rPr>
            </w:pPr>
            <w:bookmarkStart w:id="70" w:name="_Hlk178067049"/>
            <w:r w:rsidRPr="00F505DC">
              <w:rPr>
                <w:b/>
                <w:bCs/>
                <w:lang w:val="fr-SN"/>
              </w:rPr>
              <w:t xml:space="preserve">05.AMEUBLEMENT, ÉQUIPEMENT MÉNAGER ET ENTRETIEN COURANT DU MÉNAGE </w:t>
            </w:r>
          </w:p>
        </w:tc>
        <w:tc>
          <w:tcPr>
            <w:tcW w:w="2172" w:type="dxa"/>
            <w:tcBorders>
              <w:top w:val="single" w:sz="4" w:space="0" w:color="auto"/>
              <w:left w:val="nil"/>
              <w:bottom w:val="single" w:sz="4" w:space="0" w:color="auto"/>
              <w:right w:val="single" w:sz="4" w:space="0" w:color="auto"/>
            </w:tcBorders>
            <w:noWrap/>
            <w:vAlign w:val="bottom"/>
            <w:hideMark/>
          </w:tcPr>
          <w:p w14:paraId="648CBDA2" w14:textId="77777777" w:rsidR="00AE2BF0" w:rsidRPr="00F505DC" w:rsidRDefault="00AE2BF0" w:rsidP="00AE2BF0">
            <w:pPr>
              <w:rPr>
                <w:b/>
                <w:bCs/>
                <w:lang w:val="fr-SN"/>
              </w:rPr>
            </w:pPr>
            <w:r w:rsidRPr="00F505DC">
              <w:rPr>
                <w:b/>
                <w:bCs/>
                <w:lang w:val="fr-SN"/>
              </w:rPr>
              <w:t>Meubles, articles de ménage et entretien courant du foyer</w:t>
            </w:r>
          </w:p>
        </w:tc>
        <w:tc>
          <w:tcPr>
            <w:tcW w:w="2187" w:type="dxa"/>
            <w:tcBorders>
              <w:top w:val="single" w:sz="4" w:space="0" w:color="auto"/>
              <w:left w:val="nil"/>
              <w:bottom w:val="single" w:sz="4" w:space="0" w:color="auto"/>
              <w:right w:val="single" w:sz="4" w:space="0" w:color="auto"/>
            </w:tcBorders>
            <w:noWrap/>
            <w:vAlign w:val="bottom"/>
            <w:hideMark/>
          </w:tcPr>
          <w:p w14:paraId="0653D708" w14:textId="60E6B8B4" w:rsidR="00AE2BF0" w:rsidRPr="00F505DC" w:rsidRDefault="00AE2BF0" w:rsidP="00AE2BF0">
            <w:pPr>
              <w:rPr>
                <w:b/>
                <w:bCs/>
                <w:lang w:val="fr-SN"/>
              </w:rPr>
            </w:pPr>
            <w:r w:rsidRPr="00F505DC">
              <w:rPr>
                <w:b/>
                <w:bCs/>
                <w:lang w:val="fr-SN"/>
              </w:rPr>
              <w:t>5,0</w:t>
            </w:r>
            <w:r w:rsidR="001A3247">
              <w:rPr>
                <w:b/>
                <w:bCs/>
                <w:lang w:val="fr-SN"/>
              </w:rPr>
              <w:t>2</w:t>
            </w:r>
            <w:r w:rsidRPr="00F505DC">
              <w:rPr>
                <w:b/>
                <w:bCs/>
                <w:lang w:val="fr-SN"/>
              </w:rPr>
              <w:t>%</w:t>
            </w:r>
          </w:p>
        </w:tc>
        <w:tc>
          <w:tcPr>
            <w:tcW w:w="1284" w:type="dxa"/>
            <w:tcBorders>
              <w:top w:val="single" w:sz="4" w:space="0" w:color="auto"/>
              <w:left w:val="nil"/>
              <w:bottom w:val="single" w:sz="4" w:space="0" w:color="auto"/>
              <w:right w:val="single" w:sz="4" w:space="0" w:color="auto"/>
            </w:tcBorders>
            <w:noWrap/>
            <w:vAlign w:val="bottom"/>
            <w:hideMark/>
          </w:tcPr>
          <w:p w14:paraId="596D05F4" w14:textId="10FBDC5A" w:rsidR="00AE2BF0" w:rsidRPr="00AE2BF0" w:rsidRDefault="00AE2BF0" w:rsidP="00AE2BF0">
            <w:pPr>
              <w:rPr>
                <w:b/>
                <w:bCs/>
                <w:lang w:val="fr-SN"/>
              </w:rPr>
            </w:pPr>
            <w:r w:rsidRPr="00AE2BF0">
              <w:rPr>
                <w:rFonts w:ascii="Aptos Narrow" w:hAnsi="Aptos Narrow"/>
                <w:b/>
                <w:bCs/>
                <w:color w:val="000000"/>
                <w:sz w:val="22"/>
              </w:rPr>
              <w:t>5,67%</w:t>
            </w:r>
          </w:p>
        </w:tc>
        <w:tc>
          <w:tcPr>
            <w:tcW w:w="1317" w:type="dxa"/>
            <w:tcBorders>
              <w:top w:val="single" w:sz="4" w:space="0" w:color="auto"/>
              <w:left w:val="nil"/>
              <w:bottom w:val="single" w:sz="4" w:space="0" w:color="auto"/>
              <w:right w:val="single" w:sz="4" w:space="0" w:color="auto"/>
            </w:tcBorders>
            <w:noWrap/>
            <w:vAlign w:val="bottom"/>
            <w:hideMark/>
          </w:tcPr>
          <w:p w14:paraId="3F553826" w14:textId="2941271D" w:rsidR="00AE2BF0" w:rsidRPr="00AE2BF0" w:rsidRDefault="00AE2BF0" w:rsidP="00AE2BF0">
            <w:pPr>
              <w:rPr>
                <w:b/>
                <w:bCs/>
                <w:lang w:val="fr-SN"/>
              </w:rPr>
            </w:pPr>
            <w:r w:rsidRPr="00AE2BF0">
              <w:rPr>
                <w:rFonts w:ascii="Aptos Narrow" w:hAnsi="Aptos Narrow"/>
                <w:b/>
                <w:bCs/>
                <w:color w:val="000000"/>
                <w:sz w:val="22"/>
              </w:rPr>
              <w:t>0,65%</w:t>
            </w:r>
            <w:bookmarkEnd w:id="70"/>
          </w:p>
        </w:tc>
      </w:tr>
      <w:tr w:rsidR="00AE2BF0" w:rsidRPr="00F505DC" w14:paraId="073FEA88" w14:textId="77777777" w:rsidTr="00795372">
        <w:trPr>
          <w:trHeight w:val="224"/>
        </w:trPr>
        <w:tc>
          <w:tcPr>
            <w:tcW w:w="2608" w:type="dxa"/>
            <w:tcBorders>
              <w:top w:val="nil"/>
              <w:left w:val="single" w:sz="4" w:space="0" w:color="auto"/>
              <w:bottom w:val="single" w:sz="4" w:space="0" w:color="auto"/>
              <w:right w:val="single" w:sz="4" w:space="0" w:color="auto"/>
            </w:tcBorders>
            <w:noWrap/>
            <w:vAlign w:val="bottom"/>
            <w:hideMark/>
          </w:tcPr>
          <w:p w14:paraId="1F742F37" w14:textId="77777777" w:rsidR="00AE2BF0" w:rsidRPr="00F505DC" w:rsidRDefault="00AE2BF0" w:rsidP="00AE2BF0">
            <w:pPr>
              <w:rPr>
                <w:lang w:val="fr-SN"/>
              </w:rPr>
            </w:pPr>
            <w:r w:rsidRPr="00F505DC">
              <w:rPr>
                <w:lang w:val="fr-SN"/>
              </w:rPr>
              <w:t>0501.MEUBLES, ARTICLES D'AMEUBLEMENT ET AUTRES REVETEMENTS DE SOL</w:t>
            </w:r>
          </w:p>
        </w:tc>
        <w:tc>
          <w:tcPr>
            <w:tcW w:w="2172" w:type="dxa"/>
            <w:tcBorders>
              <w:top w:val="nil"/>
              <w:left w:val="nil"/>
              <w:bottom w:val="single" w:sz="4" w:space="0" w:color="auto"/>
              <w:right w:val="single" w:sz="4" w:space="0" w:color="auto"/>
            </w:tcBorders>
            <w:noWrap/>
            <w:vAlign w:val="bottom"/>
            <w:hideMark/>
          </w:tcPr>
          <w:p w14:paraId="47442606" w14:textId="789A0A98" w:rsidR="00AE2BF0" w:rsidRPr="00F505DC" w:rsidRDefault="00AE2BF0" w:rsidP="00AE2BF0">
            <w:pPr>
              <w:rPr>
                <w:lang w:val="fr-SN"/>
              </w:rPr>
            </w:pPr>
            <w:r w:rsidRPr="00F505DC">
              <w:rPr>
                <w:lang w:val="fr-SN"/>
              </w:rPr>
              <w:t>Meubles,</w:t>
            </w:r>
            <w:r w:rsidR="00842DD4">
              <w:rPr>
                <w:lang w:val="fr-SN"/>
              </w:rPr>
              <w:t xml:space="preserve"> </w:t>
            </w:r>
            <w:r w:rsidRPr="00F505DC">
              <w:rPr>
                <w:lang w:val="fr-SN"/>
              </w:rPr>
              <w:t>articles d'ameublement, tapis et autres revêtement</w:t>
            </w:r>
          </w:p>
        </w:tc>
        <w:tc>
          <w:tcPr>
            <w:tcW w:w="2187" w:type="dxa"/>
            <w:tcBorders>
              <w:top w:val="nil"/>
              <w:left w:val="nil"/>
              <w:bottom w:val="single" w:sz="4" w:space="0" w:color="auto"/>
              <w:right w:val="single" w:sz="4" w:space="0" w:color="auto"/>
            </w:tcBorders>
            <w:noWrap/>
            <w:vAlign w:val="bottom"/>
            <w:hideMark/>
          </w:tcPr>
          <w:p w14:paraId="1C73943E" w14:textId="3E0B0AC7" w:rsidR="00AE2BF0" w:rsidRPr="00F505DC" w:rsidRDefault="00AE2BF0" w:rsidP="00AE2BF0">
            <w:pPr>
              <w:rPr>
                <w:lang w:val="fr-SN"/>
              </w:rPr>
            </w:pPr>
            <w:r w:rsidRPr="00F505DC">
              <w:rPr>
                <w:lang w:val="fr-SN"/>
              </w:rPr>
              <w:t>1,</w:t>
            </w:r>
            <w:r w:rsidR="001A3247">
              <w:rPr>
                <w:lang w:val="fr-SN"/>
              </w:rPr>
              <w:t>29</w:t>
            </w:r>
            <w:r w:rsidRPr="00F505DC">
              <w:rPr>
                <w:lang w:val="fr-SN"/>
              </w:rPr>
              <w:t>%</w:t>
            </w:r>
          </w:p>
        </w:tc>
        <w:tc>
          <w:tcPr>
            <w:tcW w:w="1284" w:type="dxa"/>
            <w:tcBorders>
              <w:top w:val="nil"/>
              <w:left w:val="nil"/>
              <w:bottom w:val="single" w:sz="4" w:space="0" w:color="auto"/>
              <w:right w:val="single" w:sz="4" w:space="0" w:color="auto"/>
            </w:tcBorders>
            <w:noWrap/>
            <w:vAlign w:val="bottom"/>
            <w:hideMark/>
          </w:tcPr>
          <w:p w14:paraId="190ABCC2" w14:textId="02217143" w:rsidR="00AE2BF0" w:rsidRPr="00F505DC" w:rsidRDefault="00AE2BF0" w:rsidP="00AE2BF0">
            <w:pPr>
              <w:rPr>
                <w:lang w:val="fr-SN"/>
              </w:rPr>
            </w:pPr>
            <w:r>
              <w:rPr>
                <w:rFonts w:ascii="Aptos Narrow" w:hAnsi="Aptos Narrow"/>
                <w:color w:val="000000"/>
                <w:sz w:val="22"/>
              </w:rPr>
              <w:t>2,70%</w:t>
            </w:r>
          </w:p>
        </w:tc>
        <w:tc>
          <w:tcPr>
            <w:tcW w:w="1317" w:type="dxa"/>
            <w:tcBorders>
              <w:top w:val="nil"/>
              <w:left w:val="nil"/>
              <w:bottom w:val="single" w:sz="4" w:space="0" w:color="auto"/>
              <w:right w:val="single" w:sz="4" w:space="0" w:color="auto"/>
            </w:tcBorders>
            <w:noWrap/>
            <w:vAlign w:val="bottom"/>
            <w:hideMark/>
          </w:tcPr>
          <w:p w14:paraId="4BF814B9" w14:textId="7BB8E1CA" w:rsidR="00AE2BF0" w:rsidRPr="00F505DC" w:rsidRDefault="00AE2BF0" w:rsidP="00AE2BF0">
            <w:pPr>
              <w:rPr>
                <w:lang w:val="fr-SN"/>
              </w:rPr>
            </w:pPr>
            <w:r>
              <w:rPr>
                <w:rFonts w:ascii="Aptos Narrow" w:hAnsi="Aptos Narrow"/>
                <w:color w:val="000000"/>
                <w:sz w:val="22"/>
              </w:rPr>
              <w:t>1,40%</w:t>
            </w:r>
          </w:p>
        </w:tc>
      </w:tr>
      <w:tr w:rsidR="00AE2BF0" w:rsidRPr="00F505DC" w14:paraId="0A1807A8" w14:textId="77777777" w:rsidTr="00795372">
        <w:trPr>
          <w:trHeight w:val="224"/>
        </w:trPr>
        <w:tc>
          <w:tcPr>
            <w:tcW w:w="2608" w:type="dxa"/>
            <w:tcBorders>
              <w:top w:val="nil"/>
              <w:left w:val="single" w:sz="4" w:space="0" w:color="auto"/>
              <w:bottom w:val="single" w:sz="4" w:space="0" w:color="auto"/>
              <w:right w:val="single" w:sz="4" w:space="0" w:color="auto"/>
            </w:tcBorders>
            <w:noWrap/>
            <w:vAlign w:val="bottom"/>
            <w:hideMark/>
          </w:tcPr>
          <w:p w14:paraId="3A151768" w14:textId="77777777" w:rsidR="00AE2BF0" w:rsidRPr="00F505DC" w:rsidRDefault="00AE2BF0" w:rsidP="00AE2BF0">
            <w:pPr>
              <w:rPr>
                <w:lang w:val="fr-SN"/>
              </w:rPr>
            </w:pPr>
            <w:r w:rsidRPr="00F505DC">
              <w:rPr>
                <w:lang w:val="fr-SN"/>
              </w:rPr>
              <w:t>0502.TEXTILES MÉNAGERS</w:t>
            </w:r>
          </w:p>
        </w:tc>
        <w:tc>
          <w:tcPr>
            <w:tcW w:w="2172" w:type="dxa"/>
            <w:tcBorders>
              <w:top w:val="nil"/>
              <w:left w:val="nil"/>
              <w:bottom w:val="single" w:sz="4" w:space="0" w:color="auto"/>
              <w:right w:val="single" w:sz="4" w:space="0" w:color="auto"/>
            </w:tcBorders>
            <w:noWrap/>
            <w:vAlign w:val="bottom"/>
            <w:hideMark/>
          </w:tcPr>
          <w:p w14:paraId="562FCCDE" w14:textId="77777777" w:rsidR="00AE2BF0" w:rsidRPr="00F505DC" w:rsidRDefault="00AE2BF0" w:rsidP="00AE2BF0">
            <w:pPr>
              <w:rPr>
                <w:lang w:val="fr-SN"/>
              </w:rPr>
            </w:pPr>
            <w:r w:rsidRPr="00F505DC">
              <w:rPr>
                <w:lang w:val="fr-SN"/>
              </w:rPr>
              <w:t>Articles de ménage en textiles</w:t>
            </w:r>
          </w:p>
        </w:tc>
        <w:tc>
          <w:tcPr>
            <w:tcW w:w="2187" w:type="dxa"/>
            <w:tcBorders>
              <w:top w:val="nil"/>
              <w:left w:val="nil"/>
              <w:bottom w:val="single" w:sz="4" w:space="0" w:color="auto"/>
              <w:right w:val="single" w:sz="4" w:space="0" w:color="auto"/>
            </w:tcBorders>
            <w:noWrap/>
            <w:vAlign w:val="bottom"/>
            <w:hideMark/>
          </w:tcPr>
          <w:p w14:paraId="02D3438F" w14:textId="48A93A6D" w:rsidR="00AE2BF0" w:rsidRPr="00F505DC" w:rsidRDefault="00AE2BF0" w:rsidP="00AE2BF0">
            <w:pPr>
              <w:rPr>
                <w:lang w:val="fr-SN"/>
              </w:rPr>
            </w:pPr>
            <w:r w:rsidRPr="00F505DC">
              <w:rPr>
                <w:lang w:val="fr-SN"/>
              </w:rPr>
              <w:t>0,3</w:t>
            </w:r>
            <w:r w:rsidR="001A3247">
              <w:rPr>
                <w:lang w:val="fr-SN"/>
              </w:rPr>
              <w:t>2</w:t>
            </w:r>
            <w:r w:rsidRPr="00F505DC">
              <w:rPr>
                <w:lang w:val="fr-SN"/>
              </w:rPr>
              <w:t>%</w:t>
            </w:r>
          </w:p>
        </w:tc>
        <w:tc>
          <w:tcPr>
            <w:tcW w:w="1284" w:type="dxa"/>
            <w:tcBorders>
              <w:top w:val="nil"/>
              <w:left w:val="nil"/>
              <w:bottom w:val="single" w:sz="4" w:space="0" w:color="auto"/>
              <w:right w:val="single" w:sz="4" w:space="0" w:color="auto"/>
            </w:tcBorders>
            <w:noWrap/>
            <w:vAlign w:val="bottom"/>
            <w:hideMark/>
          </w:tcPr>
          <w:p w14:paraId="7DD36F6E" w14:textId="66600789" w:rsidR="00AE2BF0" w:rsidRPr="00F505DC" w:rsidRDefault="00AE2BF0" w:rsidP="00AE2BF0">
            <w:pPr>
              <w:rPr>
                <w:lang w:val="fr-SN"/>
              </w:rPr>
            </w:pPr>
            <w:r>
              <w:rPr>
                <w:rFonts w:ascii="Aptos Narrow" w:hAnsi="Aptos Narrow"/>
                <w:color w:val="000000"/>
                <w:sz w:val="22"/>
              </w:rPr>
              <w:t>0,14%</w:t>
            </w:r>
          </w:p>
        </w:tc>
        <w:tc>
          <w:tcPr>
            <w:tcW w:w="1317" w:type="dxa"/>
            <w:tcBorders>
              <w:top w:val="nil"/>
              <w:left w:val="nil"/>
              <w:bottom w:val="single" w:sz="4" w:space="0" w:color="auto"/>
              <w:right w:val="single" w:sz="4" w:space="0" w:color="auto"/>
            </w:tcBorders>
            <w:noWrap/>
            <w:vAlign w:val="bottom"/>
            <w:hideMark/>
          </w:tcPr>
          <w:p w14:paraId="3366CECB" w14:textId="6EFDB782" w:rsidR="00AE2BF0" w:rsidRPr="00F505DC" w:rsidRDefault="00AE2BF0" w:rsidP="00AE2BF0">
            <w:pPr>
              <w:rPr>
                <w:lang w:val="fr-SN"/>
              </w:rPr>
            </w:pPr>
            <w:r>
              <w:rPr>
                <w:rFonts w:ascii="Aptos Narrow" w:hAnsi="Aptos Narrow"/>
                <w:color w:val="000000"/>
                <w:sz w:val="22"/>
              </w:rPr>
              <w:t>-0,19%</w:t>
            </w:r>
          </w:p>
        </w:tc>
      </w:tr>
      <w:tr w:rsidR="00AE2BF0" w:rsidRPr="00F505DC" w14:paraId="1482C4BE" w14:textId="77777777" w:rsidTr="00795372">
        <w:trPr>
          <w:trHeight w:val="224"/>
        </w:trPr>
        <w:tc>
          <w:tcPr>
            <w:tcW w:w="2608" w:type="dxa"/>
            <w:tcBorders>
              <w:top w:val="nil"/>
              <w:left w:val="single" w:sz="4" w:space="0" w:color="auto"/>
              <w:bottom w:val="single" w:sz="4" w:space="0" w:color="auto"/>
              <w:right w:val="single" w:sz="4" w:space="0" w:color="auto"/>
            </w:tcBorders>
            <w:noWrap/>
            <w:vAlign w:val="bottom"/>
            <w:hideMark/>
          </w:tcPr>
          <w:p w14:paraId="56EA7D90" w14:textId="77777777" w:rsidR="00AE2BF0" w:rsidRPr="00F505DC" w:rsidRDefault="00AE2BF0" w:rsidP="00AE2BF0">
            <w:pPr>
              <w:rPr>
                <w:lang w:val="fr-SN"/>
              </w:rPr>
            </w:pPr>
            <w:r w:rsidRPr="00F505DC">
              <w:rPr>
                <w:lang w:val="fr-SN"/>
              </w:rPr>
              <w:t>0503.APPAREILS MÉNAGERS</w:t>
            </w:r>
          </w:p>
        </w:tc>
        <w:tc>
          <w:tcPr>
            <w:tcW w:w="2172" w:type="dxa"/>
            <w:tcBorders>
              <w:top w:val="nil"/>
              <w:left w:val="nil"/>
              <w:bottom w:val="single" w:sz="4" w:space="0" w:color="auto"/>
              <w:right w:val="single" w:sz="4" w:space="0" w:color="auto"/>
            </w:tcBorders>
            <w:noWrap/>
            <w:vAlign w:val="bottom"/>
            <w:hideMark/>
          </w:tcPr>
          <w:p w14:paraId="7CDFECBA" w14:textId="380584D1" w:rsidR="00AE2BF0" w:rsidRPr="00F505DC" w:rsidRDefault="00AE2BF0" w:rsidP="00AE2BF0">
            <w:pPr>
              <w:rPr>
                <w:lang w:val="fr-SN"/>
              </w:rPr>
            </w:pPr>
            <w:r w:rsidRPr="00F505DC">
              <w:rPr>
                <w:lang w:val="fr-SN"/>
              </w:rPr>
              <w:t>Appareils m</w:t>
            </w:r>
            <w:r w:rsidR="00522A6B">
              <w:rPr>
                <w:lang w:val="fr-SN"/>
              </w:rPr>
              <w:t>é</w:t>
            </w:r>
            <w:r w:rsidRPr="00F505DC">
              <w:rPr>
                <w:lang w:val="fr-SN"/>
              </w:rPr>
              <w:t>nagers</w:t>
            </w:r>
          </w:p>
        </w:tc>
        <w:tc>
          <w:tcPr>
            <w:tcW w:w="2187" w:type="dxa"/>
            <w:tcBorders>
              <w:top w:val="nil"/>
              <w:left w:val="nil"/>
              <w:bottom w:val="single" w:sz="4" w:space="0" w:color="auto"/>
              <w:right w:val="single" w:sz="4" w:space="0" w:color="auto"/>
            </w:tcBorders>
            <w:noWrap/>
            <w:vAlign w:val="bottom"/>
            <w:hideMark/>
          </w:tcPr>
          <w:p w14:paraId="35899F98" w14:textId="2125ECF0" w:rsidR="00AE2BF0" w:rsidRPr="00F505DC" w:rsidRDefault="00AE2BF0" w:rsidP="00AE2BF0">
            <w:pPr>
              <w:rPr>
                <w:lang w:val="fr-SN"/>
              </w:rPr>
            </w:pPr>
            <w:r w:rsidRPr="00F505DC">
              <w:rPr>
                <w:lang w:val="fr-SN"/>
              </w:rPr>
              <w:t>0,</w:t>
            </w:r>
            <w:r w:rsidR="001A3247">
              <w:rPr>
                <w:lang w:val="fr-SN"/>
              </w:rPr>
              <w:t>27</w:t>
            </w:r>
            <w:r w:rsidRPr="00F505DC">
              <w:rPr>
                <w:lang w:val="fr-SN"/>
              </w:rPr>
              <w:t>%</w:t>
            </w:r>
          </w:p>
        </w:tc>
        <w:tc>
          <w:tcPr>
            <w:tcW w:w="1284" w:type="dxa"/>
            <w:tcBorders>
              <w:top w:val="nil"/>
              <w:left w:val="nil"/>
              <w:bottom w:val="single" w:sz="4" w:space="0" w:color="auto"/>
              <w:right w:val="single" w:sz="4" w:space="0" w:color="auto"/>
            </w:tcBorders>
            <w:noWrap/>
            <w:vAlign w:val="bottom"/>
            <w:hideMark/>
          </w:tcPr>
          <w:p w14:paraId="7BBC6627" w14:textId="3AA545B7" w:rsidR="00AE2BF0" w:rsidRPr="00F505DC" w:rsidRDefault="00AE2BF0" w:rsidP="00AE2BF0">
            <w:pPr>
              <w:rPr>
                <w:lang w:val="fr-SN"/>
              </w:rPr>
            </w:pPr>
            <w:r>
              <w:rPr>
                <w:rFonts w:ascii="Aptos Narrow" w:hAnsi="Aptos Narrow"/>
                <w:color w:val="000000"/>
                <w:sz w:val="22"/>
              </w:rPr>
              <w:t>0,39%</w:t>
            </w:r>
          </w:p>
        </w:tc>
        <w:tc>
          <w:tcPr>
            <w:tcW w:w="1317" w:type="dxa"/>
            <w:tcBorders>
              <w:top w:val="nil"/>
              <w:left w:val="nil"/>
              <w:bottom w:val="single" w:sz="4" w:space="0" w:color="auto"/>
              <w:right w:val="single" w:sz="4" w:space="0" w:color="auto"/>
            </w:tcBorders>
            <w:noWrap/>
            <w:vAlign w:val="bottom"/>
            <w:hideMark/>
          </w:tcPr>
          <w:p w14:paraId="05A7E181" w14:textId="7A717D62" w:rsidR="00AE2BF0" w:rsidRPr="00F505DC" w:rsidRDefault="00AE2BF0" w:rsidP="00AE2BF0">
            <w:pPr>
              <w:rPr>
                <w:lang w:val="fr-SN"/>
              </w:rPr>
            </w:pPr>
            <w:r>
              <w:rPr>
                <w:rFonts w:ascii="Aptos Narrow" w:hAnsi="Aptos Narrow"/>
                <w:color w:val="000000"/>
                <w:sz w:val="22"/>
              </w:rPr>
              <w:t>0,12%</w:t>
            </w:r>
          </w:p>
        </w:tc>
      </w:tr>
      <w:tr w:rsidR="00AE2BF0" w:rsidRPr="00F505DC" w14:paraId="600EB699" w14:textId="77777777" w:rsidTr="00795372">
        <w:trPr>
          <w:trHeight w:val="224"/>
        </w:trPr>
        <w:tc>
          <w:tcPr>
            <w:tcW w:w="2608" w:type="dxa"/>
            <w:tcBorders>
              <w:top w:val="nil"/>
              <w:left w:val="single" w:sz="4" w:space="0" w:color="auto"/>
              <w:bottom w:val="single" w:sz="4" w:space="0" w:color="auto"/>
              <w:right w:val="single" w:sz="4" w:space="0" w:color="auto"/>
            </w:tcBorders>
            <w:noWrap/>
            <w:vAlign w:val="bottom"/>
            <w:hideMark/>
          </w:tcPr>
          <w:p w14:paraId="77C26D4F" w14:textId="77777777" w:rsidR="00AE2BF0" w:rsidRPr="00F505DC" w:rsidRDefault="00AE2BF0" w:rsidP="00AE2BF0">
            <w:pPr>
              <w:rPr>
                <w:lang w:val="fr-SN"/>
              </w:rPr>
            </w:pPr>
            <w:r w:rsidRPr="00F505DC">
              <w:rPr>
                <w:lang w:val="fr-SN"/>
              </w:rPr>
              <w:t>0504.VERRERIE VAISSELLE ET USTENSILES DE MÉNAGE</w:t>
            </w:r>
          </w:p>
        </w:tc>
        <w:tc>
          <w:tcPr>
            <w:tcW w:w="2172" w:type="dxa"/>
            <w:tcBorders>
              <w:top w:val="nil"/>
              <w:left w:val="nil"/>
              <w:bottom w:val="single" w:sz="4" w:space="0" w:color="auto"/>
              <w:right w:val="single" w:sz="4" w:space="0" w:color="auto"/>
            </w:tcBorders>
            <w:noWrap/>
            <w:vAlign w:val="bottom"/>
            <w:hideMark/>
          </w:tcPr>
          <w:p w14:paraId="78E86A0E" w14:textId="783F83C0" w:rsidR="00AE2BF0" w:rsidRPr="00F505DC" w:rsidRDefault="00AE2BF0" w:rsidP="00AE2BF0">
            <w:pPr>
              <w:rPr>
                <w:lang w:val="fr-SN"/>
              </w:rPr>
            </w:pPr>
            <w:r w:rsidRPr="00F505DC">
              <w:rPr>
                <w:lang w:val="fr-SN"/>
              </w:rPr>
              <w:t>Verrerie, vaisselle et ustensiles de m</w:t>
            </w:r>
            <w:r w:rsidR="00522A6B">
              <w:rPr>
                <w:lang w:val="fr-SN"/>
              </w:rPr>
              <w:t>é</w:t>
            </w:r>
            <w:r w:rsidRPr="00F505DC">
              <w:rPr>
                <w:lang w:val="fr-SN"/>
              </w:rPr>
              <w:t>nage</w:t>
            </w:r>
          </w:p>
        </w:tc>
        <w:tc>
          <w:tcPr>
            <w:tcW w:w="2187" w:type="dxa"/>
            <w:tcBorders>
              <w:top w:val="nil"/>
              <w:left w:val="nil"/>
              <w:bottom w:val="single" w:sz="4" w:space="0" w:color="auto"/>
              <w:right w:val="single" w:sz="4" w:space="0" w:color="auto"/>
            </w:tcBorders>
            <w:noWrap/>
            <w:vAlign w:val="bottom"/>
            <w:hideMark/>
          </w:tcPr>
          <w:p w14:paraId="07398CC2" w14:textId="46FF8469" w:rsidR="00AE2BF0" w:rsidRPr="00F505DC" w:rsidRDefault="00AE2BF0" w:rsidP="00AE2BF0">
            <w:pPr>
              <w:rPr>
                <w:lang w:val="fr-SN"/>
              </w:rPr>
            </w:pPr>
            <w:r w:rsidRPr="00F505DC">
              <w:rPr>
                <w:lang w:val="fr-SN"/>
              </w:rPr>
              <w:t>0,2</w:t>
            </w:r>
            <w:r w:rsidR="001A3247">
              <w:rPr>
                <w:lang w:val="fr-SN"/>
              </w:rPr>
              <w:t>1</w:t>
            </w:r>
            <w:r w:rsidRPr="00F505DC">
              <w:rPr>
                <w:lang w:val="fr-SN"/>
              </w:rPr>
              <w:t>%</w:t>
            </w:r>
          </w:p>
        </w:tc>
        <w:tc>
          <w:tcPr>
            <w:tcW w:w="1284" w:type="dxa"/>
            <w:tcBorders>
              <w:top w:val="nil"/>
              <w:left w:val="nil"/>
              <w:bottom w:val="single" w:sz="4" w:space="0" w:color="auto"/>
              <w:right w:val="single" w:sz="4" w:space="0" w:color="auto"/>
            </w:tcBorders>
            <w:noWrap/>
            <w:vAlign w:val="bottom"/>
            <w:hideMark/>
          </w:tcPr>
          <w:p w14:paraId="45D990B8" w14:textId="069B6FA8" w:rsidR="00AE2BF0" w:rsidRPr="00F505DC" w:rsidRDefault="00AE2BF0" w:rsidP="00AE2BF0">
            <w:pPr>
              <w:rPr>
                <w:lang w:val="fr-SN"/>
              </w:rPr>
            </w:pPr>
            <w:r>
              <w:rPr>
                <w:rFonts w:ascii="Aptos Narrow" w:hAnsi="Aptos Narrow"/>
                <w:color w:val="000000"/>
                <w:sz w:val="22"/>
              </w:rPr>
              <w:t>0,18%</w:t>
            </w:r>
          </w:p>
        </w:tc>
        <w:tc>
          <w:tcPr>
            <w:tcW w:w="1317" w:type="dxa"/>
            <w:tcBorders>
              <w:top w:val="nil"/>
              <w:left w:val="nil"/>
              <w:bottom w:val="single" w:sz="4" w:space="0" w:color="auto"/>
              <w:right w:val="single" w:sz="4" w:space="0" w:color="auto"/>
            </w:tcBorders>
            <w:noWrap/>
            <w:vAlign w:val="bottom"/>
            <w:hideMark/>
          </w:tcPr>
          <w:p w14:paraId="4691BD0F" w14:textId="56E6AD81" w:rsidR="00AE2BF0" w:rsidRPr="00F505DC" w:rsidRDefault="00AE2BF0" w:rsidP="00AE2BF0">
            <w:pPr>
              <w:rPr>
                <w:lang w:val="fr-SN"/>
              </w:rPr>
            </w:pPr>
            <w:r>
              <w:rPr>
                <w:rFonts w:ascii="Aptos Narrow" w:hAnsi="Aptos Narrow"/>
                <w:color w:val="000000"/>
                <w:sz w:val="22"/>
              </w:rPr>
              <w:t>-0,03%</w:t>
            </w:r>
          </w:p>
        </w:tc>
      </w:tr>
      <w:tr w:rsidR="00AE2BF0" w:rsidRPr="00F505DC" w14:paraId="72ED0960" w14:textId="77777777" w:rsidTr="00795372">
        <w:trPr>
          <w:trHeight w:val="224"/>
        </w:trPr>
        <w:tc>
          <w:tcPr>
            <w:tcW w:w="2608" w:type="dxa"/>
            <w:tcBorders>
              <w:top w:val="nil"/>
              <w:left w:val="single" w:sz="4" w:space="0" w:color="auto"/>
              <w:bottom w:val="single" w:sz="4" w:space="0" w:color="auto"/>
              <w:right w:val="single" w:sz="4" w:space="0" w:color="auto"/>
            </w:tcBorders>
            <w:noWrap/>
            <w:vAlign w:val="bottom"/>
            <w:hideMark/>
          </w:tcPr>
          <w:p w14:paraId="2F7FF6BB" w14:textId="77777777" w:rsidR="00AE2BF0" w:rsidRPr="00F505DC" w:rsidRDefault="00AE2BF0" w:rsidP="00AE2BF0">
            <w:pPr>
              <w:rPr>
                <w:lang w:val="fr-SN"/>
              </w:rPr>
            </w:pPr>
            <w:r w:rsidRPr="00F505DC">
              <w:rPr>
                <w:lang w:val="fr-SN"/>
              </w:rPr>
              <w:t>0505.OUTILS ET ÉQUIPEMENT POUR LA MAISON ET LE JARDIN</w:t>
            </w:r>
          </w:p>
        </w:tc>
        <w:tc>
          <w:tcPr>
            <w:tcW w:w="2172" w:type="dxa"/>
            <w:tcBorders>
              <w:top w:val="nil"/>
              <w:left w:val="nil"/>
              <w:bottom w:val="single" w:sz="4" w:space="0" w:color="auto"/>
              <w:right w:val="single" w:sz="4" w:space="0" w:color="auto"/>
            </w:tcBorders>
            <w:noWrap/>
            <w:vAlign w:val="bottom"/>
            <w:hideMark/>
          </w:tcPr>
          <w:p w14:paraId="5B293408" w14:textId="77777777" w:rsidR="00AE2BF0" w:rsidRPr="00F505DC" w:rsidRDefault="00AE2BF0" w:rsidP="00AE2BF0">
            <w:pPr>
              <w:rPr>
                <w:lang w:val="fr-SN"/>
              </w:rPr>
            </w:pPr>
            <w:r w:rsidRPr="00F505DC">
              <w:rPr>
                <w:lang w:val="fr-SN"/>
              </w:rPr>
              <w:t>Outillage et autre matériel pour la maison et le jardin</w:t>
            </w:r>
          </w:p>
        </w:tc>
        <w:tc>
          <w:tcPr>
            <w:tcW w:w="2187" w:type="dxa"/>
            <w:tcBorders>
              <w:top w:val="nil"/>
              <w:left w:val="nil"/>
              <w:bottom w:val="single" w:sz="4" w:space="0" w:color="auto"/>
              <w:right w:val="single" w:sz="4" w:space="0" w:color="auto"/>
            </w:tcBorders>
            <w:noWrap/>
            <w:vAlign w:val="bottom"/>
            <w:hideMark/>
          </w:tcPr>
          <w:p w14:paraId="56BDF76A" w14:textId="53878616" w:rsidR="00AE2BF0" w:rsidRPr="00F505DC" w:rsidRDefault="00AE2BF0" w:rsidP="00AE2BF0">
            <w:pPr>
              <w:rPr>
                <w:lang w:val="fr-SN"/>
              </w:rPr>
            </w:pPr>
            <w:r w:rsidRPr="00F505DC">
              <w:rPr>
                <w:lang w:val="fr-SN"/>
              </w:rPr>
              <w:t>0,1</w:t>
            </w:r>
            <w:r w:rsidR="001A3247">
              <w:rPr>
                <w:lang w:val="fr-SN"/>
              </w:rPr>
              <w:t>0</w:t>
            </w:r>
            <w:r w:rsidRPr="00F505DC">
              <w:rPr>
                <w:lang w:val="fr-SN"/>
              </w:rPr>
              <w:t>%</w:t>
            </w:r>
          </w:p>
        </w:tc>
        <w:tc>
          <w:tcPr>
            <w:tcW w:w="1284" w:type="dxa"/>
            <w:tcBorders>
              <w:top w:val="nil"/>
              <w:left w:val="nil"/>
              <w:bottom w:val="single" w:sz="4" w:space="0" w:color="auto"/>
              <w:right w:val="single" w:sz="4" w:space="0" w:color="auto"/>
            </w:tcBorders>
            <w:noWrap/>
            <w:vAlign w:val="bottom"/>
            <w:hideMark/>
          </w:tcPr>
          <w:p w14:paraId="50C9758C" w14:textId="0193E25E" w:rsidR="00AE2BF0" w:rsidRPr="00F505DC" w:rsidRDefault="00AE2BF0" w:rsidP="00AE2BF0">
            <w:pPr>
              <w:rPr>
                <w:lang w:val="fr-SN"/>
              </w:rPr>
            </w:pPr>
            <w:r>
              <w:rPr>
                <w:rFonts w:ascii="Aptos Narrow" w:hAnsi="Aptos Narrow"/>
                <w:color w:val="000000"/>
                <w:sz w:val="22"/>
              </w:rPr>
              <w:t>0,16%</w:t>
            </w:r>
          </w:p>
        </w:tc>
        <w:tc>
          <w:tcPr>
            <w:tcW w:w="1317" w:type="dxa"/>
            <w:tcBorders>
              <w:top w:val="nil"/>
              <w:left w:val="nil"/>
              <w:bottom w:val="single" w:sz="4" w:space="0" w:color="auto"/>
              <w:right w:val="single" w:sz="4" w:space="0" w:color="auto"/>
            </w:tcBorders>
            <w:noWrap/>
            <w:vAlign w:val="bottom"/>
            <w:hideMark/>
          </w:tcPr>
          <w:p w14:paraId="5BAF661B" w14:textId="777579BE" w:rsidR="00AE2BF0" w:rsidRPr="00F505DC" w:rsidRDefault="00AE2BF0" w:rsidP="00AE2BF0">
            <w:pPr>
              <w:rPr>
                <w:lang w:val="fr-SN"/>
              </w:rPr>
            </w:pPr>
            <w:r>
              <w:rPr>
                <w:rFonts w:ascii="Aptos Narrow" w:hAnsi="Aptos Narrow"/>
                <w:color w:val="000000"/>
                <w:sz w:val="22"/>
              </w:rPr>
              <w:t>0,07%</w:t>
            </w:r>
          </w:p>
        </w:tc>
      </w:tr>
      <w:tr w:rsidR="00AE2BF0" w:rsidRPr="00F505DC" w14:paraId="123A3409" w14:textId="77777777" w:rsidTr="00795372">
        <w:trPr>
          <w:trHeight w:val="224"/>
        </w:trPr>
        <w:tc>
          <w:tcPr>
            <w:tcW w:w="2608" w:type="dxa"/>
            <w:tcBorders>
              <w:top w:val="nil"/>
              <w:left w:val="single" w:sz="4" w:space="0" w:color="auto"/>
              <w:bottom w:val="single" w:sz="4" w:space="0" w:color="auto"/>
              <w:right w:val="single" w:sz="4" w:space="0" w:color="auto"/>
            </w:tcBorders>
            <w:noWrap/>
            <w:vAlign w:val="bottom"/>
            <w:hideMark/>
          </w:tcPr>
          <w:p w14:paraId="0A8D937A" w14:textId="77777777" w:rsidR="00AE2BF0" w:rsidRPr="00F505DC" w:rsidRDefault="00AE2BF0" w:rsidP="00AE2BF0">
            <w:pPr>
              <w:rPr>
                <w:lang w:val="fr-SN"/>
              </w:rPr>
            </w:pPr>
            <w:r w:rsidRPr="00F505DC">
              <w:rPr>
                <w:lang w:val="fr-SN"/>
              </w:rPr>
              <w:t>0506.BIENS ET SERVICES POUR L'ENTRETIEN COURANT DU MÉNAGE</w:t>
            </w:r>
          </w:p>
        </w:tc>
        <w:tc>
          <w:tcPr>
            <w:tcW w:w="2172" w:type="dxa"/>
            <w:tcBorders>
              <w:top w:val="nil"/>
              <w:left w:val="nil"/>
              <w:bottom w:val="single" w:sz="4" w:space="0" w:color="auto"/>
              <w:right w:val="single" w:sz="4" w:space="0" w:color="auto"/>
            </w:tcBorders>
            <w:noWrap/>
            <w:vAlign w:val="bottom"/>
            <w:hideMark/>
          </w:tcPr>
          <w:p w14:paraId="745F5C80" w14:textId="77777777" w:rsidR="00AE2BF0" w:rsidRPr="00F505DC" w:rsidRDefault="00AE2BF0" w:rsidP="00AE2BF0">
            <w:pPr>
              <w:rPr>
                <w:lang w:val="fr-SN"/>
              </w:rPr>
            </w:pPr>
            <w:r w:rsidRPr="00F505DC">
              <w:rPr>
                <w:lang w:val="fr-SN"/>
              </w:rPr>
              <w:t>Biens et services liés à l'entretien courant du foyer</w:t>
            </w:r>
          </w:p>
        </w:tc>
        <w:tc>
          <w:tcPr>
            <w:tcW w:w="2187" w:type="dxa"/>
            <w:tcBorders>
              <w:top w:val="nil"/>
              <w:left w:val="nil"/>
              <w:bottom w:val="single" w:sz="4" w:space="0" w:color="auto"/>
              <w:right w:val="single" w:sz="4" w:space="0" w:color="auto"/>
            </w:tcBorders>
            <w:noWrap/>
            <w:vAlign w:val="bottom"/>
            <w:hideMark/>
          </w:tcPr>
          <w:p w14:paraId="096C88A6" w14:textId="112FE0F2" w:rsidR="00AE2BF0" w:rsidRPr="00F505DC" w:rsidRDefault="00AE2BF0" w:rsidP="00AE2BF0">
            <w:pPr>
              <w:rPr>
                <w:lang w:val="fr-SN"/>
              </w:rPr>
            </w:pPr>
            <w:r w:rsidRPr="00F505DC">
              <w:rPr>
                <w:lang w:val="fr-SN"/>
              </w:rPr>
              <w:t>2,8</w:t>
            </w:r>
            <w:r w:rsidR="001A3247">
              <w:rPr>
                <w:lang w:val="fr-SN"/>
              </w:rPr>
              <w:t>3</w:t>
            </w:r>
            <w:r w:rsidRPr="00F505DC">
              <w:rPr>
                <w:lang w:val="fr-SN"/>
              </w:rPr>
              <w:t>%</w:t>
            </w:r>
          </w:p>
        </w:tc>
        <w:tc>
          <w:tcPr>
            <w:tcW w:w="1284" w:type="dxa"/>
            <w:tcBorders>
              <w:top w:val="nil"/>
              <w:left w:val="nil"/>
              <w:bottom w:val="single" w:sz="4" w:space="0" w:color="auto"/>
              <w:right w:val="single" w:sz="4" w:space="0" w:color="auto"/>
            </w:tcBorders>
            <w:noWrap/>
            <w:vAlign w:val="bottom"/>
            <w:hideMark/>
          </w:tcPr>
          <w:p w14:paraId="23C2FC62" w14:textId="752A367E" w:rsidR="00AE2BF0" w:rsidRPr="00F505DC" w:rsidRDefault="00AE2BF0" w:rsidP="00AE2BF0">
            <w:pPr>
              <w:rPr>
                <w:lang w:val="fr-SN"/>
              </w:rPr>
            </w:pPr>
            <w:r>
              <w:rPr>
                <w:rFonts w:ascii="Aptos Narrow" w:hAnsi="Aptos Narrow"/>
                <w:color w:val="000000"/>
                <w:sz w:val="22"/>
              </w:rPr>
              <w:t>2,11%</w:t>
            </w:r>
          </w:p>
        </w:tc>
        <w:tc>
          <w:tcPr>
            <w:tcW w:w="1317" w:type="dxa"/>
            <w:tcBorders>
              <w:top w:val="nil"/>
              <w:left w:val="nil"/>
              <w:bottom w:val="single" w:sz="4" w:space="0" w:color="auto"/>
              <w:right w:val="single" w:sz="4" w:space="0" w:color="auto"/>
            </w:tcBorders>
            <w:noWrap/>
            <w:vAlign w:val="bottom"/>
            <w:hideMark/>
          </w:tcPr>
          <w:p w14:paraId="0A58F84C" w14:textId="23072D61" w:rsidR="00AE2BF0" w:rsidRPr="00F505DC" w:rsidRDefault="00AE2BF0" w:rsidP="00AE2BF0">
            <w:pPr>
              <w:rPr>
                <w:lang w:val="fr-SN"/>
              </w:rPr>
            </w:pPr>
            <w:r>
              <w:rPr>
                <w:rFonts w:ascii="Aptos Narrow" w:hAnsi="Aptos Narrow"/>
                <w:color w:val="000000"/>
                <w:sz w:val="22"/>
              </w:rPr>
              <w:t>-0,72%</w:t>
            </w:r>
          </w:p>
        </w:tc>
      </w:tr>
    </w:tbl>
    <w:p w14:paraId="5DEAE821" w14:textId="77777777" w:rsidR="00FE18F6" w:rsidRPr="00F505DC" w:rsidRDefault="00FE18F6" w:rsidP="00FE18F6">
      <w:pPr>
        <w:rPr>
          <w:lang w:val="fr-SN"/>
        </w:rPr>
      </w:pPr>
    </w:p>
    <w:p w14:paraId="56E80469" w14:textId="31441C46" w:rsidR="00FE18F6" w:rsidRPr="001B340F" w:rsidRDefault="00FE18F6" w:rsidP="00FE18F6">
      <w:pPr>
        <w:rPr>
          <w:i/>
          <w:iCs/>
          <w:lang w:val="fr-SN"/>
        </w:rPr>
      </w:pPr>
      <w:r w:rsidRPr="001B340F">
        <w:rPr>
          <w:i/>
          <w:iCs/>
          <w:lang w:val="fr-SN"/>
        </w:rPr>
        <w:t xml:space="preserve">Source : ANSD, pondération IHPC 2014 et </w:t>
      </w:r>
      <w:r w:rsidR="00023158">
        <w:rPr>
          <w:i/>
          <w:iCs/>
          <w:lang w:val="fr-SN"/>
        </w:rPr>
        <w:t>2021</w:t>
      </w:r>
      <w:r w:rsidRPr="001B340F">
        <w:rPr>
          <w:i/>
          <w:iCs/>
          <w:lang w:val="fr-SN"/>
        </w:rPr>
        <w:t>.</w:t>
      </w:r>
    </w:p>
    <w:p w14:paraId="1DFE2004" w14:textId="77777777" w:rsidR="00FE18F6" w:rsidRPr="00F974FD" w:rsidRDefault="00FE18F6">
      <w:pPr>
        <w:pStyle w:val="Paragraphedeliste"/>
        <w:numPr>
          <w:ilvl w:val="0"/>
          <w:numId w:val="20"/>
        </w:numPr>
        <w:rPr>
          <w:b/>
          <w:bCs/>
          <w:lang w:val="fr-SN"/>
        </w:rPr>
      </w:pPr>
      <w:r w:rsidRPr="00F974FD">
        <w:rPr>
          <w:b/>
          <w:bCs/>
          <w:lang w:val="fr-SN"/>
        </w:rPr>
        <w:t>Santé</w:t>
      </w:r>
    </w:p>
    <w:bookmarkEnd w:id="60"/>
    <w:p w14:paraId="391EF433" w14:textId="4182A3B1" w:rsidR="00FE18F6" w:rsidRPr="00F505DC" w:rsidRDefault="00FE18F6" w:rsidP="00FE18F6">
      <w:pPr>
        <w:rPr>
          <w:lang w:val="fr-SN"/>
        </w:rPr>
      </w:pPr>
      <w:r w:rsidRPr="00F505DC">
        <w:rPr>
          <w:lang w:val="fr-SN"/>
        </w:rPr>
        <w:t>La part des dépenses des ménages allouée à la division "Santé" a augmenté de 0,</w:t>
      </w:r>
      <w:r w:rsidR="00094077">
        <w:rPr>
          <w:lang w:val="fr-SN"/>
        </w:rPr>
        <w:t>67</w:t>
      </w:r>
      <w:r w:rsidRPr="00F505DC">
        <w:rPr>
          <w:lang w:val="fr-SN"/>
        </w:rPr>
        <w:t xml:space="preserve"> point de pourcentage entre 2014 et </w:t>
      </w:r>
      <w:r w:rsidR="00023158">
        <w:rPr>
          <w:lang w:val="fr-SN"/>
        </w:rPr>
        <w:t>2021</w:t>
      </w:r>
      <w:r w:rsidRPr="00F505DC">
        <w:rPr>
          <w:lang w:val="fr-SN"/>
        </w:rPr>
        <w:t>, passant de 3,5</w:t>
      </w:r>
      <w:r w:rsidR="001A3247">
        <w:rPr>
          <w:lang w:val="fr-SN"/>
        </w:rPr>
        <w:t>3</w:t>
      </w:r>
      <w:r w:rsidRPr="00F505DC">
        <w:rPr>
          <w:lang w:val="fr-SN"/>
        </w:rPr>
        <w:t xml:space="preserve"> % à 4,2</w:t>
      </w:r>
      <w:r w:rsidR="00094077">
        <w:rPr>
          <w:lang w:val="fr-SN"/>
        </w:rPr>
        <w:t>1</w:t>
      </w:r>
      <w:r w:rsidRPr="00F505DC">
        <w:rPr>
          <w:lang w:val="fr-SN"/>
        </w:rPr>
        <w:t xml:space="preserve"> %. Cette progression est principalement due à la hausse des "Médicaments et produits de santé", qui a augmenté de 0,</w:t>
      </w:r>
      <w:r w:rsidR="00094077">
        <w:rPr>
          <w:lang w:val="fr-SN"/>
        </w:rPr>
        <w:t>26</w:t>
      </w:r>
      <w:r w:rsidRPr="00F505DC">
        <w:rPr>
          <w:lang w:val="fr-SN"/>
        </w:rPr>
        <w:t xml:space="preserve"> point, passant de 2,1</w:t>
      </w:r>
      <w:r w:rsidR="001A3247">
        <w:rPr>
          <w:lang w:val="fr-SN"/>
        </w:rPr>
        <w:t>3</w:t>
      </w:r>
      <w:r w:rsidRPr="00F505DC">
        <w:rPr>
          <w:lang w:val="fr-SN"/>
        </w:rPr>
        <w:t xml:space="preserve"> % à 2,4</w:t>
      </w:r>
      <w:r w:rsidR="001A3247">
        <w:rPr>
          <w:lang w:val="fr-SN"/>
        </w:rPr>
        <w:t>0</w:t>
      </w:r>
      <w:r w:rsidRPr="00F505DC">
        <w:rPr>
          <w:lang w:val="fr-SN"/>
        </w:rPr>
        <w:t xml:space="preserve"> %. En revanche, les "Services de soins externes" ont diminué de 0,</w:t>
      </w:r>
      <w:r w:rsidR="00094077">
        <w:rPr>
          <w:lang w:val="fr-SN"/>
        </w:rPr>
        <w:t>47</w:t>
      </w:r>
      <w:r w:rsidRPr="00F505DC">
        <w:rPr>
          <w:lang w:val="fr-SN"/>
        </w:rPr>
        <w:t xml:space="preserve"> point, passant de 0,</w:t>
      </w:r>
      <w:r w:rsidR="001A3247">
        <w:rPr>
          <w:lang w:val="fr-SN"/>
        </w:rPr>
        <w:t>76</w:t>
      </w:r>
      <w:r w:rsidRPr="00F505DC">
        <w:rPr>
          <w:lang w:val="fr-SN"/>
        </w:rPr>
        <w:t xml:space="preserve"> % à 0,</w:t>
      </w:r>
      <w:r w:rsidR="00094077">
        <w:rPr>
          <w:lang w:val="fr-SN"/>
        </w:rPr>
        <w:t>29</w:t>
      </w:r>
      <w:r w:rsidRPr="00F505DC">
        <w:rPr>
          <w:lang w:val="fr-SN"/>
        </w:rPr>
        <w:t xml:space="preserve"> %, tandis que les "Services de soins hospitaliers" ont progressé de 0,2</w:t>
      </w:r>
      <w:r w:rsidR="00094077">
        <w:rPr>
          <w:lang w:val="fr-SN"/>
        </w:rPr>
        <w:t>4</w:t>
      </w:r>
      <w:r w:rsidRPr="00F505DC">
        <w:rPr>
          <w:lang w:val="fr-SN"/>
        </w:rPr>
        <w:t xml:space="preserve"> point, passant de 0,6</w:t>
      </w:r>
      <w:r w:rsidR="001A3247">
        <w:rPr>
          <w:lang w:val="fr-SN"/>
        </w:rPr>
        <w:t>4</w:t>
      </w:r>
      <w:r w:rsidRPr="00F505DC">
        <w:rPr>
          <w:lang w:val="fr-SN"/>
        </w:rPr>
        <w:t xml:space="preserve"> % à 0,</w:t>
      </w:r>
      <w:r w:rsidR="00094077">
        <w:rPr>
          <w:lang w:val="fr-SN"/>
        </w:rPr>
        <w:t>88</w:t>
      </w:r>
      <w:r w:rsidRPr="00F505DC">
        <w:rPr>
          <w:lang w:val="fr-SN"/>
        </w:rPr>
        <w:t xml:space="preserve"> %.</w:t>
      </w:r>
    </w:p>
    <w:p w14:paraId="738B0B96" w14:textId="3D2E7636" w:rsidR="00FE18F6" w:rsidRPr="001B340F" w:rsidRDefault="00FE18F6" w:rsidP="00FE18F6">
      <w:pPr>
        <w:pStyle w:val="Lgende"/>
        <w:keepNext/>
        <w:rPr>
          <w:b/>
          <w:bCs/>
          <w:i w:val="0"/>
          <w:iCs w:val="0"/>
          <w:sz w:val="28"/>
          <w:szCs w:val="28"/>
        </w:rPr>
      </w:pPr>
      <w:bookmarkStart w:id="71" w:name="_Toc180927600"/>
      <w:r w:rsidRPr="001B340F">
        <w:rPr>
          <w:sz w:val="28"/>
          <w:szCs w:val="28"/>
        </w:rPr>
        <w:t xml:space="preserve">Tableau </w:t>
      </w:r>
      <w:r w:rsidRPr="001B340F">
        <w:rPr>
          <w:b/>
          <w:bCs/>
          <w:i w:val="0"/>
          <w:iCs w:val="0"/>
          <w:sz w:val="28"/>
          <w:szCs w:val="28"/>
        </w:rPr>
        <w:fldChar w:fldCharType="begin"/>
      </w:r>
      <w:r w:rsidRPr="001B340F">
        <w:rPr>
          <w:sz w:val="28"/>
          <w:szCs w:val="28"/>
        </w:rPr>
        <w:instrText xml:space="preserve"> SEQ Tableau \* ARABIC </w:instrText>
      </w:r>
      <w:r w:rsidRPr="001B340F">
        <w:rPr>
          <w:b/>
          <w:bCs/>
          <w:i w:val="0"/>
          <w:iCs w:val="0"/>
          <w:sz w:val="28"/>
          <w:szCs w:val="28"/>
        </w:rPr>
        <w:fldChar w:fldCharType="separate"/>
      </w:r>
      <w:r w:rsidR="00427D57">
        <w:rPr>
          <w:noProof/>
          <w:sz w:val="28"/>
          <w:szCs w:val="28"/>
        </w:rPr>
        <w:t>6</w:t>
      </w:r>
      <w:r w:rsidRPr="001B340F">
        <w:rPr>
          <w:b/>
          <w:bCs/>
          <w:i w:val="0"/>
          <w:iCs w:val="0"/>
          <w:sz w:val="28"/>
          <w:szCs w:val="28"/>
        </w:rPr>
        <w:fldChar w:fldCharType="end"/>
      </w:r>
      <w:r w:rsidRPr="001B340F">
        <w:rPr>
          <w:sz w:val="28"/>
          <w:szCs w:val="28"/>
        </w:rPr>
        <w:t xml:space="preserve"> : </w:t>
      </w:r>
      <w:r w:rsidRPr="001B340F">
        <w:rPr>
          <w:sz w:val="28"/>
          <w:szCs w:val="28"/>
          <w:lang w:val="fr-SN"/>
        </w:rPr>
        <w:t>Structure de consommation (en %) en dépense de santé entre 2014 et 2021</w:t>
      </w:r>
      <w:bookmarkEnd w:id="71"/>
    </w:p>
    <w:tbl>
      <w:tblPr>
        <w:tblW w:w="9257" w:type="dxa"/>
        <w:jc w:val="center"/>
        <w:tblCellMar>
          <w:left w:w="70" w:type="dxa"/>
          <w:right w:w="70" w:type="dxa"/>
        </w:tblCellMar>
        <w:tblLook w:val="04A0" w:firstRow="1" w:lastRow="0" w:firstColumn="1" w:lastColumn="0" w:noHBand="0" w:noVBand="1"/>
      </w:tblPr>
      <w:tblGrid>
        <w:gridCol w:w="2593"/>
        <w:gridCol w:w="2711"/>
        <w:gridCol w:w="1313"/>
        <w:gridCol w:w="1313"/>
        <w:gridCol w:w="1327"/>
      </w:tblGrid>
      <w:tr w:rsidR="00A05744" w:rsidRPr="00F505DC" w14:paraId="6F242E4E" w14:textId="77777777" w:rsidTr="00A05744">
        <w:trPr>
          <w:trHeight w:val="250"/>
          <w:jc w:val="center"/>
        </w:trPr>
        <w:tc>
          <w:tcPr>
            <w:tcW w:w="2593" w:type="dxa"/>
            <w:tcBorders>
              <w:top w:val="single" w:sz="4" w:space="0" w:color="auto"/>
              <w:left w:val="single" w:sz="4" w:space="0" w:color="auto"/>
              <w:bottom w:val="single" w:sz="4" w:space="0" w:color="auto"/>
              <w:right w:val="single" w:sz="4" w:space="0" w:color="auto"/>
            </w:tcBorders>
            <w:noWrap/>
            <w:hideMark/>
          </w:tcPr>
          <w:p w14:paraId="38486923" w14:textId="269E2A1F" w:rsidR="00FE18F6" w:rsidRPr="00F505DC" w:rsidRDefault="00FE18F6" w:rsidP="00427D57">
            <w:pPr>
              <w:rPr>
                <w:lang w:val="fr-SN"/>
              </w:rPr>
            </w:pPr>
            <w:r w:rsidRPr="00F505DC">
              <w:rPr>
                <w:lang w:val="fr-SN"/>
              </w:rPr>
              <w:t>Nomenclature 202</w:t>
            </w:r>
            <w:r w:rsidR="00842DD4">
              <w:rPr>
                <w:lang w:val="fr-SN"/>
              </w:rPr>
              <w:t>1</w:t>
            </w:r>
          </w:p>
        </w:tc>
        <w:tc>
          <w:tcPr>
            <w:tcW w:w="2711" w:type="dxa"/>
            <w:tcBorders>
              <w:top w:val="single" w:sz="4" w:space="0" w:color="auto"/>
              <w:left w:val="nil"/>
              <w:bottom w:val="single" w:sz="4" w:space="0" w:color="auto"/>
              <w:right w:val="single" w:sz="4" w:space="0" w:color="auto"/>
            </w:tcBorders>
            <w:noWrap/>
            <w:hideMark/>
          </w:tcPr>
          <w:p w14:paraId="4CF63011" w14:textId="77777777" w:rsidR="00FE18F6" w:rsidRPr="00F505DC" w:rsidRDefault="00FE18F6" w:rsidP="00427D57">
            <w:pPr>
              <w:rPr>
                <w:lang w:val="fr-SN"/>
              </w:rPr>
            </w:pPr>
            <w:r w:rsidRPr="00F505DC">
              <w:rPr>
                <w:lang w:val="fr-SN"/>
              </w:rPr>
              <w:t>Nomenclature 2014</w:t>
            </w:r>
          </w:p>
        </w:tc>
        <w:tc>
          <w:tcPr>
            <w:tcW w:w="1313" w:type="dxa"/>
            <w:tcBorders>
              <w:top w:val="single" w:sz="4" w:space="0" w:color="auto"/>
              <w:left w:val="nil"/>
              <w:bottom w:val="single" w:sz="4" w:space="0" w:color="auto"/>
              <w:right w:val="single" w:sz="4" w:space="0" w:color="auto"/>
            </w:tcBorders>
            <w:noWrap/>
            <w:hideMark/>
          </w:tcPr>
          <w:p w14:paraId="1B9ED98A" w14:textId="77777777" w:rsidR="00FE18F6" w:rsidRPr="00F505DC" w:rsidRDefault="00FE18F6" w:rsidP="00427D57">
            <w:pPr>
              <w:rPr>
                <w:lang w:val="fr-SN"/>
              </w:rPr>
            </w:pPr>
            <w:r w:rsidRPr="00F505DC">
              <w:rPr>
                <w:lang w:val="fr-SN"/>
              </w:rPr>
              <w:t>Pondération 2014</w:t>
            </w:r>
          </w:p>
        </w:tc>
        <w:tc>
          <w:tcPr>
            <w:tcW w:w="1313" w:type="dxa"/>
            <w:tcBorders>
              <w:top w:val="single" w:sz="4" w:space="0" w:color="auto"/>
              <w:left w:val="nil"/>
              <w:bottom w:val="single" w:sz="4" w:space="0" w:color="auto"/>
              <w:right w:val="single" w:sz="4" w:space="0" w:color="auto"/>
            </w:tcBorders>
            <w:noWrap/>
            <w:hideMark/>
          </w:tcPr>
          <w:p w14:paraId="380C430C" w14:textId="77777777" w:rsidR="00FE18F6" w:rsidRPr="00F505DC" w:rsidRDefault="00FE18F6" w:rsidP="00427D57">
            <w:pPr>
              <w:rPr>
                <w:lang w:val="fr-SN"/>
              </w:rPr>
            </w:pPr>
            <w:r w:rsidRPr="00F505DC">
              <w:rPr>
                <w:lang w:val="fr-SN"/>
              </w:rPr>
              <w:t>Pondération</w:t>
            </w:r>
          </w:p>
          <w:p w14:paraId="4974FAE0" w14:textId="77777777" w:rsidR="00FE18F6" w:rsidRPr="00F505DC" w:rsidRDefault="00FE18F6" w:rsidP="00427D57">
            <w:pPr>
              <w:rPr>
                <w:lang w:val="fr-SN"/>
              </w:rPr>
            </w:pPr>
            <w:r w:rsidRPr="00F505DC">
              <w:rPr>
                <w:lang w:val="fr-SN"/>
              </w:rPr>
              <w:t>202</w:t>
            </w:r>
            <w:r>
              <w:rPr>
                <w:lang w:val="fr-SN"/>
              </w:rPr>
              <w:t>1</w:t>
            </w:r>
          </w:p>
        </w:tc>
        <w:tc>
          <w:tcPr>
            <w:tcW w:w="1327" w:type="dxa"/>
            <w:tcBorders>
              <w:top w:val="single" w:sz="4" w:space="0" w:color="auto"/>
              <w:left w:val="nil"/>
              <w:bottom w:val="single" w:sz="4" w:space="0" w:color="auto"/>
              <w:right w:val="single" w:sz="4" w:space="0" w:color="auto"/>
            </w:tcBorders>
            <w:noWrap/>
            <w:hideMark/>
          </w:tcPr>
          <w:p w14:paraId="27C94336" w14:textId="77777777" w:rsidR="00FE18F6" w:rsidRPr="00F505DC" w:rsidRDefault="00FE18F6" w:rsidP="00427D57">
            <w:pPr>
              <w:rPr>
                <w:lang w:val="fr-SN"/>
              </w:rPr>
            </w:pPr>
            <w:r w:rsidRPr="00F505DC">
              <w:rPr>
                <w:lang w:val="fr-SN"/>
              </w:rPr>
              <w:t>Variation en point de pourcentage</w:t>
            </w:r>
          </w:p>
        </w:tc>
      </w:tr>
      <w:tr w:rsidR="00A05744" w:rsidRPr="00F505DC" w14:paraId="1D5D0D23" w14:textId="77777777" w:rsidTr="00A05744">
        <w:trPr>
          <w:trHeight w:val="250"/>
          <w:jc w:val="center"/>
        </w:trPr>
        <w:tc>
          <w:tcPr>
            <w:tcW w:w="2593" w:type="dxa"/>
            <w:tcBorders>
              <w:top w:val="single" w:sz="4" w:space="0" w:color="auto"/>
              <w:left w:val="single" w:sz="4" w:space="0" w:color="auto"/>
              <w:bottom w:val="single" w:sz="4" w:space="0" w:color="auto"/>
              <w:right w:val="single" w:sz="4" w:space="0" w:color="auto"/>
            </w:tcBorders>
            <w:noWrap/>
            <w:vAlign w:val="bottom"/>
            <w:hideMark/>
          </w:tcPr>
          <w:p w14:paraId="5A114F4F" w14:textId="77777777" w:rsidR="00094077" w:rsidRPr="00F505DC" w:rsidRDefault="00094077" w:rsidP="00094077">
            <w:pPr>
              <w:rPr>
                <w:b/>
                <w:bCs/>
                <w:lang w:val="fr-SN"/>
              </w:rPr>
            </w:pPr>
            <w:r w:rsidRPr="00F505DC">
              <w:rPr>
                <w:b/>
                <w:bCs/>
                <w:lang w:val="fr-SN"/>
              </w:rPr>
              <w:t>06.SANTÉ</w:t>
            </w:r>
          </w:p>
        </w:tc>
        <w:tc>
          <w:tcPr>
            <w:tcW w:w="2711" w:type="dxa"/>
            <w:tcBorders>
              <w:top w:val="single" w:sz="4" w:space="0" w:color="auto"/>
              <w:left w:val="nil"/>
              <w:bottom w:val="single" w:sz="4" w:space="0" w:color="auto"/>
              <w:right w:val="single" w:sz="4" w:space="0" w:color="auto"/>
            </w:tcBorders>
            <w:noWrap/>
            <w:vAlign w:val="bottom"/>
            <w:hideMark/>
          </w:tcPr>
          <w:p w14:paraId="651C75F8" w14:textId="77777777" w:rsidR="00094077" w:rsidRPr="00F505DC" w:rsidRDefault="00094077" w:rsidP="00094077">
            <w:pPr>
              <w:rPr>
                <w:b/>
                <w:bCs/>
                <w:lang w:val="fr-SN"/>
              </w:rPr>
            </w:pPr>
            <w:r w:rsidRPr="00F505DC">
              <w:rPr>
                <w:b/>
                <w:bCs/>
                <w:lang w:val="fr-SN"/>
              </w:rPr>
              <w:t>Santé</w:t>
            </w:r>
          </w:p>
        </w:tc>
        <w:tc>
          <w:tcPr>
            <w:tcW w:w="1313" w:type="dxa"/>
            <w:tcBorders>
              <w:top w:val="single" w:sz="4" w:space="0" w:color="auto"/>
              <w:left w:val="nil"/>
              <w:bottom w:val="single" w:sz="4" w:space="0" w:color="auto"/>
              <w:right w:val="single" w:sz="4" w:space="0" w:color="auto"/>
            </w:tcBorders>
            <w:noWrap/>
            <w:vAlign w:val="bottom"/>
            <w:hideMark/>
          </w:tcPr>
          <w:p w14:paraId="0FE696FE" w14:textId="2F68CC01" w:rsidR="00094077" w:rsidRPr="00F505DC" w:rsidRDefault="00094077" w:rsidP="00094077">
            <w:pPr>
              <w:rPr>
                <w:b/>
                <w:bCs/>
                <w:lang w:val="fr-SN"/>
              </w:rPr>
            </w:pPr>
            <w:r w:rsidRPr="00F505DC">
              <w:rPr>
                <w:b/>
                <w:bCs/>
                <w:lang w:val="fr-SN"/>
              </w:rPr>
              <w:t>3,5</w:t>
            </w:r>
            <w:r w:rsidR="001A3247">
              <w:rPr>
                <w:b/>
                <w:bCs/>
                <w:lang w:val="fr-SN"/>
              </w:rPr>
              <w:t>3</w:t>
            </w:r>
            <w:r w:rsidRPr="00F505DC">
              <w:rPr>
                <w:b/>
                <w:bCs/>
                <w:lang w:val="fr-SN"/>
              </w:rPr>
              <w:t>%</w:t>
            </w:r>
          </w:p>
        </w:tc>
        <w:tc>
          <w:tcPr>
            <w:tcW w:w="1313" w:type="dxa"/>
            <w:tcBorders>
              <w:top w:val="single" w:sz="4" w:space="0" w:color="auto"/>
              <w:left w:val="nil"/>
              <w:bottom w:val="single" w:sz="4" w:space="0" w:color="auto"/>
              <w:right w:val="single" w:sz="4" w:space="0" w:color="auto"/>
            </w:tcBorders>
            <w:noWrap/>
            <w:hideMark/>
          </w:tcPr>
          <w:p w14:paraId="1C3B5755" w14:textId="3371F38A" w:rsidR="00094077" w:rsidRPr="00094077" w:rsidRDefault="00094077" w:rsidP="00094077">
            <w:pPr>
              <w:rPr>
                <w:b/>
                <w:bCs/>
                <w:lang w:val="fr-SN"/>
              </w:rPr>
            </w:pPr>
            <w:r w:rsidRPr="00094077">
              <w:rPr>
                <w:b/>
                <w:bCs/>
              </w:rPr>
              <w:t>4,21%</w:t>
            </w:r>
          </w:p>
        </w:tc>
        <w:tc>
          <w:tcPr>
            <w:tcW w:w="1327" w:type="dxa"/>
            <w:tcBorders>
              <w:top w:val="single" w:sz="4" w:space="0" w:color="auto"/>
              <w:left w:val="nil"/>
              <w:bottom w:val="single" w:sz="4" w:space="0" w:color="auto"/>
              <w:right w:val="single" w:sz="4" w:space="0" w:color="auto"/>
            </w:tcBorders>
            <w:noWrap/>
            <w:hideMark/>
          </w:tcPr>
          <w:p w14:paraId="2B920F2D" w14:textId="3F4F3A67" w:rsidR="00094077" w:rsidRPr="00094077" w:rsidRDefault="00094077" w:rsidP="00094077">
            <w:pPr>
              <w:rPr>
                <w:b/>
                <w:bCs/>
                <w:lang w:val="fr-SN"/>
              </w:rPr>
            </w:pPr>
            <w:r w:rsidRPr="00094077">
              <w:rPr>
                <w:b/>
                <w:bCs/>
              </w:rPr>
              <w:t>0,67%</w:t>
            </w:r>
          </w:p>
        </w:tc>
      </w:tr>
      <w:tr w:rsidR="00A05744" w:rsidRPr="00F505DC" w14:paraId="330BA3F3" w14:textId="77777777" w:rsidTr="00A05744">
        <w:trPr>
          <w:trHeight w:val="250"/>
          <w:jc w:val="center"/>
        </w:trPr>
        <w:tc>
          <w:tcPr>
            <w:tcW w:w="2593" w:type="dxa"/>
            <w:tcBorders>
              <w:top w:val="nil"/>
              <w:left w:val="single" w:sz="4" w:space="0" w:color="auto"/>
              <w:bottom w:val="single" w:sz="4" w:space="0" w:color="auto"/>
              <w:right w:val="single" w:sz="4" w:space="0" w:color="auto"/>
            </w:tcBorders>
            <w:noWrap/>
            <w:vAlign w:val="bottom"/>
            <w:hideMark/>
          </w:tcPr>
          <w:p w14:paraId="15CDBEC0" w14:textId="77777777" w:rsidR="00094077" w:rsidRPr="00F505DC" w:rsidRDefault="00094077" w:rsidP="00094077">
            <w:pPr>
              <w:rPr>
                <w:lang w:val="fr-SN"/>
              </w:rPr>
            </w:pPr>
            <w:r w:rsidRPr="00F505DC">
              <w:rPr>
                <w:lang w:val="fr-SN"/>
              </w:rPr>
              <w:t>0601.MÉDICAMENTS ET PRODUITS DE SANTÉ</w:t>
            </w:r>
          </w:p>
        </w:tc>
        <w:tc>
          <w:tcPr>
            <w:tcW w:w="2711" w:type="dxa"/>
            <w:tcBorders>
              <w:top w:val="nil"/>
              <w:left w:val="nil"/>
              <w:bottom w:val="single" w:sz="4" w:space="0" w:color="auto"/>
              <w:right w:val="single" w:sz="4" w:space="0" w:color="auto"/>
            </w:tcBorders>
            <w:noWrap/>
            <w:vAlign w:val="bottom"/>
            <w:hideMark/>
          </w:tcPr>
          <w:p w14:paraId="111B86B9" w14:textId="77777777" w:rsidR="00094077" w:rsidRPr="00F505DC" w:rsidRDefault="00094077" w:rsidP="00094077">
            <w:pPr>
              <w:rPr>
                <w:lang w:val="fr-SN"/>
              </w:rPr>
            </w:pPr>
            <w:r w:rsidRPr="00F505DC">
              <w:rPr>
                <w:lang w:val="fr-SN"/>
              </w:rPr>
              <w:t>Produits, appareils et matériels médicaux</w:t>
            </w:r>
          </w:p>
        </w:tc>
        <w:tc>
          <w:tcPr>
            <w:tcW w:w="1313" w:type="dxa"/>
            <w:tcBorders>
              <w:top w:val="nil"/>
              <w:left w:val="nil"/>
              <w:bottom w:val="single" w:sz="4" w:space="0" w:color="auto"/>
              <w:right w:val="single" w:sz="4" w:space="0" w:color="auto"/>
            </w:tcBorders>
            <w:noWrap/>
            <w:vAlign w:val="bottom"/>
            <w:hideMark/>
          </w:tcPr>
          <w:p w14:paraId="680C18CF" w14:textId="626702E0" w:rsidR="00094077" w:rsidRPr="00F505DC" w:rsidRDefault="00094077" w:rsidP="00094077">
            <w:pPr>
              <w:rPr>
                <w:lang w:val="fr-SN"/>
              </w:rPr>
            </w:pPr>
            <w:r w:rsidRPr="00F505DC">
              <w:rPr>
                <w:lang w:val="fr-SN"/>
              </w:rPr>
              <w:t>2,1</w:t>
            </w:r>
            <w:r w:rsidR="001A3247">
              <w:rPr>
                <w:lang w:val="fr-SN"/>
              </w:rPr>
              <w:t>3</w:t>
            </w:r>
            <w:r w:rsidRPr="00F505DC">
              <w:rPr>
                <w:lang w:val="fr-SN"/>
              </w:rPr>
              <w:t>%</w:t>
            </w:r>
          </w:p>
        </w:tc>
        <w:tc>
          <w:tcPr>
            <w:tcW w:w="1313" w:type="dxa"/>
            <w:tcBorders>
              <w:top w:val="nil"/>
              <w:left w:val="nil"/>
              <w:bottom w:val="single" w:sz="4" w:space="0" w:color="auto"/>
              <w:right w:val="single" w:sz="4" w:space="0" w:color="auto"/>
            </w:tcBorders>
            <w:noWrap/>
            <w:vAlign w:val="bottom"/>
            <w:hideMark/>
          </w:tcPr>
          <w:p w14:paraId="3320A07B" w14:textId="230224A7" w:rsidR="00094077" w:rsidRPr="00F505DC" w:rsidRDefault="00094077" w:rsidP="00094077">
            <w:pPr>
              <w:rPr>
                <w:lang w:val="fr-SN"/>
              </w:rPr>
            </w:pPr>
            <w:r>
              <w:rPr>
                <w:rFonts w:ascii="Aptos Narrow" w:hAnsi="Aptos Narrow"/>
                <w:color w:val="000000"/>
                <w:sz w:val="22"/>
              </w:rPr>
              <w:t>2,40%</w:t>
            </w:r>
          </w:p>
        </w:tc>
        <w:tc>
          <w:tcPr>
            <w:tcW w:w="1327" w:type="dxa"/>
            <w:tcBorders>
              <w:top w:val="nil"/>
              <w:left w:val="nil"/>
              <w:bottom w:val="single" w:sz="4" w:space="0" w:color="auto"/>
              <w:right w:val="single" w:sz="4" w:space="0" w:color="auto"/>
            </w:tcBorders>
            <w:noWrap/>
            <w:vAlign w:val="bottom"/>
            <w:hideMark/>
          </w:tcPr>
          <w:p w14:paraId="05B95C03" w14:textId="7FEFCFBD" w:rsidR="00094077" w:rsidRPr="00F505DC" w:rsidRDefault="00094077" w:rsidP="00094077">
            <w:pPr>
              <w:rPr>
                <w:lang w:val="fr-SN"/>
              </w:rPr>
            </w:pPr>
            <w:r>
              <w:rPr>
                <w:rFonts w:ascii="Aptos Narrow" w:hAnsi="Aptos Narrow"/>
                <w:color w:val="000000"/>
                <w:sz w:val="22"/>
              </w:rPr>
              <w:t>0,26%</w:t>
            </w:r>
          </w:p>
        </w:tc>
      </w:tr>
      <w:tr w:rsidR="00A05744" w:rsidRPr="00F505DC" w14:paraId="4B302C1C" w14:textId="77777777" w:rsidTr="00A05744">
        <w:trPr>
          <w:trHeight w:val="250"/>
          <w:jc w:val="center"/>
        </w:trPr>
        <w:tc>
          <w:tcPr>
            <w:tcW w:w="2593" w:type="dxa"/>
            <w:tcBorders>
              <w:top w:val="nil"/>
              <w:left w:val="single" w:sz="4" w:space="0" w:color="auto"/>
              <w:bottom w:val="single" w:sz="4" w:space="0" w:color="auto"/>
              <w:right w:val="single" w:sz="4" w:space="0" w:color="auto"/>
            </w:tcBorders>
            <w:noWrap/>
            <w:vAlign w:val="bottom"/>
            <w:hideMark/>
          </w:tcPr>
          <w:p w14:paraId="609D7858" w14:textId="77777777" w:rsidR="00094077" w:rsidRPr="00F505DC" w:rsidRDefault="00094077" w:rsidP="00094077">
            <w:pPr>
              <w:rPr>
                <w:lang w:val="fr-SN"/>
              </w:rPr>
            </w:pPr>
            <w:r w:rsidRPr="00F505DC">
              <w:rPr>
                <w:lang w:val="fr-SN"/>
              </w:rPr>
              <w:t>0602.SERVICES DE SOINS EXTERNES</w:t>
            </w:r>
          </w:p>
        </w:tc>
        <w:tc>
          <w:tcPr>
            <w:tcW w:w="2711" w:type="dxa"/>
            <w:tcBorders>
              <w:top w:val="nil"/>
              <w:left w:val="nil"/>
              <w:bottom w:val="single" w:sz="4" w:space="0" w:color="auto"/>
              <w:right w:val="single" w:sz="4" w:space="0" w:color="auto"/>
            </w:tcBorders>
            <w:noWrap/>
            <w:vAlign w:val="bottom"/>
            <w:hideMark/>
          </w:tcPr>
          <w:p w14:paraId="141EA45C" w14:textId="77777777" w:rsidR="00094077" w:rsidRPr="00F505DC" w:rsidRDefault="00094077" w:rsidP="00094077">
            <w:pPr>
              <w:rPr>
                <w:lang w:val="fr-SN"/>
              </w:rPr>
            </w:pPr>
            <w:r w:rsidRPr="00F505DC">
              <w:rPr>
                <w:lang w:val="fr-SN"/>
              </w:rPr>
              <w:t>Services ambulatoires</w:t>
            </w:r>
          </w:p>
        </w:tc>
        <w:tc>
          <w:tcPr>
            <w:tcW w:w="1313" w:type="dxa"/>
            <w:tcBorders>
              <w:top w:val="nil"/>
              <w:left w:val="nil"/>
              <w:bottom w:val="single" w:sz="4" w:space="0" w:color="auto"/>
              <w:right w:val="single" w:sz="4" w:space="0" w:color="auto"/>
            </w:tcBorders>
            <w:noWrap/>
            <w:vAlign w:val="bottom"/>
            <w:hideMark/>
          </w:tcPr>
          <w:p w14:paraId="76940F79" w14:textId="24538415" w:rsidR="00094077" w:rsidRPr="00F505DC" w:rsidRDefault="00094077" w:rsidP="00094077">
            <w:pPr>
              <w:rPr>
                <w:lang w:val="fr-SN"/>
              </w:rPr>
            </w:pPr>
            <w:r w:rsidRPr="00F505DC">
              <w:rPr>
                <w:lang w:val="fr-SN"/>
              </w:rPr>
              <w:t>0,</w:t>
            </w:r>
            <w:r w:rsidR="001A3247">
              <w:rPr>
                <w:lang w:val="fr-SN"/>
              </w:rPr>
              <w:t>76</w:t>
            </w:r>
            <w:r w:rsidRPr="00F505DC">
              <w:rPr>
                <w:lang w:val="fr-SN"/>
              </w:rPr>
              <w:t>%</w:t>
            </w:r>
          </w:p>
        </w:tc>
        <w:tc>
          <w:tcPr>
            <w:tcW w:w="1313" w:type="dxa"/>
            <w:tcBorders>
              <w:top w:val="nil"/>
              <w:left w:val="nil"/>
              <w:bottom w:val="single" w:sz="4" w:space="0" w:color="auto"/>
              <w:right w:val="single" w:sz="4" w:space="0" w:color="auto"/>
            </w:tcBorders>
            <w:noWrap/>
            <w:vAlign w:val="bottom"/>
            <w:hideMark/>
          </w:tcPr>
          <w:p w14:paraId="29227BAF" w14:textId="4293DDB1" w:rsidR="00094077" w:rsidRPr="00F505DC" w:rsidRDefault="00094077" w:rsidP="00094077">
            <w:pPr>
              <w:rPr>
                <w:lang w:val="fr-SN"/>
              </w:rPr>
            </w:pPr>
            <w:r>
              <w:rPr>
                <w:rFonts w:ascii="Aptos Narrow" w:hAnsi="Aptos Narrow"/>
                <w:color w:val="000000"/>
                <w:sz w:val="22"/>
              </w:rPr>
              <w:t>0,29%</w:t>
            </w:r>
          </w:p>
        </w:tc>
        <w:tc>
          <w:tcPr>
            <w:tcW w:w="1327" w:type="dxa"/>
            <w:tcBorders>
              <w:top w:val="nil"/>
              <w:left w:val="nil"/>
              <w:bottom w:val="single" w:sz="4" w:space="0" w:color="auto"/>
              <w:right w:val="single" w:sz="4" w:space="0" w:color="auto"/>
            </w:tcBorders>
            <w:noWrap/>
            <w:vAlign w:val="bottom"/>
            <w:hideMark/>
          </w:tcPr>
          <w:p w14:paraId="2AEFC39D" w14:textId="263D4098" w:rsidR="00094077" w:rsidRPr="00F505DC" w:rsidRDefault="00094077" w:rsidP="00094077">
            <w:pPr>
              <w:rPr>
                <w:lang w:val="fr-SN"/>
              </w:rPr>
            </w:pPr>
            <w:r>
              <w:rPr>
                <w:rFonts w:ascii="Aptos Narrow" w:hAnsi="Aptos Narrow"/>
                <w:color w:val="000000"/>
                <w:sz w:val="22"/>
              </w:rPr>
              <w:t>-0,47%</w:t>
            </w:r>
          </w:p>
        </w:tc>
      </w:tr>
      <w:tr w:rsidR="00A05744" w:rsidRPr="00F505DC" w14:paraId="3C94B056" w14:textId="77777777" w:rsidTr="00A05744">
        <w:trPr>
          <w:trHeight w:val="250"/>
          <w:jc w:val="center"/>
        </w:trPr>
        <w:tc>
          <w:tcPr>
            <w:tcW w:w="2593" w:type="dxa"/>
            <w:tcBorders>
              <w:top w:val="nil"/>
              <w:left w:val="single" w:sz="4" w:space="0" w:color="auto"/>
              <w:bottom w:val="single" w:sz="4" w:space="0" w:color="auto"/>
              <w:right w:val="single" w:sz="4" w:space="0" w:color="auto"/>
            </w:tcBorders>
            <w:noWrap/>
            <w:vAlign w:val="bottom"/>
            <w:hideMark/>
          </w:tcPr>
          <w:p w14:paraId="1219125B" w14:textId="77777777" w:rsidR="00094077" w:rsidRPr="00F505DC" w:rsidRDefault="00094077" w:rsidP="00094077">
            <w:pPr>
              <w:rPr>
                <w:lang w:val="fr-SN"/>
              </w:rPr>
            </w:pPr>
            <w:r w:rsidRPr="00F505DC">
              <w:rPr>
                <w:lang w:val="fr-SN"/>
              </w:rPr>
              <w:t>0603.SERVICES DE SOINS HOSPITALIERS</w:t>
            </w:r>
          </w:p>
        </w:tc>
        <w:tc>
          <w:tcPr>
            <w:tcW w:w="2711" w:type="dxa"/>
            <w:tcBorders>
              <w:top w:val="nil"/>
              <w:left w:val="nil"/>
              <w:bottom w:val="single" w:sz="4" w:space="0" w:color="auto"/>
              <w:right w:val="single" w:sz="4" w:space="0" w:color="auto"/>
            </w:tcBorders>
            <w:noWrap/>
            <w:vAlign w:val="bottom"/>
            <w:hideMark/>
          </w:tcPr>
          <w:p w14:paraId="66E1DAEA" w14:textId="77777777" w:rsidR="00094077" w:rsidRPr="00F505DC" w:rsidRDefault="00094077" w:rsidP="00094077">
            <w:pPr>
              <w:rPr>
                <w:lang w:val="fr-SN"/>
              </w:rPr>
            </w:pPr>
            <w:r w:rsidRPr="00F505DC">
              <w:rPr>
                <w:lang w:val="fr-SN"/>
              </w:rPr>
              <w:t>Services hospitaliers</w:t>
            </w:r>
          </w:p>
        </w:tc>
        <w:tc>
          <w:tcPr>
            <w:tcW w:w="1313" w:type="dxa"/>
            <w:tcBorders>
              <w:top w:val="nil"/>
              <w:left w:val="nil"/>
              <w:bottom w:val="single" w:sz="4" w:space="0" w:color="auto"/>
              <w:right w:val="single" w:sz="4" w:space="0" w:color="auto"/>
            </w:tcBorders>
            <w:noWrap/>
            <w:vAlign w:val="bottom"/>
            <w:hideMark/>
          </w:tcPr>
          <w:p w14:paraId="01982325" w14:textId="32FEE66E" w:rsidR="00094077" w:rsidRPr="00F505DC" w:rsidRDefault="00094077" w:rsidP="00094077">
            <w:pPr>
              <w:rPr>
                <w:lang w:val="fr-SN"/>
              </w:rPr>
            </w:pPr>
            <w:r w:rsidRPr="00F505DC">
              <w:rPr>
                <w:lang w:val="fr-SN"/>
              </w:rPr>
              <w:t>0,6</w:t>
            </w:r>
            <w:r w:rsidR="001A3247">
              <w:rPr>
                <w:lang w:val="fr-SN"/>
              </w:rPr>
              <w:t>4</w:t>
            </w:r>
            <w:r w:rsidRPr="00F505DC">
              <w:rPr>
                <w:lang w:val="fr-SN"/>
              </w:rPr>
              <w:t>%</w:t>
            </w:r>
          </w:p>
        </w:tc>
        <w:tc>
          <w:tcPr>
            <w:tcW w:w="1313" w:type="dxa"/>
            <w:tcBorders>
              <w:top w:val="nil"/>
              <w:left w:val="nil"/>
              <w:bottom w:val="single" w:sz="4" w:space="0" w:color="auto"/>
              <w:right w:val="single" w:sz="4" w:space="0" w:color="auto"/>
            </w:tcBorders>
            <w:noWrap/>
            <w:vAlign w:val="bottom"/>
            <w:hideMark/>
          </w:tcPr>
          <w:p w14:paraId="4488F7A4" w14:textId="0CF7D0D4" w:rsidR="00094077" w:rsidRPr="00F505DC" w:rsidRDefault="00094077" w:rsidP="00094077">
            <w:pPr>
              <w:rPr>
                <w:lang w:val="fr-SN"/>
              </w:rPr>
            </w:pPr>
            <w:r>
              <w:rPr>
                <w:rFonts w:ascii="Aptos Narrow" w:hAnsi="Aptos Narrow"/>
                <w:color w:val="000000"/>
                <w:sz w:val="22"/>
              </w:rPr>
              <w:t>0,88%</w:t>
            </w:r>
          </w:p>
        </w:tc>
        <w:tc>
          <w:tcPr>
            <w:tcW w:w="1327" w:type="dxa"/>
            <w:tcBorders>
              <w:top w:val="nil"/>
              <w:left w:val="nil"/>
              <w:bottom w:val="single" w:sz="4" w:space="0" w:color="auto"/>
              <w:right w:val="single" w:sz="4" w:space="0" w:color="auto"/>
            </w:tcBorders>
            <w:noWrap/>
            <w:vAlign w:val="bottom"/>
            <w:hideMark/>
          </w:tcPr>
          <w:p w14:paraId="55912712" w14:textId="654571F2" w:rsidR="00094077" w:rsidRPr="00F505DC" w:rsidRDefault="00094077" w:rsidP="00094077">
            <w:pPr>
              <w:rPr>
                <w:lang w:val="fr-SN"/>
              </w:rPr>
            </w:pPr>
            <w:r>
              <w:rPr>
                <w:rFonts w:ascii="Aptos Narrow" w:hAnsi="Aptos Narrow"/>
                <w:color w:val="000000"/>
                <w:sz w:val="22"/>
              </w:rPr>
              <w:t>0,24%</w:t>
            </w:r>
          </w:p>
        </w:tc>
      </w:tr>
      <w:tr w:rsidR="00A05744" w:rsidRPr="00F505DC" w14:paraId="4B1E3233" w14:textId="77777777" w:rsidTr="00A05744">
        <w:trPr>
          <w:trHeight w:val="748"/>
          <w:jc w:val="center"/>
        </w:trPr>
        <w:tc>
          <w:tcPr>
            <w:tcW w:w="2593" w:type="dxa"/>
            <w:tcBorders>
              <w:top w:val="nil"/>
              <w:left w:val="single" w:sz="4" w:space="0" w:color="auto"/>
              <w:bottom w:val="single" w:sz="4" w:space="0" w:color="auto"/>
              <w:right w:val="single" w:sz="4" w:space="0" w:color="auto"/>
            </w:tcBorders>
            <w:noWrap/>
            <w:vAlign w:val="bottom"/>
            <w:hideMark/>
          </w:tcPr>
          <w:p w14:paraId="2F3DA211" w14:textId="77777777" w:rsidR="00FE18F6" w:rsidRPr="00F505DC" w:rsidRDefault="00FE18F6" w:rsidP="00427D57">
            <w:pPr>
              <w:rPr>
                <w:lang w:val="fr-SN"/>
              </w:rPr>
            </w:pPr>
            <w:r w:rsidRPr="00F505DC">
              <w:rPr>
                <w:lang w:val="fr-SN"/>
              </w:rPr>
              <w:t>0604.AUTRES SERVICES DE SANTÉ</w:t>
            </w:r>
          </w:p>
        </w:tc>
        <w:tc>
          <w:tcPr>
            <w:tcW w:w="2711" w:type="dxa"/>
            <w:tcBorders>
              <w:top w:val="nil"/>
              <w:left w:val="nil"/>
              <w:bottom w:val="single" w:sz="4" w:space="0" w:color="auto"/>
              <w:right w:val="single" w:sz="4" w:space="0" w:color="auto"/>
            </w:tcBorders>
            <w:shd w:val="clear" w:color="auto" w:fill="FFFF00"/>
            <w:noWrap/>
            <w:vAlign w:val="bottom"/>
            <w:hideMark/>
          </w:tcPr>
          <w:p w14:paraId="6A7F434F" w14:textId="77777777" w:rsidR="00FE18F6" w:rsidRPr="00F505DC" w:rsidRDefault="00FE18F6" w:rsidP="00427D57">
            <w:pPr>
              <w:rPr>
                <w:lang w:val="fr-SN"/>
              </w:rPr>
            </w:pPr>
            <w:r w:rsidRPr="00F505DC">
              <w:rPr>
                <w:lang w:val="fr-SN"/>
              </w:rPr>
              <w:t> </w:t>
            </w:r>
          </w:p>
        </w:tc>
        <w:tc>
          <w:tcPr>
            <w:tcW w:w="1313" w:type="dxa"/>
            <w:tcBorders>
              <w:top w:val="nil"/>
              <w:left w:val="nil"/>
              <w:bottom w:val="single" w:sz="4" w:space="0" w:color="auto"/>
              <w:right w:val="single" w:sz="4" w:space="0" w:color="auto"/>
            </w:tcBorders>
            <w:shd w:val="clear" w:color="auto" w:fill="FFFF00"/>
            <w:noWrap/>
            <w:vAlign w:val="bottom"/>
          </w:tcPr>
          <w:p w14:paraId="2F462570" w14:textId="77777777" w:rsidR="00FE18F6" w:rsidRPr="00F505DC" w:rsidRDefault="00FE18F6" w:rsidP="00427D57">
            <w:pPr>
              <w:rPr>
                <w:lang w:val="fr-SN"/>
              </w:rPr>
            </w:pPr>
          </w:p>
        </w:tc>
        <w:tc>
          <w:tcPr>
            <w:tcW w:w="1313" w:type="dxa"/>
            <w:tcBorders>
              <w:top w:val="nil"/>
              <w:left w:val="nil"/>
              <w:bottom w:val="single" w:sz="4" w:space="0" w:color="auto"/>
              <w:right w:val="single" w:sz="4" w:space="0" w:color="auto"/>
            </w:tcBorders>
            <w:noWrap/>
            <w:vAlign w:val="bottom"/>
            <w:hideMark/>
          </w:tcPr>
          <w:p w14:paraId="3116F734" w14:textId="77777777" w:rsidR="00FE18F6" w:rsidRPr="00F505DC" w:rsidRDefault="00FE18F6" w:rsidP="00427D57">
            <w:pPr>
              <w:rPr>
                <w:lang w:val="fr-SN"/>
              </w:rPr>
            </w:pPr>
            <w:r w:rsidRPr="00F505DC">
              <w:rPr>
                <w:lang w:val="fr-SN"/>
              </w:rPr>
              <w:t>0,6%</w:t>
            </w:r>
          </w:p>
        </w:tc>
        <w:tc>
          <w:tcPr>
            <w:tcW w:w="1327" w:type="dxa"/>
            <w:tcBorders>
              <w:top w:val="nil"/>
              <w:left w:val="nil"/>
              <w:bottom w:val="single" w:sz="4" w:space="0" w:color="auto"/>
              <w:right w:val="single" w:sz="4" w:space="0" w:color="auto"/>
            </w:tcBorders>
            <w:shd w:val="clear" w:color="auto" w:fill="FFFF00"/>
            <w:noWrap/>
            <w:vAlign w:val="bottom"/>
            <w:hideMark/>
          </w:tcPr>
          <w:p w14:paraId="59166499" w14:textId="77777777" w:rsidR="00FE18F6" w:rsidRPr="00F505DC" w:rsidRDefault="00FE18F6" w:rsidP="00427D57">
            <w:pPr>
              <w:rPr>
                <w:lang w:val="fr-SN"/>
              </w:rPr>
            </w:pPr>
          </w:p>
        </w:tc>
      </w:tr>
    </w:tbl>
    <w:p w14:paraId="6078A897" w14:textId="4EAE9B94" w:rsidR="00FE18F6" w:rsidRPr="00522A6B" w:rsidRDefault="00FE18F6" w:rsidP="00FE18F6">
      <w:pPr>
        <w:rPr>
          <w:i/>
          <w:iCs/>
          <w:lang w:val="fr-SN"/>
        </w:rPr>
      </w:pPr>
      <w:r w:rsidRPr="00522A6B">
        <w:rPr>
          <w:i/>
          <w:iCs/>
          <w:lang w:val="fr-SN"/>
        </w:rPr>
        <w:t xml:space="preserve">Source : ANSD, pondération IHPC 2014 et </w:t>
      </w:r>
      <w:r w:rsidR="00023158">
        <w:rPr>
          <w:i/>
          <w:iCs/>
          <w:lang w:val="fr-SN"/>
        </w:rPr>
        <w:t>2021</w:t>
      </w:r>
      <w:r w:rsidRPr="00522A6B">
        <w:rPr>
          <w:i/>
          <w:iCs/>
          <w:lang w:val="fr-SN"/>
        </w:rPr>
        <w:t>.</w:t>
      </w:r>
    </w:p>
    <w:p w14:paraId="0FE88F70" w14:textId="77777777" w:rsidR="00FE18F6" w:rsidRPr="00F23A3C" w:rsidRDefault="00FE18F6" w:rsidP="00FE18F6">
      <w:pPr>
        <w:rPr>
          <w:lang w:val="fr-SN"/>
        </w:rPr>
      </w:pPr>
      <w:r w:rsidRPr="002B0A30">
        <w:rPr>
          <w:lang w:val="fr-SN"/>
        </w:rPr>
        <w:t xml:space="preserve">Selon le Rapport des Comptes de la Santé 2014-2016 publié par l'ANSD, </w:t>
      </w:r>
      <w:r w:rsidRPr="00F23A3C">
        <w:t>la croissance des maladies chroniques telles que le diabète, l'hypertension et les maladies respiratoires a significativement augmenté, entraînant une plus forte demande pour les médicaments et les soins de santé</w:t>
      </w:r>
      <w:r w:rsidRPr="002B0A30">
        <w:rPr>
          <w:lang w:val="fr-SN"/>
        </w:rPr>
        <w:t>. En effet, les dépenses des ménages pour la santé représentaient environ 46,9 % des dépenses totales en santé en 2014, augmentant à 49,5 % en 2015 et à 48,8 % en 2016</w:t>
      </w:r>
      <w:r w:rsidRPr="00F23A3C">
        <w:rPr>
          <w:lang w:val="fr-SN"/>
        </w:rPr>
        <w:t>.</w:t>
      </w:r>
    </w:p>
    <w:p w14:paraId="67D36259" w14:textId="421EE9F2" w:rsidR="00FE18F6" w:rsidRDefault="00FE18F6" w:rsidP="00FE18F6">
      <w:pPr>
        <w:rPr>
          <w:lang w:val="fr-SN"/>
        </w:rPr>
      </w:pPr>
      <w:r w:rsidRPr="00F23A3C">
        <w:t xml:space="preserve">L'inflation des prix des médicaments constitue un </w:t>
      </w:r>
      <w:r>
        <w:t xml:space="preserve">autre </w:t>
      </w:r>
      <w:r w:rsidRPr="00F23A3C">
        <w:t>facteur important dans l'évolution des dépenses de santé au Sénégal. Selon le Bulletin de Conjoncture Économique du Sénégal pour 2021, les médicaments, étant majoritairement importés, subissent les effets des fluctuations du taux de change entre le franc CFA et les devises étrangères. En 20</w:t>
      </w:r>
      <w:r>
        <w:t>18</w:t>
      </w:r>
      <w:r w:rsidRPr="00F23A3C">
        <w:t xml:space="preserve">, la valeur des importations de produits pharmaceutiques </w:t>
      </w:r>
      <w:r w:rsidR="005A7D79">
        <w:t>était de</w:t>
      </w:r>
      <w:r w:rsidRPr="00F23A3C">
        <w:t> </w:t>
      </w:r>
      <w:r w:rsidR="005A7D79">
        <w:t>260</w:t>
      </w:r>
      <w:r w:rsidRPr="00F23A3C">
        <w:t xml:space="preserve"> millions d'euros, et elle a augmenté à </w:t>
      </w:r>
      <w:r w:rsidR="005A7D79" w:rsidRPr="005A7D79">
        <w:t>282</w:t>
      </w:r>
      <w:r w:rsidR="005A7D79">
        <w:t xml:space="preserve"> </w:t>
      </w:r>
      <w:r w:rsidRPr="005A7D79">
        <w:t>millions</w:t>
      </w:r>
      <w:r w:rsidRPr="00F23A3C">
        <w:t xml:space="preserve"> d'euros en 202</w:t>
      </w:r>
      <w:r w:rsidR="005A7D79">
        <w:t>1</w:t>
      </w:r>
      <w:r w:rsidRPr="00F23A3C">
        <w:t>, soit une hausse de </w:t>
      </w:r>
      <w:r w:rsidR="005A7D79" w:rsidRPr="005A7D79">
        <w:t>8,82%</w:t>
      </w:r>
      <w:r w:rsidR="005A7D79">
        <w:t xml:space="preserve">. </w:t>
      </w:r>
      <w:r w:rsidRPr="00F23A3C">
        <w:t>Cette situation a contribué à la hausse des coûts pour les consommateurs locaux. En effet, le Sénégal importe plus de 95 % des médicaments, ce qui accentue la vulnérabilité du secteur face aux fluctuations économiques globales.</w:t>
      </w:r>
    </w:p>
    <w:p w14:paraId="3370E60C" w14:textId="77777777" w:rsidR="00FE18F6" w:rsidRPr="00F974FD" w:rsidRDefault="00FE18F6">
      <w:pPr>
        <w:pStyle w:val="Paragraphedeliste"/>
        <w:numPr>
          <w:ilvl w:val="0"/>
          <w:numId w:val="20"/>
        </w:numPr>
        <w:rPr>
          <w:b/>
          <w:bCs/>
          <w:lang w:val="fr-SN"/>
        </w:rPr>
      </w:pPr>
      <w:r w:rsidRPr="00F974FD">
        <w:rPr>
          <w:b/>
          <w:bCs/>
          <w:lang w:val="fr-SN"/>
        </w:rPr>
        <w:t>Transport</w:t>
      </w:r>
    </w:p>
    <w:p w14:paraId="0D361B8D" w14:textId="7F4E7FE4" w:rsidR="00FE18F6" w:rsidRPr="00F505DC" w:rsidRDefault="00FE18F6" w:rsidP="00FE18F6">
      <w:pPr>
        <w:rPr>
          <w:lang w:val="fr-SN"/>
        </w:rPr>
      </w:pPr>
      <w:r w:rsidRPr="00F505DC">
        <w:rPr>
          <w:lang w:val="fr-SN"/>
        </w:rPr>
        <w:t>La part des dépenses des ménages allouée à la division "Transport" a augmenté de 0,</w:t>
      </w:r>
      <w:r w:rsidR="00284558">
        <w:rPr>
          <w:lang w:val="fr-SN"/>
        </w:rPr>
        <w:t>43</w:t>
      </w:r>
      <w:r w:rsidRPr="00F505DC">
        <w:rPr>
          <w:lang w:val="fr-SN"/>
        </w:rPr>
        <w:t xml:space="preserve"> point de pourcentage entre</w:t>
      </w:r>
      <w:r>
        <w:rPr>
          <w:lang w:val="fr-SN"/>
        </w:rPr>
        <w:t xml:space="preserve"> les IHPC</w:t>
      </w:r>
      <w:r w:rsidRPr="00F505DC">
        <w:rPr>
          <w:lang w:val="fr-SN"/>
        </w:rPr>
        <w:t xml:space="preserve"> 2014 et </w:t>
      </w:r>
      <w:r w:rsidR="00023158">
        <w:rPr>
          <w:lang w:val="fr-SN"/>
        </w:rPr>
        <w:t>2021</w:t>
      </w:r>
      <w:r w:rsidRPr="00F505DC">
        <w:rPr>
          <w:lang w:val="fr-SN"/>
        </w:rPr>
        <w:t>, passant de 5,6</w:t>
      </w:r>
      <w:r w:rsidR="00284558">
        <w:rPr>
          <w:lang w:val="fr-SN"/>
        </w:rPr>
        <w:t>3</w:t>
      </w:r>
      <w:r w:rsidRPr="00F505DC">
        <w:rPr>
          <w:lang w:val="fr-SN"/>
        </w:rPr>
        <w:t xml:space="preserve"> % à </w:t>
      </w:r>
      <w:r w:rsidR="00284558">
        <w:rPr>
          <w:lang w:val="fr-SN"/>
        </w:rPr>
        <w:t>6,06</w:t>
      </w:r>
      <w:r w:rsidRPr="00F505DC">
        <w:rPr>
          <w:lang w:val="fr-SN"/>
        </w:rPr>
        <w:t xml:space="preserve"> %. Cette progression est principalement due à l'augmentation de 0,9</w:t>
      </w:r>
      <w:r w:rsidR="00284558">
        <w:rPr>
          <w:lang w:val="fr-SN"/>
        </w:rPr>
        <w:t>1</w:t>
      </w:r>
      <w:r w:rsidRPr="00F505DC">
        <w:rPr>
          <w:lang w:val="fr-SN"/>
        </w:rPr>
        <w:t xml:space="preserve"> point pour l'achat de véhicules, qui est passée de 0,4</w:t>
      </w:r>
      <w:r w:rsidR="00284558">
        <w:rPr>
          <w:lang w:val="fr-SN"/>
        </w:rPr>
        <w:t>2</w:t>
      </w:r>
      <w:r w:rsidRPr="00F505DC">
        <w:rPr>
          <w:lang w:val="fr-SN"/>
        </w:rPr>
        <w:t xml:space="preserve"> % à 1,3</w:t>
      </w:r>
      <w:r w:rsidR="00284558">
        <w:rPr>
          <w:lang w:val="fr-SN"/>
        </w:rPr>
        <w:t>3</w:t>
      </w:r>
      <w:r w:rsidRPr="00F505DC">
        <w:rPr>
          <w:lang w:val="fr-SN"/>
        </w:rPr>
        <w:t xml:space="preserve"> %. En revanche, les "Services de transport de passagers" ont diminué de 0,8</w:t>
      </w:r>
      <w:r w:rsidR="00284558">
        <w:rPr>
          <w:lang w:val="fr-SN"/>
        </w:rPr>
        <w:t>4</w:t>
      </w:r>
      <w:r w:rsidRPr="00F505DC">
        <w:rPr>
          <w:lang w:val="fr-SN"/>
        </w:rPr>
        <w:t xml:space="preserve"> point, passant de 3,7</w:t>
      </w:r>
      <w:r w:rsidR="00284558">
        <w:rPr>
          <w:lang w:val="fr-SN"/>
        </w:rPr>
        <w:t>5</w:t>
      </w:r>
      <w:r w:rsidRPr="00F505DC">
        <w:rPr>
          <w:lang w:val="fr-SN"/>
        </w:rPr>
        <w:t xml:space="preserve"> % à 2,9</w:t>
      </w:r>
      <w:r w:rsidR="00284558">
        <w:rPr>
          <w:lang w:val="fr-SN"/>
        </w:rPr>
        <w:t>1</w:t>
      </w:r>
      <w:r w:rsidRPr="00F505DC">
        <w:rPr>
          <w:lang w:val="fr-SN"/>
        </w:rPr>
        <w:t xml:space="preserve"> %, tandis que les "Dépenses d'utilisation des véhicules" ont légèrement augmenté de 0,</w:t>
      </w:r>
      <w:r w:rsidR="00284558">
        <w:rPr>
          <w:lang w:val="fr-SN"/>
        </w:rPr>
        <w:t>06</w:t>
      </w:r>
      <w:r w:rsidRPr="00F505DC">
        <w:rPr>
          <w:lang w:val="fr-SN"/>
        </w:rPr>
        <w:t xml:space="preserve"> point, passant à 1,</w:t>
      </w:r>
      <w:r w:rsidR="00284558">
        <w:rPr>
          <w:lang w:val="fr-SN"/>
        </w:rPr>
        <w:t>52</w:t>
      </w:r>
      <w:r w:rsidRPr="00F505DC">
        <w:rPr>
          <w:lang w:val="fr-SN"/>
        </w:rPr>
        <w:t>%.</w:t>
      </w:r>
    </w:p>
    <w:p w14:paraId="52B69BF7" w14:textId="77777777" w:rsidR="00522A6B" w:rsidRDefault="00522A6B" w:rsidP="00FE18F6">
      <w:pPr>
        <w:pStyle w:val="Lgende"/>
        <w:keepNext/>
        <w:rPr>
          <w:sz w:val="28"/>
          <w:szCs w:val="28"/>
        </w:rPr>
      </w:pPr>
      <w:bookmarkStart w:id="72" w:name="_Toc180927601"/>
    </w:p>
    <w:p w14:paraId="6FCBA4BF" w14:textId="3E750708" w:rsidR="00FE18F6" w:rsidRPr="001B340F" w:rsidRDefault="00FE18F6" w:rsidP="00FE18F6">
      <w:pPr>
        <w:pStyle w:val="Lgende"/>
        <w:keepNext/>
        <w:rPr>
          <w:b/>
          <w:bCs/>
          <w:i w:val="0"/>
          <w:iCs w:val="0"/>
          <w:sz w:val="28"/>
          <w:szCs w:val="28"/>
        </w:rPr>
      </w:pPr>
      <w:r w:rsidRPr="001B340F">
        <w:rPr>
          <w:sz w:val="28"/>
          <w:szCs w:val="28"/>
        </w:rPr>
        <w:t xml:space="preserve">Tableau </w:t>
      </w:r>
      <w:r w:rsidRPr="001B340F">
        <w:rPr>
          <w:b/>
          <w:bCs/>
          <w:i w:val="0"/>
          <w:iCs w:val="0"/>
          <w:sz w:val="28"/>
          <w:szCs w:val="28"/>
        </w:rPr>
        <w:fldChar w:fldCharType="begin"/>
      </w:r>
      <w:r w:rsidRPr="001B340F">
        <w:rPr>
          <w:sz w:val="28"/>
          <w:szCs w:val="28"/>
        </w:rPr>
        <w:instrText xml:space="preserve"> SEQ Tableau \* ARABIC </w:instrText>
      </w:r>
      <w:r w:rsidRPr="001B340F">
        <w:rPr>
          <w:b/>
          <w:bCs/>
          <w:i w:val="0"/>
          <w:iCs w:val="0"/>
          <w:sz w:val="28"/>
          <w:szCs w:val="28"/>
        </w:rPr>
        <w:fldChar w:fldCharType="separate"/>
      </w:r>
      <w:r w:rsidR="00427D57">
        <w:rPr>
          <w:noProof/>
          <w:sz w:val="28"/>
          <w:szCs w:val="28"/>
        </w:rPr>
        <w:t>7</w:t>
      </w:r>
      <w:r w:rsidRPr="001B340F">
        <w:rPr>
          <w:b/>
          <w:bCs/>
          <w:i w:val="0"/>
          <w:iCs w:val="0"/>
          <w:sz w:val="28"/>
          <w:szCs w:val="28"/>
        </w:rPr>
        <w:fldChar w:fldCharType="end"/>
      </w:r>
      <w:r w:rsidRPr="001B340F">
        <w:rPr>
          <w:sz w:val="28"/>
          <w:szCs w:val="28"/>
        </w:rPr>
        <w:t xml:space="preserve"> : </w:t>
      </w:r>
      <w:r w:rsidRPr="001B340F">
        <w:rPr>
          <w:sz w:val="28"/>
          <w:szCs w:val="28"/>
          <w:lang w:val="fr-SN"/>
        </w:rPr>
        <w:t>Structure de consommation (en %) en transport entre 2014 et 2021</w:t>
      </w:r>
      <w:bookmarkEnd w:id="72"/>
    </w:p>
    <w:tbl>
      <w:tblPr>
        <w:tblW w:w="9580" w:type="dxa"/>
        <w:tblInd w:w="-5" w:type="dxa"/>
        <w:tblCellMar>
          <w:left w:w="70" w:type="dxa"/>
          <w:right w:w="70" w:type="dxa"/>
        </w:tblCellMar>
        <w:tblLook w:val="04A0" w:firstRow="1" w:lastRow="0" w:firstColumn="1" w:lastColumn="0" w:noHBand="0" w:noVBand="1"/>
      </w:tblPr>
      <w:tblGrid>
        <w:gridCol w:w="3709"/>
        <w:gridCol w:w="1958"/>
        <w:gridCol w:w="1300"/>
        <w:gridCol w:w="1300"/>
        <w:gridCol w:w="1313"/>
      </w:tblGrid>
      <w:tr w:rsidR="00FE18F6" w:rsidRPr="00F505DC" w14:paraId="03252463" w14:textId="77777777" w:rsidTr="00A05744">
        <w:trPr>
          <w:trHeight w:val="282"/>
        </w:trPr>
        <w:tc>
          <w:tcPr>
            <w:tcW w:w="3709" w:type="dxa"/>
            <w:tcBorders>
              <w:top w:val="single" w:sz="4" w:space="0" w:color="auto"/>
              <w:left w:val="single" w:sz="4" w:space="0" w:color="auto"/>
              <w:bottom w:val="single" w:sz="4" w:space="0" w:color="auto"/>
              <w:right w:val="single" w:sz="4" w:space="0" w:color="auto"/>
            </w:tcBorders>
            <w:noWrap/>
            <w:hideMark/>
          </w:tcPr>
          <w:p w14:paraId="727C19E3" w14:textId="0F58F086" w:rsidR="00FE18F6" w:rsidRPr="00F505DC" w:rsidRDefault="00FE18F6" w:rsidP="00427D57">
            <w:pPr>
              <w:rPr>
                <w:lang w:val="fr-SN"/>
              </w:rPr>
            </w:pPr>
            <w:r w:rsidRPr="00F505DC">
              <w:rPr>
                <w:lang w:val="fr-SN"/>
              </w:rPr>
              <w:t>Nomenclature 202</w:t>
            </w:r>
            <w:r w:rsidR="00842DD4">
              <w:rPr>
                <w:lang w:val="fr-SN"/>
              </w:rPr>
              <w:t>1</w:t>
            </w:r>
          </w:p>
        </w:tc>
        <w:tc>
          <w:tcPr>
            <w:tcW w:w="1958" w:type="dxa"/>
            <w:tcBorders>
              <w:top w:val="single" w:sz="4" w:space="0" w:color="auto"/>
              <w:left w:val="nil"/>
              <w:bottom w:val="single" w:sz="4" w:space="0" w:color="auto"/>
              <w:right w:val="single" w:sz="4" w:space="0" w:color="auto"/>
            </w:tcBorders>
            <w:noWrap/>
            <w:hideMark/>
          </w:tcPr>
          <w:p w14:paraId="1DFA05E3" w14:textId="77777777" w:rsidR="00FE18F6" w:rsidRPr="00F505DC" w:rsidRDefault="00FE18F6" w:rsidP="00427D57">
            <w:pPr>
              <w:rPr>
                <w:lang w:val="fr-SN"/>
              </w:rPr>
            </w:pPr>
            <w:r w:rsidRPr="00F505DC">
              <w:rPr>
                <w:lang w:val="fr-SN"/>
              </w:rPr>
              <w:t>Nomenclature 2014</w:t>
            </w:r>
          </w:p>
        </w:tc>
        <w:tc>
          <w:tcPr>
            <w:tcW w:w="1300" w:type="dxa"/>
            <w:tcBorders>
              <w:top w:val="single" w:sz="4" w:space="0" w:color="auto"/>
              <w:left w:val="nil"/>
              <w:bottom w:val="single" w:sz="4" w:space="0" w:color="auto"/>
              <w:right w:val="single" w:sz="4" w:space="0" w:color="auto"/>
            </w:tcBorders>
            <w:noWrap/>
            <w:hideMark/>
          </w:tcPr>
          <w:p w14:paraId="1BC0A903" w14:textId="77777777" w:rsidR="00FE18F6" w:rsidRPr="00F505DC" w:rsidRDefault="00FE18F6" w:rsidP="00427D57">
            <w:pPr>
              <w:rPr>
                <w:lang w:val="fr-SN"/>
              </w:rPr>
            </w:pPr>
            <w:r w:rsidRPr="00F505DC">
              <w:rPr>
                <w:lang w:val="fr-SN"/>
              </w:rPr>
              <w:t>Pondération 2014</w:t>
            </w:r>
          </w:p>
        </w:tc>
        <w:tc>
          <w:tcPr>
            <w:tcW w:w="1300" w:type="dxa"/>
            <w:tcBorders>
              <w:top w:val="single" w:sz="4" w:space="0" w:color="auto"/>
              <w:left w:val="nil"/>
              <w:bottom w:val="single" w:sz="4" w:space="0" w:color="auto"/>
              <w:right w:val="single" w:sz="4" w:space="0" w:color="auto"/>
            </w:tcBorders>
            <w:noWrap/>
            <w:hideMark/>
          </w:tcPr>
          <w:p w14:paraId="49209FDF" w14:textId="77777777" w:rsidR="00FE18F6" w:rsidRPr="00F505DC" w:rsidRDefault="00FE18F6" w:rsidP="00427D57">
            <w:pPr>
              <w:rPr>
                <w:lang w:val="fr-SN"/>
              </w:rPr>
            </w:pPr>
            <w:r w:rsidRPr="00F505DC">
              <w:rPr>
                <w:lang w:val="fr-SN"/>
              </w:rPr>
              <w:t>Pondération</w:t>
            </w:r>
          </w:p>
          <w:p w14:paraId="03A2084E" w14:textId="77777777" w:rsidR="00FE18F6" w:rsidRPr="00F505DC" w:rsidRDefault="00FE18F6" w:rsidP="00427D57">
            <w:pPr>
              <w:rPr>
                <w:lang w:val="fr-SN"/>
              </w:rPr>
            </w:pPr>
            <w:r w:rsidRPr="00F505DC">
              <w:rPr>
                <w:lang w:val="fr-SN"/>
              </w:rPr>
              <w:t>202</w:t>
            </w:r>
            <w:r>
              <w:rPr>
                <w:lang w:val="fr-SN"/>
              </w:rPr>
              <w:t>1</w:t>
            </w:r>
          </w:p>
        </w:tc>
        <w:tc>
          <w:tcPr>
            <w:tcW w:w="1313" w:type="dxa"/>
            <w:tcBorders>
              <w:top w:val="single" w:sz="4" w:space="0" w:color="auto"/>
              <w:left w:val="nil"/>
              <w:bottom w:val="single" w:sz="4" w:space="0" w:color="auto"/>
              <w:right w:val="single" w:sz="4" w:space="0" w:color="auto"/>
            </w:tcBorders>
            <w:noWrap/>
            <w:hideMark/>
          </w:tcPr>
          <w:p w14:paraId="7A254717" w14:textId="77777777" w:rsidR="00FE18F6" w:rsidRPr="00F505DC" w:rsidRDefault="00FE18F6" w:rsidP="00427D57">
            <w:pPr>
              <w:rPr>
                <w:lang w:val="fr-SN"/>
              </w:rPr>
            </w:pPr>
            <w:r w:rsidRPr="00F505DC">
              <w:rPr>
                <w:lang w:val="fr-SN"/>
              </w:rPr>
              <w:t>Variation en point de pourcentage</w:t>
            </w:r>
          </w:p>
        </w:tc>
      </w:tr>
      <w:tr w:rsidR="00FE18F6" w:rsidRPr="00F505DC" w14:paraId="5D737878" w14:textId="77777777" w:rsidTr="00A05744">
        <w:trPr>
          <w:trHeight w:val="282"/>
        </w:trPr>
        <w:tc>
          <w:tcPr>
            <w:tcW w:w="3709" w:type="dxa"/>
            <w:tcBorders>
              <w:top w:val="nil"/>
              <w:left w:val="single" w:sz="4" w:space="0" w:color="auto"/>
              <w:bottom w:val="single" w:sz="4" w:space="0" w:color="auto"/>
              <w:right w:val="single" w:sz="4" w:space="0" w:color="auto"/>
            </w:tcBorders>
            <w:noWrap/>
            <w:vAlign w:val="bottom"/>
            <w:hideMark/>
          </w:tcPr>
          <w:p w14:paraId="42F19426" w14:textId="77777777" w:rsidR="00FE18F6" w:rsidRPr="00F505DC" w:rsidRDefault="00FE18F6" w:rsidP="00427D57">
            <w:pPr>
              <w:rPr>
                <w:b/>
                <w:bCs/>
                <w:lang w:val="fr-SN"/>
              </w:rPr>
            </w:pPr>
            <w:r w:rsidRPr="00F505DC">
              <w:rPr>
                <w:b/>
                <w:bCs/>
                <w:lang w:val="fr-SN"/>
              </w:rPr>
              <w:t>07.TRANSPORT</w:t>
            </w:r>
          </w:p>
        </w:tc>
        <w:tc>
          <w:tcPr>
            <w:tcW w:w="1958" w:type="dxa"/>
            <w:tcBorders>
              <w:top w:val="nil"/>
              <w:left w:val="nil"/>
              <w:bottom w:val="single" w:sz="4" w:space="0" w:color="auto"/>
              <w:right w:val="single" w:sz="4" w:space="0" w:color="auto"/>
            </w:tcBorders>
            <w:noWrap/>
            <w:vAlign w:val="bottom"/>
            <w:hideMark/>
          </w:tcPr>
          <w:p w14:paraId="48CD59C3" w14:textId="77777777" w:rsidR="00FE18F6" w:rsidRPr="00F505DC" w:rsidRDefault="00FE18F6" w:rsidP="00427D57">
            <w:pPr>
              <w:rPr>
                <w:b/>
                <w:bCs/>
                <w:lang w:val="fr-SN"/>
              </w:rPr>
            </w:pPr>
            <w:r w:rsidRPr="00F505DC">
              <w:rPr>
                <w:b/>
                <w:bCs/>
                <w:lang w:val="fr-SN"/>
              </w:rPr>
              <w:t>Transports</w:t>
            </w:r>
          </w:p>
        </w:tc>
        <w:tc>
          <w:tcPr>
            <w:tcW w:w="1300" w:type="dxa"/>
            <w:tcBorders>
              <w:top w:val="nil"/>
              <w:left w:val="nil"/>
              <w:bottom w:val="single" w:sz="4" w:space="0" w:color="auto"/>
              <w:right w:val="single" w:sz="4" w:space="0" w:color="auto"/>
            </w:tcBorders>
            <w:noWrap/>
            <w:vAlign w:val="bottom"/>
            <w:hideMark/>
          </w:tcPr>
          <w:p w14:paraId="08F96429" w14:textId="3A5DF2F7" w:rsidR="00FE18F6" w:rsidRPr="00F505DC" w:rsidRDefault="00FE18F6" w:rsidP="00427D57">
            <w:pPr>
              <w:rPr>
                <w:b/>
                <w:bCs/>
                <w:lang w:val="fr-SN"/>
              </w:rPr>
            </w:pPr>
            <w:r w:rsidRPr="00F505DC">
              <w:rPr>
                <w:b/>
                <w:bCs/>
                <w:lang w:val="fr-SN"/>
              </w:rPr>
              <w:t>5,6</w:t>
            </w:r>
            <w:r w:rsidR="00D85DA7">
              <w:rPr>
                <w:b/>
                <w:bCs/>
                <w:lang w:val="fr-SN"/>
              </w:rPr>
              <w:t>3</w:t>
            </w:r>
            <w:r w:rsidRPr="00F505DC">
              <w:rPr>
                <w:b/>
                <w:bCs/>
                <w:lang w:val="fr-SN"/>
              </w:rPr>
              <w:t>%</w:t>
            </w:r>
          </w:p>
        </w:tc>
        <w:tc>
          <w:tcPr>
            <w:tcW w:w="1300" w:type="dxa"/>
            <w:tcBorders>
              <w:top w:val="nil"/>
              <w:left w:val="nil"/>
              <w:bottom w:val="single" w:sz="4" w:space="0" w:color="auto"/>
              <w:right w:val="single" w:sz="4" w:space="0" w:color="auto"/>
            </w:tcBorders>
            <w:noWrap/>
            <w:vAlign w:val="bottom"/>
            <w:hideMark/>
          </w:tcPr>
          <w:p w14:paraId="628435F6" w14:textId="2028053F" w:rsidR="00FE18F6" w:rsidRPr="00842DD4" w:rsidRDefault="00D85DA7" w:rsidP="00427D57">
            <w:pPr>
              <w:rPr>
                <w:b/>
                <w:bCs/>
                <w:lang w:val="fr-SN"/>
              </w:rPr>
            </w:pPr>
            <w:r w:rsidRPr="00842DD4">
              <w:rPr>
                <w:b/>
                <w:bCs/>
                <w:lang w:val="fr-SN"/>
              </w:rPr>
              <w:t>6,06</w:t>
            </w:r>
            <w:r w:rsidR="00FE18F6" w:rsidRPr="00842DD4">
              <w:rPr>
                <w:b/>
                <w:bCs/>
                <w:lang w:val="fr-SN"/>
              </w:rPr>
              <w:t>%</w:t>
            </w:r>
          </w:p>
        </w:tc>
        <w:tc>
          <w:tcPr>
            <w:tcW w:w="1313" w:type="dxa"/>
            <w:tcBorders>
              <w:top w:val="nil"/>
              <w:left w:val="nil"/>
              <w:bottom w:val="single" w:sz="4" w:space="0" w:color="auto"/>
              <w:right w:val="single" w:sz="4" w:space="0" w:color="auto"/>
            </w:tcBorders>
            <w:noWrap/>
            <w:vAlign w:val="bottom"/>
            <w:hideMark/>
          </w:tcPr>
          <w:p w14:paraId="0516F9A2" w14:textId="0FD0A7EE" w:rsidR="00FE18F6" w:rsidRPr="00842DD4" w:rsidRDefault="00FE18F6" w:rsidP="00427D57">
            <w:pPr>
              <w:rPr>
                <w:b/>
                <w:bCs/>
                <w:lang w:val="fr-SN"/>
              </w:rPr>
            </w:pPr>
            <w:r w:rsidRPr="00842DD4">
              <w:rPr>
                <w:b/>
                <w:bCs/>
                <w:lang w:val="fr-SN"/>
              </w:rPr>
              <w:t>0,</w:t>
            </w:r>
            <w:r w:rsidR="00D85DA7" w:rsidRPr="00842DD4">
              <w:rPr>
                <w:b/>
                <w:bCs/>
                <w:lang w:val="fr-SN"/>
              </w:rPr>
              <w:t>43</w:t>
            </w:r>
            <w:r w:rsidRPr="00842DD4">
              <w:rPr>
                <w:b/>
                <w:bCs/>
                <w:lang w:val="fr-SN"/>
              </w:rPr>
              <w:t>%</w:t>
            </w:r>
          </w:p>
        </w:tc>
      </w:tr>
      <w:tr w:rsidR="00FE18F6" w:rsidRPr="00F505DC" w14:paraId="0514BA4C" w14:textId="77777777" w:rsidTr="00A05744">
        <w:trPr>
          <w:trHeight w:val="282"/>
        </w:trPr>
        <w:tc>
          <w:tcPr>
            <w:tcW w:w="3709" w:type="dxa"/>
            <w:tcBorders>
              <w:top w:val="nil"/>
              <w:left w:val="single" w:sz="4" w:space="0" w:color="auto"/>
              <w:bottom w:val="single" w:sz="4" w:space="0" w:color="auto"/>
              <w:right w:val="single" w:sz="4" w:space="0" w:color="auto"/>
            </w:tcBorders>
            <w:noWrap/>
            <w:vAlign w:val="bottom"/>
            <w:hideMark/>
          </w:tcPr>
          <w:p w14:paraId="31E16B69" w14:textId="77777777" w:rsidR="00FE18F6" w:rsidRPr="00F505DC" w:rsidRDefault="00FE18F6" w:rsidP="00427D57">
            <w:pPr>
              <w:rPr>
                <w:lang w:val="fr-SN"/>
              </w:rPr>
            </w:pPr>
            <w:r w:rsidRPr="00F505DC">
              <w:rPr>
                <w:lang w:val="fr-SN"/>
              </w:rPr>
              <w:t>0701.ACHAT DE VÉHICULES</w:t>
            </w:r>
          </w:p>
        </w:tc>
        <w:tc>
          <w:tcPr>
            <w:tcW w:w="1958" w:type="dxa"/>
            <w:tcBorders>
              <w:top w:val="nil"/>
              <w:left w:val="nil"/>
              <w:bottom w:val="single" w:sz="4" w:space="0" w:color="auto"/>
              <w:right w:val="single" w:sz="4" w:space="0" w:color="auto"/>
            </w:tcBorders>
            <w:noWrap/>
            <w:vAlign w:val="bottom"/>
            <w:hideMark/>
          </w:tcPr>
          <w:p w14:paraId="2FE2707D" w14:textId="77777777" w:rsidR="00FE18F6" w:rsidRPr="00F505DC" w:rsidRDefault="00FE18F6" w:rsidP="00427D57">
            <w:pPr>
              <w:rPr>
                <w:lang w:val="fr-SN"/>
              </w:rPr>
            </w:pPr>
            <w:r w:rsidRPr="00F505DC">
              <w:rPr>
                <w:lang w:val="fr-SN"/>
              </w:rPr>
              <w:t>Achat de véhicules</w:t>
            </w:r>
          </w:p>
        </w:tc>
        <w:tc>
          <w:tcPr>
            <w:tcW w:w="1300" w:type="dxa"/>
            <w:tcBorders>
              <w:top w:val="nil"/>
              <w:left w:val="nil"/>
              <w:bottom w:val="single" w:sz="4" w:space="0" w:color="auto"/>
              <w:right w:val="single" w:sz="4" w:space="0" w:color="auto"/>
            </w:tcBorders>
            <w:noWrap/>
            <w:vAlign w:val="bottom"/>
            <w:hideMark/>
          </w:tcPr>
          <w:p w14:paraId="1D0240FB" w14:textId="52C71ED1" w:rsidR="00FE18F6" w:rsidRPr="00F505DC" w:rsidRDefault="00FE18F6" w:rsidP="00427D57">
            <w:pPr>
              <w:rPr>
                <w:lang w:val="fr-SN"/>
              </w:rPr>
            </w:pPr>
            <w:r w:rsidRPr="00F505DC">
              <w:rPr>
                <w:lang w:val="fr-SN"/>
              </w:rPr>
              <w:t>0,4</w:t>
            </w:r>
            <w:r w:rsidR="00D85DA7">
              <w:rPr>
                <w:lang w:val="fr-SN"/>
              </w:rPr>
              <w:t>2</w:t>
            </w:r>
            <w:r w:rsidRPr="00F505DC">
              <w:rPr>
                <w:lang w:val="fr-SN"/>
              </w:rPr>
              <w:t>%</w:t>
            </w:r>
          </w:p>
        </w:tc>
        <w:tc>
          <w:tcPr>
            <w:tcW w:w="1300" w:type="dxa"/>
            <w:tcBorders>
              <w:top w:val="nil"/>
              <w:left w:val="nil"/>
              <w:bottom w:val="single" w:sz="4" w:space="0" w:color="auto"/>
              <w:right w:val="single" w:sz="4" w:space="0" w:color="auto"/>
            </w:tcBorders>
            <w:noWrap/>
            <w:vAlign w:val="bottom"/>
            <w:hideMark/>
          </w:tcPr>
          <w:p w14:paraId="7A83A14A" w14:textId="3BF60B19" w:rsidR="00FE18F6" w:rsidRPr="00F505DC" w:rsidRDefault="00FE18F6" w:rsidP="00427D57">
            <w:pPr>
              <w:rPr>
                <w:lang w:val="fr-SN"/>
              </w:rPr>
            </w:pPr>
            <w:r w:rsidRPr="00F505DC">
              <w:rPr>
                <w:lang w:val="fr-SN"/>
              </w:rPr>
              <w:t>1,3</w:t>
            </w:r>
            <w:r w:rsidR="00D85DA7">
              <w:rPr>
                <w:lang w:val="fr-SN"/>
              </w:rPr>
              <w:t>3</w:t>
            </w:r>
            <w:r w:rsidRPr="00F505DC">
              <w:rPr>
                <w:lang w:val="fr-SN"/>
              </w:rPr>
              <w:t>%</w:t>
            </w:r>
          </w:p>
        </w:tc>
        <w:tc>
          <w:tcPr>
            <w:tcW w:w="1313" w:type="dxa"/>
            <w:tcBorders>
              <w:top w:val="nil"/>
              <w:left w:val="nil"/>
              <w:bottom w:val="single" w:sz="4" w:space="0" w:color="auto"/>
              <w:right w:val="single" w:sz="4" w:space="0" w:color="auto"/>
            </w:tcBorders>
            <w:noWrap/>
            <w:vAlign w:val="bottom"/>
            <w:hideMark/>
          </w:tcPr>
          <w:p w14:paraId="26CF985C" w14:textId="69148962" w:rsidR="00FE18F6" w:rsidRPr="00F505DC" w:rsidRDefault="00FE18F6" w:rsidP="00427D57">
            <w:pPr>
              <w:rPr>
                <w:lang w:val="fr-SN"/>
              </w:rPr>
            </w:pPr>
            <w:r w:rsidRPr="00F505DC">
              <w:rPr>
                <w:lang w:val="fr-SN"/>
              </w:rPr>
              <w:t>0,9</w:t>
            </w:r>
            <w:r w:rsidR="00D85DA7">
              <w:rPr>
                <w:lang w:val="fr-SN"/>
              </w:rPr>
              <w:t>1</w:t>
            </w:r>
            <w:r w:rsidRPr="00F505DC">
              <w:rPr>
                <w:lang w:val="fr-SN"/>
              </w:rPr>
              <w:t>%</w:t>
            </w:r>
          </w:p>
        </w:tc>
      </w:tr>
      <w:tr w:rsidR="00FE18F6" w:rsidRPr="00F505DC" w14:paraId="5F2A7DB2" w14:textId="77777777" w:rsidTr="00A05744">
        <w:trPr>
          <w:trHeight w:val="282"/>
        </w:trPr>
        <w:tc>
          <w:tcPr>
            <w:tcW w:w="3709" w:type="dxa"/>
            <w:tcBorders>
              <w:top w:val="nil"/>
              <w:left w:val="single" w:sz="4" w:space="0" w:color="auto"/>
              <w:bottom w:val="single" w:sz="4" w:space="0" w:color="auto"/>
              <w:right w:val="single" w:sz="4" w:space="0" w:color="auto"/>
            </w:tcBorders>
            <w:noWrap/>
            <w:vAlign w:val="bottom"/>
            <w:hideMark/>
          </w:tcPr>
          <w:p w14:paraId="073BA3EB" w14:textId="77777777" w:rsidR="00FE18F6" w:rsidRPr="00F505DC" w:rsidRDefault="00FE18F6" w:rsidP="00427D57">
            <w:pPr>
              <w:rPr>
                <w:lang w:val="fr-SN"/>
              </w:rPr>
            </w:pPr>
            <w:r w:rsidRPr="00F505DC">
              <w:rPr>
                <w:lang w:val="fr-SN"/>
              </w:rPr>
              <w:t>0702.FONCTIONNEMENT DES ÉQUIPEMENTS DE TRANSPORT PERSONNEL</w:t>
            </w:r>
          </w:p>
        </w:tc>
        <w:tc>
          <w:tcPr>
            <w:tcW w:w="1958" w:type="dxa"/>
            <w:tcBorders>
              <w:top w:val="nil"/>
              <w:left w:val="nil"/>
              <w:bottom w:val="single" w:sz="4" w:space="0" w:color="auto"/>
              <w:right w:val="single" w:sz="4" w:space="0" w:color="auto"/>
            </w:tcBorders>
            <w:noWrap/>
            <w:vAlign w:val="bottom"/>
            <w:hideMark/>
          </w:tcPr>
          <w:p w14:paraId="160C2B97" w14:textId="77777777" w:rsidR="00FE18F6" w:rsidRPr="00F505DC" w:rsidRDefault="00FE18F6" w:rsidP="00427D57">
            <w:pPr>
              <w:rPr>
                <w:lang w:val="fr-SN"/>
              </w:rPr>
            </w:pPr>
            <w:r w:rsidRPr="00F505DC">
              <w:rPr>
                <w:lang w:val="fr-SN"/>
              </w:rPr>
              <w:t>Dépenses d'utilisation des véhicules</w:t>
            </w:r>
          </w:p>
        </w:tc>
        <w:tc>
          <w:tcPr>
            <w:tcW w:w="1300" w:type="dxa"/>
            <w:tcBorders>
              <w:top w:val="nil"/>
              <w:left w:val="nil"/>
              <w:bottom w:val="single" w:sz="4" w:space="0" w:color="auto"/>
              <w:right w:val="single" w:sz="4" w:space="0" w:color="auto"/>
            </w:tcBorders>
            <w:noWrap/>
            <w:vAlign w:val="bottom"/>
            <w:hideMark/>
          </w:tcPr>
          <w:p w14:paraId="6BF102B0" w14:textId="41F3CBE0" w:rsidR="00FE18F6" w:rsidRPr="00F505DC" w:rsidRDefault="00FE18F6" w:rsidP="00427D57">
            <w:pPr>
              <w:rPr>
                <w:lang w:val="fr-SN"/>
              </w:rPr>
            </w:pPr>
            <w:r w:rsidRPr="00F505DC">
              <w:rPr>
                <w:lang w:val="fr-SN"/>
              </w:rPr>
              <w:t>1,</w:t>
            </w:r>
            <w:r w:rsidR="00D85DA7">
              <w:rPr>
                <w:lang w:val="fr-SN"/>
              </w:rPr>
              <w:t>46</w:t>
            </w:r>
            <w:r w:rsidRPr="00F505DC">
              <w:rPr>
                <w:lang w:val="fr-SN"/>
              </w:rPr>
              <w:t>%</w:t>
            </w:r>
          </w:p>
        </w:tc>
        <w:tc>
          <w:tcPr>
            <w:tcW w:w="1300" w:type="dxa"/>
            <w:tcBorders>
              <w:top w:val="nil"/>
              <w:left w:val="nil"/>
              <w:bottom w:val="single" w:sz="4" w:space="0" w:color="auto"/>
              <w:right w:val="single" w:sz="4" w:space="0" w:color="auto"/>
            </w:tcBorders>
            <w:noWrap/>
            <w:vAlign w:val="bottom"/>
            <w:hideMark/>
          </w:tcPr>
          <w:p w14:paraId="18011B0B" w14:textId="3EB4D41C" w:rsidR="00FE18F6" w:rsidRPr="00F505DC" w:rsidRDefault="00FE18F6" w:rsidP="00427D57">
            <w:pPr>
              <w:rPr>
                <w:lang w:val="fr-SN"/>
              </w:rPr>
            </w:pPr>
            <w:r w:rsidRPr="00F505DC">
              <w:rPr>
                <w:lang w:val="fr-SN"/>
              </w:rPr>
              <w:t>1,</w:t>
            </w:r>
            <w:r w:rsidR="00D85DA7">
              <w:rPr>
                <w:lang w:val="fr-SN"/>
              </w:rPr>
              <w:t>52</w:t>
            </w:r>
            <w:r w:rsidRPr="00F505DC">
              <w:rPr>
                <w:lang w:val="fr-SN"/>
              </w:rPr>
              <w:t>%</w:t>
            </w:r>
          </w:p>
        </w:tc>
        <w:tc>
          <w:tcPr>
            <w:tcW w:w="1313" w:type="dxa"/>
            <w:tcBorders>
              <w:top w:val="nil"/>
              <w:left w:val="nil"/>
              <w:bottom w:val="single" w:sz="4" w:space="0" w:color="auto"/>
              <w:right w:val="single" w:sz="4" w:space="0" w:color="auto"/>
            </w:tcBorders>
            <w:noWrap/>
            <w:vAlign w:val="bottom"/>
            <w:hideMark/>
          </w:tcPr>
          <w:p w14:paraId="7D772745" w14:textId="1FC0347F" w:rsidR="00FE18F6" w:rsidRPr="00F505DC" w:rsidRDefault="00FE18F6" w:rsidP="00427D57">
            <w:pPr>
              <w:rPr>
                <w:lang w:val="fr-SN"/>
              </w:rPr>
            </w:pPr>
            <w:r w:rsidRPr="00F505DC">
              <w:rPr>
                <w:lang w:val="fr-SN"/>
              </w:rPr>
              <w:t>0,</w:t>
            </w:r>
            <w:r w:rsidR="00D85DA7">
              <w:rPr>
                <w:lang w:val="fr-SN"/>
              </w:rPr>
              <w:t>06</w:t>
            </w:r>
            <w:r w:rsidRPr="00F505DC">
              <w:rPr>
                <w:lang w:val="fr-SN"/>
              </w:rPr>
              <w:t>%</w:t>
            </w:r>
          </w:p>
        </w:tc>
      </w:tr>
      <w:tr w:rsidR="00FE18F6" w:rsidRPr="00F505DC" w14:paraId="6E1E2DC7" w14:textId="77777777" w:rsidTr="00A05744">
        <w:trPr>
          <w:trHeight w:val="282"/>
        </w:trPr>
        <w:tc>
          <w:tcPr>
            <w:tcW w:w="3709" w:type="dxa"/>
            <w:tcBorders>
              <w:top w:val="nil"/>
              <w:left w:val="single" w:sz="4" w:space="0" w:color="auto"/>
              <w:bottom w:val="single" w:sz="4" w:space="0" w:color="auto"/>
              <w:right w:val="single" w:sz="4" w:space="0" w:color="auto"/>
            </w:tcBorders>
            <w:noWrap/>
            <w:vAlign w:val="bottom"/>
            <w:hideMark/>
          </w:tcPr>
          <w:p w14:paraId="7C250AC6" w14:textId="77777777" w:rsidR="00FE18F6" w:rsidRPr="00F505DC" w:rsidRDefault="00FE18F6" w:rsidP="00427D57">
            <w:pPr>
              <w:rPr>
                <w:lang w:val="fr-SN"/>
              </w:rPr>
            </w:pPr>
            <w:r w:rsidRPr="00F505DC">
              <w:rPr>
                <w:lang w:val="fr-SN"/>
              </w:rPr>
              <w:t>0703.SERVICES DE TRANSPORT DE PASSAGERS</w:t>
            </w:r>
          </w:p>
        </w:tc>
        <w:tc>
          <w:tcPr>
            <w:tcW w:w="1958" w:type="dxa"/>
            <w:tcBorders>
              <w:top w:val="nil"/>
              <w:left w:val="nil"/>
              <w:bottom w:val="single" w:sz="4" w:space="0" w:color="auto"/>
              <w:right w:val="single" w:sz="4" w:space="0" w:color="auto"/>
            </w:tcBorders>
            <w:noWrap/>
            <w:vAlign w:val="bottom"/>
            <w:hideMark/>
          </w:tcPr>
          <w:p w14:paraId="341B4A76" w14:textId="77777777" w:rsidR="00FE18F6" w:rsidRPr="00F505DC" w:rsidRDefault="00FE18F6" w:rsidP="00427D57">
            <w:pPr>
              <w:rPr>
                <w:lang w:val="fr-SN"/>
              </w:rPr>
            </w:pPr>
            <w:r w:rsidRPr="00F505DC">
              <w:rPr>
                <w:lang w:val="fr-SN"/>
              </w:rPr>
              <w:t>Services de transport</w:t>
            </w:r>
          </w:p>
        </w:tc>
        <w:tc>
          <w:tcPr>
            <w:tcW w:w="1300" w:type="dxa"/>
            <w:tcBorders>
              <w:top w:val="nil"/>
              <w:left w:val="nil"/>
              <w:bottom w:val="single" w:sz="4" w:space="0" w:color="auto"/>
              <w:right w:val="single" w:sz="4" w:space="0" w:color="auto"/>
            </w:tcBorders>
            <w:noWrap/>
            <w:vAlign w:val="bottom"/>
            <w:hideMark/>
          </w:tcPr>
          <w:p w14:paraId="16046683" w14:textId="0DD8CC1B" w:rsidR="00FE18F6" w:rsidRPr="00F505DC" w:rsidRDefault="00FE18F6" w:rsidP="00427D57">
            <w:pPr>
              <w:rPr>
                <w:lang w:val="fr-SN"/>
              </w:rPr>
            </w:pPr>
            <w:r w:rsidRPr="00F505DC">
              <w:rPr>
                <w:lang w:val="fr-SN"/>
              </w:rPr>
              <w:t>3,7</w:t>
            </w:r>
            <w:r w:rsidR="00751A2B">
              <w:rPr>
                <w:lang w:val="fr-SN"/>
              </w:rPr>
              <w:t>5</w:t>
            </w:r>
            <w:r w:rsidRPr="00F505DC">
              <w:rPr>
                <w:lang w:val="fr-SN"/>
              </w:rPr>
              <w:t>%</w:t>
            </w:r>
          </w:p>
        </w:tc>
        <w:tc>
          <w:tcPr>
            <w:tcW w:w="1300" w:type="dxa"/>
            <w:tcBorders>
              <w:top w:val="nil"/>
              <w:left w:val="nil"/>
              <w:bottom w:val="single" w:sz="4" w:space="0" w:color="auto"/>
              <w:right w:val="single" w:sz="4" w:space="0" w:color="auto"/>
            </w:tcBorders>
            <w:noWrap/>
            <w:vAlign w:val="bottom"/>
            <w:hideMark/>
          </w:tcPr>
          <w:p w14:paraId="41DD7AAB" w14:textId="511AD896" w:rsidR="00FE18F6" w:rsidRPr="00F505DC" w:rsidRDefault="00FE18F6" w:rsidP="00427D57">
            <w:pPr>
              <w:rPr>
                <w:lang w:val="fr-SN"/>
              </w:rPr>
            </w:pPr>
            <w:r w:rsidRPr="00F505DC">
              <w:rPr>
                <w:lang w:val="fr-SN"/>
              </w:rPr>
              <w:t>2,9</w:t>
            </w:r>
            <w:r w:rsidR="00751A2B">
              <w:rPr>
                <w:lang w:val="fr-SN"/>
              </w:rPr>
              <w:t>1</w:t>
            </w:r>
            <w:r w:rsidRPr="00F505DC">
              <w:rPr>
                <w:lang w:val="fr-SN"/>
              </w:rPr>
              <w:t>%</w:t>
            </w:r>
          </w:p>
        </w:tc>
        <w:tc>
          <w:tcPr>
            <w:tcW w:w="1313" w:type="dxa"/>
            <w:tcBorders>
              <w:top w:val="nil"/>
              <w:left w:val="nil"/>
              <w:bottom w:val="single" w:sz="4" w:space="0" w:color="auto"/>
              <w:right w:val="single" w:sz="4" w:space="0" w:color="auto"/>
            </w:tcBorders>
            <w:noWrap/>
            <w:vAlign w:val="bottom"/>
            <w:hideMark/>
          </w:tcPr>
          <w:p w14:paraId="68B7CC1C" w14:textId="0DF3D5DA" w:rsidR="00FE18F6" w:rsidRPr="00F505DC" w:rsidRDefault="00FE18F6" w:rsidP="00427D57">
            <w:pPr>
              <w:rPr>
                <w:lang w:val="fr-SN"/>
              </w:rPr>
            </w:pPr>
            <w:r w:rsidRPr="00F505DC">
              <w:rPr>
                <w:lang w:val="fr-SN"/>
              </w:rPr>
              <w:t>-0,8</w:t>
            </w:r>
            <w:r w:rsidR="00751A2B">
              <w:rPr>
                <w:lang w:val="fr-SN"/>
              </w:rPr>
              <w:t>4</w:t>
            </w:r>
            <w:r w:rsidRPr="00F505DC">
              <w:rPr>
                <w:lang w:val="fr-SN"/>
              </w:rPr>
              <w:t>%</w:t>
            </w:r>
          </w:p>
        </w:tc>
      </w:tr>
      <w:tr w:rsidR="00FE18F6" w:rsidRPr="00F505DC" w14:paraId="26B503CD" w14:textId="77777777" w:rsidTr="00A05744">
        <w:trPr>
          <w:trHeight w:val="282"/>
        </w:trPr>
        <w:tc>
          <w:tcPr>
            <w:tcW w:w="3709" w:type="dxa"/>
            <w:tcBorders>
              <w:top w:val="nil"/>
              <w:left w:val="single" w:sz="4" w:space="0" w:color="auto"/>
              <w:bottom w:val="single" w:sz="4" w:space="0" w:color="auto"/>
              <w:right w:val="single" w:sz="4" w:space="0" w:color="auto"/>
            </w:tcBorders>
            <w:noWrap/>
            <w:vAlign w:val="bottom"/>
            <w:hideMark/>
          </w:tcPr>
          <w:p w14:paraId="16CF22CE" w14:textId="77777777" w:rsidR="00FE18F6" w:rsidRPr="00F505DC" w:rsidRDefault="00FE18F6" w:rsidP="00427D57">
            <w:pPr>
              <w:rPr>
                <w:lang w:val="fr-SN"/>
              </w:rPr>
            </w:pPr>
            <w:r w:rsidRPr="00F505DC">
              <w:rPr>
                <w:lang w:val="fr-SN"/>
              </w:rPr>
              <w:t>0704.SERVICES DE TRANSPORT DE MARCHANDISES</w:t>
            </w:r>
          </w:p>
        </w:tc>
        <w:tc>
          <w:tcPr>
            <w:tcW w:w="1958" w:type="dxa"/>
            <w:tcBorders>
              <w:top w:val="nil"/>
              <w:left w:val="nil"/>
              <w:bottom w:val="single" w:sz="4" w:space="0" w:color="auto"/>
              <w:right w:val="single" w:sz="4" w:space="0" w:color="auto"/>
            </w:tcBorders>
            <w:noWrap/>
            <w:vAlign w:val="bottom"/>
            <w:hideMark/>
          </w:tcPr>
          <w:p w14:paraId="237707E3" w14:textId="77777777" w:rsidR="00FE18F6" w:rsidRPr="00F505DC" w:rsidRDefault="00FE18F6" w:rsidP="00427D57">
            <w:pPr>
              <w:rPr>
                <w:lang w:val="fr-SN"/>
              </w:rPr>
            </w:pPr>
            <w:r w:rsidRPr="00F505DC">
              <w:rPr>
                <w:lang w:val="fr-SN"/>
              </w:rPr>
              <w:t> </w:t>
            </w:r>
          </w:p>
        </w:tc>
        <w:tc>
          <w:tcPr>
            <w:tcW w:w="1300" w:type="dxa"/>
            <w:tcBorders>
              <w:top w:val="nil"/>
              <w:left w:val="nil"/>
              <w:bottom w:val="single" w:sz="4" w:space="0" w:color="auto"/>
              <w:right w:val="single" w:sz="4" w:space="0" w:color="auto"/>
            </w:tcBorders>
            <w:shd w:val="clear" w:color="auto" w:fill="FFFF00"/>
            <w:noWrap/>
            <w:vAlign w:val="bottom"/>
            <w:hideMark/>
          </w:tcPr>
          <w:p w14:paraId="28765B25" w14:textId="77777777" w:rsidR="00FE18F6" w:rsidRPr="00F505DC" w:rsidRDefault="00FE18F6" w:rsidP="00427D57">
            <w:pPr>
              <w:rPr>
                <w:lang w:val="fr-SN"/>
              </w:rPr>
            </w:pPr>
          </w:p>
        </w:tc>
        <w:tc>
          <w:tcPr>
            <w:tcW w:w="1300" w:type="dxa"/>
            <w:tcBorders>
              <w:top w:val="nil"/>
              <w:left w:val="nil"/>
              <w:bottom w:val="single" w:sz="4" w:space="0" w:color="auto"/>
              <w:right w:val="single" w:sz="4" w:space="0" w:color="auto"/>
            </w:tcBorders>
            <w:noWrap/>
            <w:vAlign w:val="bottom"/>
            <w:hideMark/>
          </w:tcPr>
          <w:p w14:paraId="5F935F73" w14:textId="1C7D6B04" w:rsidR="00FE18F6" w:rsidRPr="00F505DC" w:rsidRDefault="00FE18F6" w:rsidP="00427D57">
            <w:pPr>
              <w:rPr>
                <w:lang w:val="fr-SN"/>
              </w:rPr>
            </w:pPr>
            <w:r w:rsidRPr="00F505DC">
              <w:rPr>
                <w:lang w:val="fr-SN"/>
              </w:rPr>
              <w:t>0,</w:t>
            </w:r>
            <w:r w:rsidR="00751A2B">
              <w:rPr>
                <w:lang w:val="fr-SN"/>
              </w:rPr>
              <w:t>09</w:t>
            </w:r>
            <w:r w:rsidRPr="00F505DC">
              <w:rPr>
                <w:lang w:val="fr-SN"/>
              </w:rPr>
              <w:t>%</w:t>
            </w:r>
          </w:p>
        </w:tc>
        <w:tc>
          <w:tcPr>
            <w:tcW w:w="1313" w:type="dxa"/>
            <w:tcBorders>
              <w:top w:val="nil"/>
              <w:left w:val="nil"/>
              <w:bottom w:val="single" w:sz="4" w:space="0" w:color="auto"/>
              <w:right w:val="single" w:sz="4" w:space="0" w:color="auto"/>
            </w:tcBorders>
            <w:shd w:val="clear" w:color="auto" w:fill="FFFF00"/>
            <w:noWrap/>
            <w:vAlign w:val="bottom"/>
            <w:hideMark/>
          </w:tcPr>
          <w:p w14:paraId="33C1A3C8" w14:textId="77777777" w:rsidR="00FE18F6" w:rsidRPr="00F505DC" w:rsidRDefault="00FE18F6" w:rsidP="00427D57">
            <w:pPr>
              <w:rPr>
                <w:lang w:val="fr-SN"/>
              </w:rPr>
            </w:pPr>
          </w:p>
        </w:tc>
      </w:tr>
    </w:tbl>
    <w:p w14:paraId="095FA8A4" w14:textId="1CD4C3FF" w:rsidR="00FE18F6" w:rsidRPr="00747953" w:rsidRDefault="00FE18F6" w:rsidP="00FE18F6">
      <w:pPr>
        <w:rPr>
          <w:i/>
          <w:iCs/>
          <w:lang w:val="fr-SN"/>
        </w:rPr>
      </w:pPr>
      <w:r w:rsidRPr="00747953">
        <w:rPr>
          <w:i/>
          <w:iCs/>
          <w:lang w:val="fr-SN"/>
        </w:rPr>
        <w:t>Source : ANSD, pondération IHPC 2014 et 202</w:t>
      </w:r>
      <w:r w:rsidR="00842DD4">
        <w:rPr>
          <w:i/>
          <w:iCs/>
          <w:lang w:val="fr-SN"/>
        </w:rPr>
        <w:t>1</w:t>
      </w:r>
      <w:r w:rsidRPr="00747953">
        <w:rPr>
          <w:i/>
          <w:iCs/>
          <w:lang w:val="fr-SN"/>
        </w:rPr>
        <w:t>.</w:t>
      </w:r>
    </w:p>
    <w:p w14:paraId="07390922" w14:textId="77777777" w:rsidR="0008044B" w:rsidRDefault="0008044B" w:rsidP="00FE18F6">
      <w:r w:rsidRPr="0008044B">
        <w:t>Selon la Direction générale des Douanes, les importations de véhicules au Sénégal ont connu une augmentation notable de 15,74 % en 2014 par rapport à 2013, passant de 28 612 à 33 118 véhicules dédouanés. Cette hausse est principalement attribuée à l'afflux de véhicules d'occasion plus abordables, principalement importés d'Europe et d'Asie. Cette tendance a été facilitée par le décret de 2012 qui a relevé l'âge limite des véhicules importés de 5 à 8 ans</w:t>
      </w:r>
      <w:r>
        <w:t>.</w:t>
      </w:r>
    </w:p>
    <w:p w14:paraId="5426D3AB" w14:textId="25A006FE" w:rsidR="00FE18F6" w:rsidRPr="0008044B" w:rsidRDefault="00FE18F6" w:rsidP="00FE18F6">
      <w:r w:rsidRPr="008312D4">
        <w:t>Cette hausse des importations de véhicules a contribué à la croissance des dépenses des ménages dans le secteur des transports.</w:t>
      </w:r>
    </w:p>
    <w:p w14:paraId="5AE526B0" w14:textId="56DA279C" w:rsidR="00FE18F6" w:rsidRPr="00C57F3A" w:rsidRDefault="00FE18F6">
      <w:pPr>
        <w:pStyle w:val="Paragraphedeliste"/>
        <w:numPr>
          <w:ilvl w:val="0"/>
          <w:numId w:val="20"/>
        </w:numPr>
        <w:rPr>
          <w:b/>
          <w:bCs/>
          <w:lang w:val="fr-SN"/>
        </w:rPr>
      </w:pPr>
      <w:r w:rsidRPr="00F974FD">
        <w:rPr>
          <w:b/>
          <w:bCs/>
          <w:lang w:val="fr-SN"/>
        </w:rPr>
        <w:t>Information et communication</w:t>
      </w:r>
    </w:p>
    <w:p w14:paraId="32968F69" w14:textId="2CF47788" w:rsidR="00FE18F6" w:rsidRDefault="00FE18F6" w:rsidP="00FE18F6">
      <w:pPr>
        <w:rPr>
          <w:lang w:val="fr-SN"/>
        </w:rPr>
      </w:pPr>
      <w:r w:rsidRPr="00F505DC">
        <w:rPr>
          <w:lang w:val="fr-SN"/>
        </w:rPr>
        <w:t>La part des dépenses des ménages allouée à la division "Information et communication" a enregistré une augmentation significative de 4,</w:t>
      </w:r>
      <w:r w:rsidR="00704ECE">
        <w:rPr>
          <w:lang w:val="fr-SN"/>
        </w:rPr>
        <w:t>17</w:t>
      </w:r>
      <w:r w:rsidRPr="00F505DC">
        <w:rPr>
          <w:lang w:val="fr-SN"/>
        </w:rPr>
        <w:t xml:space="preserve"> points de pourcentage entre 2014 et 202</w:t>
      </w:r>
      <w:r w:rsidR="00842DD4">
        <w:rPr>
          <w:lang w:val="fr-SN"/>
        </w:rPr>
        <w:t>1</w:t>
      </w:r>
      <w:r w:rsidRPr="00F505DC">
        <w:rPr>
          <w:lang w:val="fr-SN"/>
        </w:rPr>
        <w:t>, passant de 3,</w:t>
      </w:r>
      <w:r w:rsidR="00704ECE">
        <w:rPr>
          <w:lang w:val="fr-SN"/>
        </w:rPr>
        <w:t>29</w:t>
      </w:r>
      <w:r w:rsidRPr="00F505DC">
        <w:rPr>
          <w:lang w:val="fr-SN"/>
        </w:rPr>
        <w:t xml:space="preserve"> % à 7,</w:t>
      </w:r>
      <w:r w:rsidR="00704ECE">
        <w:rPr>
          <w:lang w:val="fr-SN"/>
        </w:rPr>
        <w:t>46</w:t>
      </w:r>
      <w:r w:rsidRPr="00F505DC">
        <w:rPr>
          <w:lang w:val="fr-SN"/>
        </w:rPr>
        <w:t xml:space="preserve"> %. Cette hausse est principalement due à l'augmentation des "Équipements d'information et de communication", qui ont progressé de </w:t>
      </w:r>
      <w:r w:rsidR="00704ECE">
        <w:rPr>
          <w:lang w:val="fr-SN"/>
        </w:rPr>
        <w:t>1,98</w:t>
      </w:r>
      <w:r w:rsidRPr="00F505DC">
        <w:rPr>
          <w:lang w:val="fr-SN"/>
        </w:rPr>
        <w:t xml:space="preserve"> point, passant de </w:t>
      </w:r>
      <w:r w:rsidR="00522A6B" w:rsidRPr="00F505DC">
        <w:rPr>
          <w:lang w:val="fr-SN"/>
        </w:rPr>
        <w:t>0,3</w:t>
      </w:r>
      <w:r w:rsidR="00522A6B">
        <w:rPr>
          <w:lang w:val="fr-SN"/>
        </w:rPr>
        <w:t>2</w:t>
      </w:r>
      <w:r w:rsidR="00522A6B" w:rsidRPr="00F505DC">
        <w:rPr>
          <w:lang w:val="fr-SN"/>
        </w:rPr>
        <w:t xml:space="preserve"> % à 2,</w:t>
      </w:r>
      <w:r w:rsidR="00522A6B">
        <w:rPr>
          <w:lang w:val="fr-SN"/>
        </w:rPr>
        <w:t>29</w:t>
      </w:r>
      <w:r w:rsidR="00522A6B" w:rsidRPr="00F505DC">
        <w:rPr>
          <w:lang w:val="fr-SN"/>
        </w:rPr>
        <w:t xml:space="preserve"> %. Les "Services d'information et de communication" ont également augmenté de </w:t>
      </w:r>
      <w:r w:rsidR="00522A6B">
        <w:rPr>
          <w:lang w:val="fr-SN"/>
        </w:rPr>
        <w:t>2,27</w:t>
      </w:r>
      <w:r w:rsidR="00522A6B" w:rsidRPr="00F505DC">
        <w:rPr>
          <w:lang w:val="fr-SN"/>
        </w:rPr>
        <w:t xml:space="preserve"> points, passant de </w:t>
      </w:r>
      <w:r w:rsidR="00522A6B">
        <w:rPr>
          <w:lang w:val="fr-SN"/>
        </w:rPr>
        <w:t>2,97</w:t>
      </w:r>
      <w:r w:rsidR="00522A6B" w:rsidRPr="00F505DC">
        <w:rPr>
          <w:lang w:val="fr-SN"/>
        </w:rPr>
        <w:t xml:space="preserve"> % à </w:t>
      </w:r>
      <w:r w:rsidR="00522A6B">
        <w:rPr>
          <w:lang w:val="fr-SN"/>
        </w:rPr>
        <w:t>5,24</w:t>
      </w:r>
      <w:r w:rsidR="00522A6B" w:rsidRPr="00F505DC">
        <w:rPr>
          <w:lang w:val="fr-SN"/>
        </w:rPr>
        <w:t xml:space="preserve"> %. Le groupe des services postaux, quant à lui, avec </w:t>
      </w:r>
      <w:r w:rsidR="001A42AD">
        <w:rPr>
          <w:lang w:val="fr-SN"/>
        </w:rPr>
        <w:t>un poids</w:t>
      </w:r>
      <w:r w:rsidR="001A42AD" w:rsidRPr="00F505DC">
        <w:rPr>
          <w:lang w:val="fr-SN"/>
        </w:rPr>
        <w:t xml:space="preserve"> quasi nul</w:t>
      </w:r>
      <w:r w:rsidR="00522A6B" w:rsidRPr="00F505DC">
        <w:rPr>
          <w:lang w:val="fr-SN"/>
        </w:rPr>
        <w:t xml:space="preserve"> en 2014 n’est pas enregistré en </w:t>
      </w:r>
      <w:r w:rsidR="00023158">
        <w:rPr>
          <w:lang w:val="fr-SN"/>
        </w:rPr>
        <w:t>2021</w:t>
      </w:r>
      <w:r w:rsidR="00522A6B" w:rsidRPr="00F505DC">
        <w:rPr>
          <w:lang w:val="fr-SN"/>
        </w:rPr>
        <w:t>.</w:t>
      </w:r>
    </w:p>
    <w:p w14:paraId="55088071" w14:textId="69126F77" w:rsidR="00FE18F6" w:rsidRPr="003D01BB" w:rsidRDefault="00FE18F6" w:rsidP="00FE18F6">
      <w:pPr>
        <w:pStyle w:val="Lgende"/>
        <w:keepNext/>
        <w:rPr>
          <w:b/>
          <w:bCs/>
          <w:i w:val="0"/>
          <w:iCs w:val="0"/>
          <w:sz w:val="28"/>
          <w:szCs w:val="28"/>
        </w:rPr>
      </w:pPr>
      <w:bookmarkStart w:id="73" w:name="_Toc180927602"/>
      <w:r w:rsidRPr="003D01BB">
        <w:rPr>
          <w:sz w:val="28"/>
          <w:szCs w:val="28"/>
        </w:rPr>
        <w:t xml:space="preserve">Tableau </w:t>
      </w:r>
      <w:r w:rsidRPr="003D01BB">
        <w:rPr>
          <w:b/>
          <w:bCs/>
          <w:i w:val="0"/>
          <w:iCs w:val="0"/>
          <w:sz w:val="28"/>
          <w:szCs w:val="28"/>
        </w:rPr>
        <w:fldChar w:fldCharType="begin"/>
      </w:r>
      <w:r w:rsidRPr="003D01BB">
        <w:rPr>
          <w:sz w:val="28"/>
          <w:szCs w:val="28"/>
        </w:rPr>
        <w:instrText xml:space="preserve"> SEQ Tableau \* ARABIC </w:instrText>
      </w:r>
      <w:r w:rsidRPr="003D01BB">
        <w:rPr>
          <w:b/>
          <w:bCs/>
          <w:i w:val="0"/>
          <w:iCs w:val="0"/>
          <w:sz w:val="28"/>
          <w:szCs w:val="28"/>
        </w:rPr>
        <w:fldChar w:fldCharType="separate"/>
      </w:r>
      <w:r w:rsidR="00427D57">
        <w:rPr>
          <w:noProof/>
          <w:sz w:val="28"/>
          <w:szCs w:val="28"/>
        </w:rPr>
        <w:t>8</w:t>
      </w:r>
      <w:r w:rsidRPr="003D01BB">
        <w:rPr>
          <w:b/>
          <w:bCs/>
          <w:i w:val="0"/>
          <w:iCs w:val="0"/>
          <w:sz w:val="28"/>
          <w:szCs w:val="28"/>
        </w:rPr>
        <w:fldChar w:fldCharType="end"/>
      </w:r>
      <w:r w:rsidRPr="003D01BB">
        <w:rPr>
          <w:sz w:val="28"/>
          <w:szCs w:val="28"/>
        </w:rPr>
        <w:t xml:space="preserve"> : </w:t>
      </w:r>
      <w:r w:rsidRPr="003D01BB">
        <w:rPr>
          <w:sz w:val="28"/>
          <w:szCs w:val="28"/>
          <w:lang w:val="fr-SN"/>
        </w:rPr>
        <w:t>Structure de consommation (en %) informations et communication entre 2014 et 2021</w:t>
      </w:r>
      <w:bookmarkEnd w:id="73"/>
    </w:p>
    <w:tbl>
      <w:tblPr>
        <w:tblpPr w:leftFromText="141" w:rightFromText="141" w:bottomFromText="160" w:vertAnchor="page" w:horzAnchor="margin" w:tblpXSpec="center" w:tblpY="3945"/>
        <w:tblW w:w="9527" w:type="dxa"/>
        <w:tblCellMar>
          <w:left w:w="70" w:type="dxa"/>
          <w:right w:w="70" w:type="dxa"/>
        </w:tblCellMar>
        <w:tblLook w:val="04A0" w:firstRow="1" w:lastRow="0" w:firstColumn="1" w:lastColumn="0" w:noHBand="0" w:noVBand="1"/>
      </w:tblPr>
      <w:tblGrid>
        <w:gridCol w:w="3436"/>
        <w:gridCol w:w="2322"/>
        <w:gridCol w:w="1300"/>
        <w:gridCol w:w="1300"/>
        <w:gridCol w:w="1313"/>
      </w:tblGrid>
      <w:tr w:rsidR="00522A6B" w:rsidRPr="00F505DC" w14:paraId="7662E083" w14:textId="77777777" w:rsidTr="00A05744">
        <w:trPr>
          <w:trHeight w:val="280"/>
        </w:trPr>
        <w:tc>
          <w:tcPr>
            <w:tcW w:w="3436" w:type="dxa"/>
            <w:tcBorders>
              <w:top w:val="single" w:sz="4" w:space="0" w:color="auto"/>
              <w:left w:val="single" w:sz="4" w:space="0" w:color="auto"/>
              <w:bottom w:val="single" w:sz="4" w:space="0" w:color="auto"/>
              <w:right w:val="single" w:sz="4" w:space="0" w:color="auto"/>
            </w:tcBorders>
            <w:noWrap/>
            <w:hideMark/>
          </w:tcPr>
          <w:p w14:paraId="67E2F294" w14:textId="247CEF67" w:rsidR="00522A6B" w:rsidRPr="00F505DC" w:rsidRDefault="00522A6B" w:rsidP="00522A6B">
            <w:pPr>
              <w:rPr>
                <w:lang w:val="fr-SN"/>
              </w:rPr>
            </w:pPr>
            <w:r w:rsidRPr="00F505DC">
              <w:rPr>
                <w:lang w:val="fr-SN"/>
              </w:rPr>
              <w:t>Nomenclature 202</w:t>
            </w:r>
            <w:r w:rsidR="00842DD4">
              <w:rPr>
                <w:lang w:val="fr-SN"/>
              </w:rPr>
              <w:t>1</w:t>
            </w:r>
          </w:p>
        </w:tc>
        <w:tc>
          <w:tcPr>
            <w:tcW w:w="2322" w:type="dxa"/>
            <w:tcBorders>
              <w:top w:val="single" w:sz="4" w:space="0" w:color="auto"/>
              <w:left w:val="nil"/>
              <w:bottom w:val="single" w:sz="4" w:space="0" w:color="auto"/>
              <w:right w:val="single" w:sz="4" w:space="0" w:color="auto"/>
            </w:tcBorders>
            <w:noWrap/>
            <w:hideMark/>
          </w:tcPr>
          <w:p w14:paraId="08810337" w14:textId="77777777" w:rsidR="00522A6B" w:rsidRPr="00F505DC" w:rsidRDefault="00522A6B" w:rsidP="00522A6B">
            <w:pPr>
              <w:rPr>
                <w:lang w:val="fr-SN"/>
              </w:rPr>
            </w:pPr>
            <w:r w:rsidRPr="00F505DC">
              <w:rPr>
                <w:lang w:val="fr-SN"/>
              </w:rPr>
              <w:t>Nomenclature 2014</w:t>
            </w:r>
          </w:p>
        </w:tc>
        <w:tc>
          <w:tcPr>
            <w:tcW w:w="1244" w:type="dxa"/>
            <w:tcBorders>
              <w:top w:val="single" w:sz="4" w:space="0" w:color="auto"/>
              <w:left w:val="nil"/>
              <w:bottom w:val="single" w:sz="4" w:space="0" w:color="auto"/>
              <w:right w:val="single" w:sz="4" w:space="0" w:color="auto"/>
            </w:tcBorders>
            <w:noWrap/>
            <w:hideMark/>
          </w:tcPr>
          <w:p w14:paraId="58651A96" w14:textId="77777777" w:rsidR="00522A6B" w:rsidRPr="00F505DC" w:rsidRDefault="00522A6B" w:rsidP="00522A6B">
            <w:pPr>
              <w:rPr>
                <w:lang w:val="fr-SN"/>
              </w:rPr>
            </w:pPr>
            <w:r w:rsidRPr="00F505DC">
              <w:rPr>
                <w:lang w:val="fr-SN"/>
              </w:rPr>
              <w:t>Pondération 2014</w:t>
            </w:r>
          </w:p>
        </w:tc>
        <w:tc>
          <w:tcPr>
            <w:tcW w:w="1244" w:type="dxa"/>
            <w:tcBorders>
              <w:top w:val="single" w:sz="4" w:space="0" w:color="auto"/>
              <w:left w:val="nil"/>
              <w:bottom w:val="single" w:sz="4" w:space="0" w:color="auto"/>
              <w:right w:val="single" w:sz="4" w:space="0" w:color="auto"/>
            </w:tcBorders>
            <w:noWrap/>
            <w:hideMark/>
          </w:tcPr>
          <w:p w14:paraId="39B9E2E1" w14:textId="77777777" w:rsidR="00522A6B" w:rsidRPr="00F505DC" w:rsidRDefault="00522A6B" w:rsidP="00522A6B">
            <w:pPr>
              <w:rPr>
                <w:lang w:val="fr-SN"/>
              </w:rPr>
            </w:pPr>
            <w:r w:rsidRPr="00F505DC">
              <w:rPr>
                <w:lang w:val="fr-SN"/>
              </w:rPr>
              <w:t>Pondération</w:t>
            </w:r>
          </w:p>
          <w:p w14:paraId="2B41AB47" w14:textId="77777777" w:rsidR="00522A6B" w:rsidRPr="00F505DC" w:rsidRDefault="00522A6B" w:rsidP="00522A6B">
            <w:pPr>
              <w:rPr>
                <w:lang w:val="fr-SN"/>
              </w:rPr>
            </w:pPr>
            <w:r w:rsidRPr="00F505DC">
              <w:rPr>
                <w:lang w:val="fr-SN"/>
              </w:rPr>
              <w:t>202</w:t>
            </w:r>
            <w:r>
              <w:rPr>
                <w:lang w:val="fr-SN"/>
              </w:rPr>
              <w:t>1</w:t>
            </w:r>
          </w:p>
        </w:tc>
        <w:tc>
          <w:tcPr>
            <w:tcW w:w="1281" w:type="dxa"/>
            <w:tcBorders>
              <w:top w:val="single" w:sz="4" w:space="0" w:color="auto"/>
              <w:left w:val="nil"/>
              <w:bottom w:val="single" w:sz="4" w:space="0" w:color="auto"/>
              <w:right w:val="single" w:sz="4" w:space="0" w:color="auto"/>
            </w:tcBorders>
            <w:noWrap/>
            <w:hideMark/>
          </w:tcPr>
          <w:p w14:paraId="11549EF5" w14:textId="77777777" w:rsidR="00522A6B" w:rsidRPr="00F505DC" w:rsidRDefault="00522A6B" w:rsidP="00522A6B">
            <w:pPr>
              <w:rPr>
                <w:lang w:val="fr-SN"/>
              </w:rPr>
            </w:pPr>
            <w:r w:rsidRPr="00F505DC">
              <w:rPr>
                <w:lang w:val="fr-SN"/>
              </w:rPr>
              <w:t>Variation en point de pourcentage</w:t>
            </w:r>
          </w:p>
        </w:tc>
      </w:tr>
      <w:tr w:rsidR="00522A6B" w:rsidRPr="00F505DC" w14:paraId="3C1CF550" w14:textId="77777777" w:rsidTr="00A05744">
        <w:trPr>
          <w:trHeight w:val="280"/>
        </w:trPr>
        <w:tc>
          <w:tcPr>
            <w:tcW w:w="3436" w:type="dxa"/>
            <w:tcBorders>
              <w:top w:val="nil"/>
              <w:left w:val="single" w:sz="4" w:space="0" w:color="auto"/>
              <w:bottom w:val="single" w:sz="4" w:space="0" w:color="auto"/>
              <w:right w:val="single" w:sz="4" w:space="0" w:color="auto"/>
            </w:tcBorders>
            <w:noWrap/>
            <w:vAlign w:val="bottom"/>
            <w:hideMark/>
          </w:tcPr>
          <w:p w14:paraId="4A4BF4AE" w14:textId="77777777" w:rsidR="00522A6B" w:rsidRPr="00F505DC" w:rsidRDefault="00522A6B" w:rsidP="00522A6B">
            <w:pPr>
              <w:rPr>
                <w:lang w:val="fr-SN"/>
              </w:rPr>
            </w:pPr>
            <w:r w:rsidRPr="00F505DC">
              <w:rPr>
                <w:lang w:val="fr-SN"/>
              </w:rPr>
              <w:t>INFORMATION ET COMMUNICATION</w:t>
            </w:r>
          </w:p>
        </w:tc>
        <w:tc>
          <w:tcPr>
            <w:tcW w:w="2322" w:type="dxa"/>
            <w:tcBorders>
              <w:top w:val="nil"/>
              <w:left w:val="nil"/>
              <w:bottom w:val="single" w:sz="4" w:space="0" w:color="auto"/>
              <w:right w:val="single" w:sz="4" w:space="0" w:color="auto"/>
            </w:tcBorders>
            <w:noWrap/>
            <w:vAlign w:val="bottom"/>
            <w:hideMark/>
          </w:tcPr>
          <w:p w14:paraId="5EF6910C" w14:textId="77777777" w:rsidR="00522A6B" w:rsidRPr="00F505DC" w:rsidRDefault="00522A6B" w:rsidP="00522A6B">
            <w:pPr>
              <w:rPr>
                <w:lang w:val="fr-SN"/>
              </w:rPr>
            </w:pPr>
            <w:r w:rsidRPr="00F505DC">
              <w:rPr>
                <w:lang w:val="fr-SN"/>
              </w:rPr>
              <w:t>Communication</w:t>
            </w:r>
          </w:p>
        </w:tc>
        <w:tc>
          <w:tcPr>
            <w:tcW w:w="1244" w:type="dxa"/>
            <w:tcBorders>
              <w:top w:val="nil"/>
              <w:left w:val="nil"/>
              <w:bottom w:val="single" w:sz="4" w:space="0" w:color="auto"/>
              <w:right w:val="single" w:sz="4" w:space="0" w:color="auto"/>
            </w:tcBorders>
            <w:noWrap/>
            <w:vAlign w:val="bottom"/>
            <w:hideMark/>
          </w:tcPr>
          <w:p w14:paraId="34277165" w14:textId="77777777" w:rsidR="00522A6B" w:rsidRPr="00F505DC" w:rsidRDefault="00522A6B" w:rsidP="00522A6B">
            <w:pPr>
              <w:rPr>
                <w:lang w:val="fr-SN"/>
              </w:rPr>
            </w:pPr>
            <w:r>
              <w:rPr>
                <w:rFonts w:ascii="Aptos Narrow" w:hAnsi="Aptos Narrow"/>
                <w:b/>
                <w:bCs/>
                <w:color w:val="000000"/>
                <w:sz w:val="22"/>
              </w:rPr>
              <w:t>3,29%</w:t>
            </w:r>
          </w:p>
        </w:tc>
        <w:tc>
          <w:tcPr>
            <w:tcW w:w="1244" w:type="dxa"/>
            <w:tcBorders>
              <w:top w:val="nil"/>
              <w:left w:val="nil"/>
              <w:bottom w:val="single" w:sz="4" w:space="0" w:color="auto"/>
              <w:right w:val="single" w:sz="4" w:space="0" w:color="auto"/>
            </w:tcBorders>
            <w:noWrap/>
            <w:vAlign w:val="bottom"/>
            <w:hideMark/>
          </w:tcPr>
          <w:p w14:paraId="68360914" w14:textId="77777777" w:rsidR="00522A6B" w:rsidRPr="00F505DC" w:rsidRDefault="00522A6B" w:rsidP="00522A6B">
            <w:pPr>
              <w:rPr>
                <w:lang w:val="fr-SN"/>
              </w:rPr>
            </w:pPr>
            <w:r>
              <w:rPr>
                <w:rFonts w:ascii="Aptos Narrow" w:hAnsi="Aptos Narrow"/>
                <w:b/>
                <w:bCs/>
                <w:color w:val="000000"/>
                <w:sz w:val="22"/>
              </w:rPr>
              <w:t>7,46%</w:t>
            </w:r>
          </w:p>
        </w:tc>
        <w:tc>
          <w:tcPr>
            <w:tcW w:w="1281" w:type="dxa"/>
            <w:tcBorders>
              <w:top w:val="nil"/>
              <w:left w:val="nil"/>
              <w:bottom w:val="single" w:sz="4" w:space="0" w:color="auto"/>
              <w:right w:val="single" w:sz="4" w:space="0" w:color="auto"/>
            </w:tcBorders>
            <w:noWrap/>
            <w:vAlign w:val="bottom"/>
            <w:hideMark/>
          </w:tcPr>
          <w:p w14:paraId="7C0738DA" w14:textId="77777777" w:rsidR="00522A6B" w:rsidRPr="006F1B33" w:rsidRDefault="00522A6B" w:rsidP="00522A6B">
            <w:pPr>
              <w:rPr>
                <w:b/>
                <w:bCs/>
                <w:lang w:val="fr-SN"/>
              </w:rPr>
            </w:pPr>
            <w:r w:rsidRPr="006F1B33">
              <w:rPr>
                <w:rFonts w:ascii="Aptos Narrow" w:hAnsi="Aptos Narrow"/>
                <w:b/>
                <w:bCs/>
                <w:color w:val="000000"/>
                <w:sz w:val="22"/>
              </w:rPr>
              <w:t>4,</w:t>
            </w:r>
            <w:r>
              <w:rPr>
                <w:rFonts w:ascii="Aptos Narrow" w:hAnsi="Aptos Narrow"/>
                <w:b/>
                <w:bCs/>
                <w:color w:val="000000"/>
                <w:sz w:val="22"/>
              </w:rPr>
              <w:t>17</w:t>
            </w:r>
            <w:r w:rsidRPr="006F1B33">
              <w:rPr>
                <w:rFonts w:ascii="Aptos Narrow" w:hAnsi="Aptos Narrow"/>
                <w:b/>
                <w:bCs/>
                <w:color w:val="000000"/>
                <w:sz w:val="22"/>
              </w:rPr>
              <w:t>%</w:t>
            </w:r>
          </w:p>
        </w:tc>
      </w:tr>
      <w:tr w:rsidR="00522A6B" w:rsidRPr="00F505DC" w14:paraId="7CD8CCF6" w14:textId="77777777" w:rsidTr="00A05744">
        <w:trPr>
          <w:trHeight w:val="280"/>
        </w:trPr>
        <w:tc>
          <w:tcPr>
            <w:tcW w:w="3436" w:type="dxa"/>
            <w:tcBorders>
              <w:top w:val="nil"/>
              <w:left w:val="single" w:sz="4" w:space="0" w:color="auto"/>
              <w:bottom w:val="single" w:sz="4" w:space="0" w:color="auto"/>
              <w:right w:val="single" w:sz="4" w:space="0" w:color="auto"/>
            </w:tcBorders>
            <w:noWrap/>
            <w:vAlign w:val="bottom"/>
            <w:hideMark/>
          </w:tcPr>
          <w:p w14:paraId="3DFBCA1D" w14:textId="77777777" w:rsidR="00522A6B" w:rsidRPr="00F505DC" w:rsidRDefault="00522A6B" w:rsidP="00522A6B">
            <w:pPr>
              <w:rPr>
                <w:lang w:val="fr-SN"/>
              </w:rPr>
            </w:pPr>
            <w:r w:rsidRPr="00F505DC">
              <w:rPr>
                <w:lang w:val="fr-SN"/>
              </w:rPr>
              <w:t>ÉQUIPEMENT D'INFORMATION ET DE COMMUNICATION</w:t>
            </w:r>
          </w:p>
        </w:tc>
        <w:tc>
          <w:tcPr>
            <w:tcW w:w="2322" w:type="dxa"/>
            <w:tcBorders>
              <w:top w:val="nil"/>
              <w:left w:val="nil"/>
              <w:bottom w:val="single" w:sz="4" w:space="0" w:color="auto"/>
              <w:right w:val="single" w:sz="4" w:space="0" w:color="auto"/>
            </w:tcBorders>
            <w:noWrap/>
            <w:vAlign w:val="bottom"/>
            <w:hideMark/>
          </w:tcPr>
          <w:p w14:paraId="7F85A262" w14:textId="77777777" w:rsidR="00522A6B" w:rsidRPr="00F505DC" w:rsidRDefault="00522A6B" w:rsidP="00522A6B">
            <w:pPr>
              <w:rPr>
                <w:lang w:val="fr-SN"/>
              </w:rPr>
            </w:pPr>
            <w:r w:rsidRPr="00F505DC">
              <w:rPr>
                <w:lang w:val="fr-SN"/>
              </w:rPr>
              <w:t>Matériel de téléphonie et de télécopie</w:t>
            </w:r>
          </w:p>
        </w:tc>
        <w:tc>
          <w:tcPr>
            <w:tcW w:w="1244" w:type="dxa"/>
            <w:tcBorders>
              <w:top w:val="nil"/>
              <w:left w:val="nil"/>
              <w:bottom w:val="single" w:sz="4" w:space="0" w:color="auto"/>
              <w:right w:val="single" w:sz="4" w:space="0" w:color="auto"/>
            </w:tcBorders>
            <w:noWrap/>
            <w:vAlign w:val="bottom"/>
            <w:hideMark/>
          </w:tcPr>
          <w:p w14:paraId="44B3805D" w14:textId="77777777" w:rsidR="00522A6B" w:rsidRPr="00F505DC" w:rsidRDefault="00522A6B" w:rsidP="00522A6B">
            <w:pPr>
              <w:rPr>
                <w:lang w:val="fr-SN"/>
              </w:rPr>
            </w:pPr>
            <w:r>
              <w:rPr>
                <w:rFonts w:ascii="Aptos Narrow" w:hAnsi="Aptos Narrow"/>
                <w:color w:val="000000"/>
                <w:sz w:val="22"/>
              </w:rPr>
              <w:t>0,32%</w:t>
            </w:r>
          </w:p>
        </w:tc>
        <w:tc>
          <w:tcPr>
            <w:tcW w:w="1244" w:type="dxa"/>
            <w:tcBorders>
              <w:top w:val="nil"/>
              <w:left w:val="nil"/>
              <w:bottom w:val="single" w:sz="4" w:space="0" w:color="auto"/>
              <w:right w:val="single" w:sz="4" w:space="0" w:color="auto"/>
            </w:tcBorders>
            <w:noWrap/>
            <w:vAlign w:val="bottom"/>
            <w:hideMark/>
          </w:tcPr>
          <w:p w14:paraId="355045E1" w14:textId="77777777" w:rsidR="00522A6B" w:rsidRPr="00F505DC" w:rsidRDefault="00522A6B" w:rsidP="00522A6B">
            <w:pPr>
              <w:rPr>
                <w:lang w:val="fr-SN"/>
              </w:rPr>
            </w:pPr>
            <w:r>
              <w:rPr>
                <w:rFonts w:ascii="Aptos Narrow" w:hAnsi="Aptos Narrow"/>
                <w:color w:val="000000"/>
                <w:sz w:val="22"/>
              </w:rPr>
              <w:t>2,29%</w:t>
            </w:r>
          </w:p>
        </w:tc>
        <w:tc>
          <w:tcPr>
            <w:tcW w:w="1281" w:type="dxa"/>
            <w:tcBorders>
              <w:top w:val="nil"/>
              <w:left w:val="nil"/>
              <w:bottom w:val="single" w:sz="4" w:space="0" w:color="auto"/>
              <w:right w:val="single" w:sz="4" w:space="0" w:color="auto"/>
            </w:tcBorders>
            <w:noWrap/>
            <w:vAlign w:val="bottom"/>
            <w:hideMark/>
          </w:tcPr>
          <w:p w14:paraId="63959743" w14:textId="77777777" w:rsidR="00522A6B" w:rsidRPr="00F505DC" w:rsidRDefault="00522A6B" w:rsidP="00522A6B">
            <w:pPr>
              <w:rPr>
                <w:lang w:val="fr-SN"/>
              </w:rPr>
            </w:pPr>
            <w:r>
              <w:rPr>
                <w:rFonts w:ascii="Aptos Narrow" w:hAnsi="Aptos Narrow"/>
                <w:color w:val="000000"/>
                <w:sz w:val="22"/>
              </w:rPr>
              <w:t>1,98%</w:t>
            </w:r>
          </w:p>
        </w:tc>
      </w:tr>
      <w:tr w:rsidR="00522A6B" w:rsidRPr="00F505DC" w14:paraId="7764DEE5" w14:textId="77777777" w:rsidTr="00A05744">
        <w:trPr>
          <w:trHeight w:val="280"/>
        </w:trPr>
        <w:tc>
          <w:tcPr>
            <w:tcW w:w="3436" w:type="dxa"/>
            <w:tcBorders>
              <w:top w:val="nil"/>
              <w:left w:val="single" w:sz="4" w:space="0" w:color="auto"/>
              <w:bottom w:val="single" w:sz="4" w:space="0" w:color="auto"/>
              <w:right w:val="single" w:sz="4" w:space="0" w:color="auto"/>
            </w:tcBorders>
            <w:shd w:val="clear" w:color="auto" w:fill="FFFF00"/>
            <w:noWrap/>
            <w:vAlign w:val="bottom"/>
            <w:hideMark/>
          </w:tcPr>
          <w:p w14:paraId="243C0197" w14:textId="77777777" w:rsidR="00522A6B" w:rsidRPr="00F505DC" w:rsidRDefault="00522A6B" w:rsidP="00522A6B">
            <w:pPr>
              <w:rPr>
                <w:lang w:val="fr-SN"/>
              </w:rPr>
            </w:pPr>
            <w:r w:rsidRPr="00F505DC">
              <w:rPr>
                <w:lang w:val="fr-SN"/>
              </w:rPr>
              <w:t> </w:t>
            </w:r>
          </w:p>
        </w:tc>
        <w:tc>
          <w:tcPr>
            <w:tcW w:w="2322" w:type="dxa"/>
            <w:tcBorders>
              <w:top w:val="nil"/>
              <w:left w:val="nil"/>
              <w:bottom w:val="single" w:sz="4" w:space="0" w:color="auto"/>
              <w:right w:val="single" w:sz="4" w:space="0" w:color="auto"/>
            </w:tcBorders>
            <w:noWrap/>
            <w:vAlign w:val="bottom"/>
            <w:hideMark/>
          </w:tcPr>
          <w:p w14:paraId="2D15BA06" w14:textId="77777777" w:rsidR="00522A6B" w:rsidRPr="00F505DC" w:rsidRDefault="00522A6B" w:rsidP="00522A6B">
            <w:pPr>
              <w:rPr>
                <w:lang w:val="fr-SN"/>
              </w:rPr>
            </w:pPr>
            <w:r w:rsidRPr="00F505DC">
              <w:rPr>
                <w:lang w:val="fr-SN"/>
              </w:rPr>
              <w:t>Services postaux</w:t>
            </w:r>
          </w:p>
        </w:tc>
        <w:tc>
          <w:tcPr>
            <w:tcW w:w="1244" w:type="dxa"/>
            <w:tcBorders>
              <w:top w:val="nil"/>
              <w:left w:val="nil"/>
              <w:bottom w:val="single" w:sz="4" w:space="0" w:color="auto"/>
              <w:right w:val="single" w:sz="4" w:space="0" w:color="auto"/>
            </w:tcBorders>
            <w:noWrap/>
            <w:vAlign w:val="bottom"/>
            <w:hideMark/>
          </w:tcPr>
          <w:p w14:paraId="358E4C8D" w14:textId="77777777" w:rsidR="00522A6B" w:rsidRPr="00F505DC" w:rsidRDefault="00522A6B" w:rsidP="00522A6B">
            <w:pPr>
              <w:rPr>
                <w:lang w:val="fr-SN"/>
              </w:rPr>
            </w:pPr>
            <w:r>
              <w:rPr>
                <w:rFonts w:ascii="Aptos Narrow" w:hAnsi="Aptos Narrow"/>
                <w:color w:val="000000"/>
                <w:sz w:val="22"/>
              </w:rPr>
              <w:t>0,00%</w:t>
            </w:r>
          </w:p>
        </w:tc>
        <w:tc>
          <w:tcPr>
            <w:tcW w:w="1244" w:type="dxa"/>
            <w:tcBorders>
              <w:top w:val="nil"/>
              <w:left w:val="nil"/>
              <w:bottom w:val="single" w:sz="4" w:space="0" w:color="auto"/>
              <w:right w:val="single" w:sz="4" w:space="0" w:color="auto"/>
            </w:tcBorders>
            <w:shd w:val="clear" w:color="auto" w:fill="FFFF00"/>
            <w:noWrap/>
            <w:vAlign w:val="bottom"/>
          </w:tcPr>
          <w:p w14:paraId="2F1B84EE" w14:textId="77777777" w:rsidR="00522A6B" w:rsidRPr="00F505DC" w:rsidRDefault="00522A6B" w:rsidP="00522A6B">
            <w:pPr>
              <w:rPr>
                <w:lang w:val="fr-SN"/>
              </w:rPr>
            </w:pPr>
          </w:p>
        </w:tc>
        <w:tc>
          <w:tcPr>
            <w:tcW w:w="1281" w:type="dxa"/>
            <w:tcBorders>
              <w:top w:val="nil"/>
              <w:left w:val="nil"/>
              <w:bottom w:val="single" w:sz="4" w:space="0" w:color="auto"/>
              <w:right w:val="single" w:sz="4" w:space="0" w:color="auto"/>
            </w:tcBorders>
            <w:shd w:val="clear" w:color="auto" w:fill="FFFF00"/>
            <w:noWrap/>
            <w:vAlign w:val="bottom"/>
          </w:tcPr>
          <w:p w14:paraId="4DC771C8" w14:textId="77777777" w:rsidR="00522A6B" w:rsidRPr="00F505DC" w:rsidRDefault="00522A6B" w:rsidP="00522A6B">
            <w:pPr>
              <w:rPr>
                <w:lang w:val="fr-SN"/>
              </w:rPr>
            </w:pPr>
          </w:p>
        </w:tc>
      </w:tr>
      <w:tr w:rsidR="00522A6B" w:rsidRPr="00F505DC" w14:paraId="5327096D" w14:textId="77777777" w:rsidTr="00A05744">
        <w:trPr>
          <w:trHeight w:val="280"/>
        </w:trPr>
        <w:tc>
          <w:tcPr>
            <w:tcW w:w="3436" w:type="dxa"/>
            <w:tcBorders>
              <w:top w:val="nil"/>
              <w:left w:val="single" w:sz="4" w:space="0" w:color="auto"/>
              <w:bottom w:val="single" w:sz="4" w:space="0" w:color="auto"/>
              <w:right w:val="single" w:sz="4" w:space="0" w:color="auto"/>
            </w:tcBorders>
            <w:noWrap/>
            <w:vAlign w:val="bottom"/>
            <w:hideMark/>
          </w:tcPr>
          <w:p w14:paraId="73C7DDD7" w14:textId="77777777" w:rsidR="00522A6B" w:rsidRPr="00F505DC" w:rsidRDefault="00522A6B" w:rsidP="00522A6B">
            <w:pPr>
              <w:rPr>
                <w:lang w:val="fr-SN"/>
              </w:rPr>
            </w:pPr>
            <w:r w:rsidRPr="00F505DC">
              <w:rPr>
                <w:lang w:val="fr-SN"/>
              </w:rPr>
              <w:t>SERVICES D'INFORMATION ET DE COMMUNICATION</w:t>
            </w:r>
          </w:p>
        </w:tc>
        <w:tc>
          <w:tcPr>
            <w:tcW w:w="2322" w:type="dxa"/>
            <w:tcBorders>
              <w:top w:val="nil"/>
              <w:left w:val="nil"/>
              <w:bottom w:val="single" w:sz="4" w:space="0" w:color="auto"/>
              <w:right w:val="single" w:sz="4" w:space="0" w:color="auto"/>
            </w:tcBorders>
            <w:noWrap/>
            <w:vAlign w:val="bottom"/>
            <w:hideMark/>
          </w:tcPr>
          <w:p w14:paraId="55967B9D" w14:textId="77777777" w:rsidR="00522A6B" w:rsidRPr="00F505DC" w:rsidRDefault="00522A6B" w:rsidP="00522A6B">
            <w:pPr>
              <w:rPr>
                <w:lang w:val="fr-SN"/>
              </w:rPr>
            </w:pPr>
            <w:r w:rsidRPr="00F505DC">
              <w:rPr>
                <w:lang w:val="fr-SN"/>
              </w:rPr>
              <w:t>Services de téléphonie et de télécopie</w:t>
            </w:r>
          </w:p>
        </w:tc>
        <w:tc>
          <w:tcPr>
            <w:tcW w:w="1244" w:type="dxa"/>
            <w:tcBorders>
              <w:top w:val="nil"/>
              <w:left w:val="nil"/>
              <w:bottom w:val="single" w:sz="4" w:space="0" w:color="auto"/>
              <w:right w:val="single" w:sz="4" w:space="0" w:color="auto"/>
            </w:tcBorders>
            <w:noWrap/>
            <w:vAlign w:val="bottom"/>
            <w:hideMark/>
          </w:tcPr>
          <w:p w14:paraId="09110F47" w14:textId="77777777" w:rsidR="00522A6B" w:rsidRPr="00F505DC" w:rsidRDefault="00522A6B" w:rsidP="00522A6B">
            <w:pPr>
              <w:rPr>
                <w:lang w:val="fr-SN"/>
              </w:rPr>
            </w:pPr>
            <w:r>
              <w:rPr>
                <w:rFonts w:ascii="Aptos Narrow" w:hAnsi="Aptos Narrow"/>
                <w:color w:val="000000"/>
                <w:sz w:val="22"/>
              </w:rPr>
              <w:t>2,97%</w:t>
            </w:r>
          </w:p>
        </w:tc>
        <w:tc>
          <w:tcPr>
            <w:tcW w:w="1244" w:type="dxa"/>
            <w:tcBorders>
              <w:top w:val="nil"/>
              <w:left w:val="nil"/>
              <w:bottom w:val="single" w:sz="4" w:space="0" w:color="auto"/>
              <w:right w:val="single" w:sz="4" w:space="0" w:color="auto"/>
            </w:tcBorders>
            <w:noWrap/>
            <w:vAlign w:val="bottom"/>
            <w:hideMark/>
          </w:tcPr>
          <w:p w14:paraId="6E83D714" w14:textId="77777777" w:rsidR="00522A6B" w:rsidRPr="00F505DC" w:rsidRDefault="00522A6B" w:rsidP="00522A6B">
            <w:pPr>
              <w:rPr>
                <w:lang w:val="fr-SN"/>
              </w:rPr>
            </w:pPr>
            <w:r>
              <w:rPr>
                <w:rFonts w:ascii="Aptos Narrow" w:hAnsi="Aptos Narrow"/>
                <w:color w:val="000000"/>
                <w:sz w:val="22"/>
              </w:rPr>
              <w:t>5,24%</w:t>
            </w:r>
          </w:p>
        </w:tc>
        <w:tc>
          <w:tcPr>
            <w:tcW w:w="1281" w:type="dxa"/>
            <w:tcBorders>
              <w:top w:val="nil"/>
              <w:left w:val="nil"/>
              <w:bottom w:val="single" w:sz="4" w:space="0" w:color="auto"/>
              <w:right w:val="single" w:sz="4" w:space="0" w:color="auto"/>
            </w:tcBorders>
            <w:noWrap/>
            <w:vAlign w:val="bottom"/>
            <w:hideMark/>
          </w:tcPr>
          <w:p w14:paraId="52DF149F" w14:textId="77777777" w:rsidR="00522A6B" w:rsidRPr="00F505DC" w:rsidRDefault="00522A6B" w:rsidP="00522A6B">
            <w:pPr>
              <w:rPr>
                <w:lang w:val="fr-SN"/>
              </w:rPr>
            </w:pPr>
            <w:r>
              <w:rPr>
                <w:rFonts w:ascii="Aptos Narrow" w:hAnsi="Aptos Narrow"/>
                <w:color w:val="000000"/>
                <w:sz w:val="22"/>
              </w:rPr>
              <w:t>2,27%</w:t>
            </w:r>
          </w:p>
        </w:tc>
      </w:tr>
    </w:tbl>
    <w:p w14:paraId="006F2ED4" w14:textId="56FAECF9" w:rsidR="007D4E32" w:rsidRDefault="00FE18F6" w:rsidP="00FE18F6">
      <w:pPr>
        <w:rPr>
          <w:i/>
          <w:iCs/>
          <w:lang w:val="fr-SN"/>
        </w:rPr>
      </w:pPr>
      <w:r w:rsidRPr="003D01BB">
        <w:rPr>
          <w:i/>
          <w:iCs/>
          <w:lang w:val="fr-SN"/>
        </w:rPr>
        <w:t>Source : ANSD, pondération IHPC 2014 et 202</w:t>
      </w:r>
      <w:r w:rsidR="00842DD4">
        <w:rPr>
          <w:i/>
          <w:iCs/>
          <w:lang w:val="fr-SN"/>
        </w:rPr>
        <w:t>1</w:t>
      </w:r>
      <w:r w:rsidRPr="003D01BB">
        <w:rPr>
          <w:i/>
          <w:iCs/>
          <w:lang w:val="fr-SN"/>
        </w:rPr>
        <w:t>.</w:t>
      </w:r>
    </w:p>
    <w:p w14:paraId="16606238" w14:textId="48D8EF1B" w:rsidR="00221676" w:rsidRDefault="00221676" w:rsidP="00FE18F6">
      <w:r w:rsidRPr="00221676">
        <w:t xml:space="preserve">L'augmentation de la part des dépenses des ménages allouée à la division "Information et communication", passée de 3,29 % en 2014 à 7,46 % en 2021, reflète la transformation rapide vers une société plus connectée et numérisée. Selon le </w:t>
      </w:r>
      <w:r>
        <w:t>r</w:t>
      </w:r>
      <w:r w:rsidRPr="00221676">
        <w:t>apport de l'Autorité de Régulation des Télécommunications et des Postes (ARTP), le taux de pénétration de l'</w:t>
      </w:r>
      <w:r>
        <w:t>i</w:t>
      </w:r>
      <w:r w:rsidRPr="00221676">
        <w:t xml:space="preserve">nternet mobile a doublé entre 2014 et 2021, soutenu par le déploiement de la 4G et l'expansion de la fibre optique. En 2021, le Sénégal comptait environ 16,1 millions d'abonnements </w:t>
      </w:r>
      <w:r>
        <w:t>i</w:t>
      </w:r>
      <w:r w:rsidRPr="00221676">
        <w:t>nternet, marquant une hausse de 8,52 % par rapport à 202</w:t>
      </w:r>
      <w:r>
        <w:t>0.</w:t>
      </w:r>
    </w:p>
    <w:p w14:paraId="4426FFC7" w14:textId="77777777" w:rsidR="00221676" w:rsidRPr="00221676" w:rsidRDefault="00221676" w:rsidP="00221676">
      <w:pPr>
        <w:rPr>
          <w:b/>
          <w:bCs/>
          <w:lang w:val="fr-SN"/>
        </w:rPr>
      </w:pPr>
      <w:r w:rsidRPr="00221676">
        <w:t>Cette progression est également visible dans le nombre de cartes SIM actives, qui a atteint 19,5 millions en juin 2021, soit un taux de pénétration de 117,73 % sur une population estimée à 16 millions d'habitants</w:t>
      </w:r>
      <w:r>
        <w:t>.</w:t>
      </w:r>
      <w:r w:rsidRPr="00221676">
        <w:t xml:space="preserve"> Cette croissance témoigne d'une accessibilité accrue aux services numériques et a stimulé la consommation de services numériques variés. Les données montrent également que le trafic Internet a considérablement augmenté, passant de 8,33 térabits à 13,15 térabits en 2021, représentant un taux de croissance d'environ 58 % en glissement annuel.</w:t>
      </w:r>
    </w:p>
    <w:p w14:paraId="5A9478B3" w14:textId="77777777" w:rsidR="00221676" w:rsidRPr="00221676" w:rsidRDefault="00221676" w:rsidP="00221676">
      <w:pPr>
        <w:pStyle w:val="Paragraphedeliste"/>
        <w:rPr>
          <w:b/>
          <w:bCs/>
          <w:lang w:val="fr-SN"/>
        </w:rPr>
      </w:pPr>
    </w:p>
    <w:p w14:paraId="025E4D20" w14:textId="272F3F19" w:rsidR="00FE18F6" w:rsidRPr="00F974FD" w:rsidRDefault="00FE18F6">
      <w:pPr>
        <w:pStyle w:val="Paragraphedeliste"/>
        <w:numPr>
          <w:ilvl w:val="0"/>
          <w:numId w:val="20"/>
        </w:numPr>
        <w:rPr>
          <w:b/>
          <w:bCs/>
          <w:lang w:val="fr-SN"/>
        </w:rPr>
      </w:pPr>
      <w:r w:rsidRPr="00F974FD">
        <w:rPr>
          <w:b/>
          <w:bCs/>
          <w:lang w:val="fr-SN"/>
        </w:rPr>
        <w:t>LOISIRS, SPORT ET CULTURE</w:t>
      </w:r>
    </w:p>
    <w:p w14:paraId="76C16B6F" w14:textId="48C8E852" w:rsidR="00FE18F6" w:rsidRPr="00F505DC" w:rsidRDefault="00FE18F6" w:rsidP="00FE18F6">
      <w:pPr>
        <w:rPr>
          <w:lang w:val="fr-SN"/>
        </w:rPr>
      </w:pPr>
      <w:r w:rsidRPr="00F505DC">
        <w:rPr>
          <w:lang w:val="fr-SN"/>
        </w:rPr>
        <w:t>La part des dépenses des ménages allouée à cette division a fortement diminué de 2,5</w:t>
      </w:r>
      <w:r w:rsidR="00C020F4">
        <w:rPr>
          <w:lang w:val="fr-SN"/>
        </w:rPr>
        <w:t>1</w:t>
      </w:r>
      <w:r w:rsidRPr="00F505DC">
        <w:rPr>
          <w:lang w:val="fr-SN"/>
        </w:rPr>
        <w:t xml:space="preserve"> points de pourcentage, passant de 3,53 % en 2014 à 1,0</w:t>
      </w:r>
      <w:r w:rsidR="00C020F4">
        <w:rPr>
          <w:lang w:val="fr-SN"/>
        </w:rPr>
        <w:t>2</w:t>
      </w:r>
      <w:r w:rsidRPr="00F505DC">
        <w:rPr>
          <w:lang w:val="fr-SN"/>
        </w:rPr>
        <w:t xml:space="preserve"> % en 202</w:t>
      </w:r>
      <w:r w:rsidR="00842DD4">
        <w:rPr>
          <w:lang w:val="fr-SN"/>
        </w:rPr>
        <w:t>1</w:t>
      </w:r>
      <w:r w:rsidRPr="00F505DC">
        <w:rPr>
          <w:lang w:val="fr-SN"/>
        </w:rPr>
        <w:t>. Cette baisse est principalement due à la disparition des dépenses liées aux "Articles de loisirs durables", qui ont quasiment disparu du panier de consommation, avec une baisse de 1,47 point. Les "Autres biens de loisirs" ont également diminué de 0,40 point, passant de 0,40 % à 0,01 %.</w:t>
      </w:r>
    </w:p>
    <w:p w14:paraId="754384F9" w14:textId="7ABFA1CA" w:rsidR="00FE18F6" w:rsidRPr="00F505DC" w:rsidRDefault="00FE18F6" w:rsidP="00FE18F6">
      <w:pPr>
        <w:rPr>
          <w:lang w:val="fr-SN"/>
        </w:rPr>
      </w:pPr>
      <w:r w:rsidRPr="00F505DC">
        <w:rPr>
          <w:lang w:val="fr-SN"/>
        </w:rPr>
        <w:t xml:space="preserve">Des sous-catégories comme les "Journaux, livres et articles de papeterie" ont montré une légère hausse de 0,11 point, atteignant 0,70 % en </w:t>
      </w:r>
      <w:r w:rsidR="00023158">
        <w:rPr>
          <w:lang w:val="fr-SN"/>
        </w:rPr>
        <w:t>2021</w:t>
      </w:r>
      <w:r w:rsidRPr="00F505DC">
        <w:rPr>
          <w:lang w:val="fr-SN"/>
        </w:rPr>
        <w:t xml:space="preserve">. En revanche, les "Voyages à forfait" ont enregistré une forte baisse de 0,67 point, passant de 0,77 % à 0,10 % en </w:t>
      </w:r>
      <w:r w:rsidR="00023158">
        <w:rPr>
          <w:lang w:val="fr-SN"/>
        </w:rPr>
        <w:t>2021</w:t>
      </w:r>
      <w:r w:rsidRPr="00F505DC">
        <w:rPr>
          <w:lang w:val="fr-SN"/>
        </w:rPr>
        <w:t>.</w:t>
      </w:r>
    </w:p>
    <w:p w14:paraId="3A513AC5" w14:textId="6F08F6B8" w:rsidR="00FE18F6" w:rsidRPr="00F505DC" w:rsidRDefault="00FE18F6" w:rsidP="00FE18F6">
      <w:pPr>
        <w:rPr>
          <w:lang w:val="fr-SN"/>
        </w:rPr>
      </w:pPr>
      <w:r w:rsidRPr="00F505DC">
        <w:rPr>
          <w:lang w:val="fr-SN"/>
        </w:rPr>
        <w:t xml:space="preserve">Certains groupes nouvellement apparus, comme "Jardins et animaux" et "Services de loisirs", ont vu leur </w:t>
      </w:r>
      <w:r w:rsidR="001A42AD">
        <w:rPr>
          <w:lang w:val="fr-SN"/>
        </w:rPr>
        <w:t>poids</w:t>
      </w:r>
      <w:r w:rsidRPr="00F505DC">
        <w:rPr>
          <w:lang w:val="fr-SN"/>
        </w:rPr>
        <w:t xml:space="preserve"> apparaître en 202</w:t>
      </w:r>
      <w:r w:rsidR="00842DD4">
        <w:rPr>
          <w:lang w:val="fr-SN"/>
        </w:rPr>
        <w:t>1</w:t>
      </w:r>
      <w:r w:rsidRPr="00F505DC">
        <w:rPr>
          <w:lang w:val="fr-SN"/>
        </w:rPr>
        <w:t xml:space="preserve"> avec une part de 0,02 % chacun.</w:t>
      </w:r>
    </w:p>
    <w:p w14:paraId="7E24D496" w14:textId="77777777" w:rsidR="007D4E32" w:rsidRDefault="007D4E32" w:rsidP="00FE18F6">
      <w:pPr>
        <w:pStyle w:val="Lgende"/>
        <w:keepNext/>
        <w:rPr>
          <w:sz w:val="28"/>
          <w:szCs w:val="28"/>
        </w:rPr>
      </w:pPr>
      <w:bookmarkStart w:id="74" w:name="_Toc180927603"/>
    </w:p>
    <w:p w14:paraId="21984FCB" w14:textId="77777777" w:rsidR="007D4E32" w:rsidRDefault="007D4E32" w:rsidP="00FE18F6">
      <w:pPr>
        <w:pStyle w:val="Lgende"/>
        <w:keepNext/>
        <w:rPr>
          <w:sz w:val="28"/>
          <w:szCs w:val="28"/>
        </w:rPr>
      </w:pPr>
    </w:p>
    <w:p w14:paraId="27D79D20" w14:textId="77777777" w:rsidR="007D4E32" w:rsidRDefault="007D4E32" w:rsidP="00FE18F6">
      <w:pPr>
        <w:pStyle w:val="Lgende"/>
        <w:keepNext/>
        <w:rPr>
          <w:sz w:val="28"/>
          <w:szCs w:val="28"/>
        </w:rPr>
      </w:pPr>
    </w:p>
    <w:p w14:paraId="27A0AF45" w14:textId="77777777" w:rsidR="007D4E32" w:rsidRDefault="007D4E32" w:rsidP="00FE18F6">
      <w:pPr>
        <w:pStyle w:val="Lgende"/>
        <w:keepNext/>
        <w:rPr>
          <w:sz w:val="28"/>
          <w:szCs w:val="28"/>
        </w:rPr>
      </w:pPr>
    </w:p>
    <w:p w14:paraId="2EBD1F22" w14:textId="77777777" w:rsidR="007D4E32" w:rsidRDefault="007D4E32" w:rsidP="00FE18F6">
      <w:pPr>
        <w:pStyle w:val="Lgende"/>
        <w:keepNext/>
        <w:rPr>
          <w:sz w:val="28"/>
          <w:szCs w:val="28"/>
        </w:rPr>
      </w:pPr>
    </w:p>
    <w:p w14:paraId="0BFCC076" w14:textId="77777777" w:rsidR="007D4E32" w:rsidRDefault="007D4E32" w:rsidP="007D4E32"/>
    <w:p w14:paraId="69E88103" w14:textId="77777777" w:rsidR="007D4E32" w:rsidRDefault="007D4E32" w:rsidP="00FE18F6">
      <w:pPr>
        <w:pStyle w:val="Lgende"/>
        <w:keepNext/>
        <w:rPr>
          <w:sz w:val="28"/>
          <w:szCs w:val="28"/>
        </w:rPr>
      </w:pPr>
    </w:p>
    <w:p w14:paraId="44B48227" w14:textId="77777777" w:rsidR="007D4E32" w:rsidRPr="007D4E32" w:rsidRDefault="007D4E32" w:rsidP="007D4E32"/>
    <w:p w14:paraId="79EE74E6" w14:textId="77777777" w:rsidR="007D4E32" w:rsidRDefault="007D4E32" w:rsidP="007D4E32"/>
    <w:p w14:paraId="59486A36" w14:textId="614B928F" w:rsidR="00FE18F6" w:rsidRPr="006723FF" w:rsidRDefault="00FE18F6" w:rsidP="00FE18F6">
      <w:pPr>
        <w:pStyle w:val="Lgende"/>
        <w:keepNext/>
        <w:rPr>
          <w:b/>
          <w:bCs/>
          <w:i w:val="0"/>
          <w:iCs w:val="0"/>
          <w:sz w:val="28"/>
          <w:szCs w:val="28"/>
        </w:rPr>
      </w:pPr>
      <w:r w:rsidRPr="006723FF">
        <w:rPr>
          <w:sz w:val="28"/>
          <w:szCs w:val="28"/>
        </w:rPr>
        <w:t xml:space="preserve">Tableau </w:t>
      </w:r>
      <w:r w:rsidRPr="006723FF">
        <w:rPr>
          <w:b/>
          <w:bCs/>
          <w:i w:val="0"/>
          <w:iCs w:val="0"/>
          <w:sz w:val="28"/>
          <w:szCs w:val="28"/>
        </w:rPr>
        <w:fldChar w:fldCharType="begin"/>
      </w:r>
      <w:r w:rsidRPr="006723FF">
        <w:rPr>
          <w:sz w:val="28"/>
          <w:szCs w:val="28"/>
        </w:rPr>
        <w:instrText xml:space="preserve"> SEQ Tableau \* ARABIC </w:instrText>
      </w:r>
      <w:r w:rsidRPr="006723FF">
        <w:rPr>
          <w:b/>
          <w:bCs/>
          <w:i w:val="0"/>
          <w:iCs w:val="0"/>
          <w:sz w:val="28"/>
          <w:szCs w:val="28"/>
        </w:rPr>
        <w:fldChar w:fldCharType="separate"/>
      </w:r>
      <w:r w:rsidR="00427D57">
        <w:rPr>
          <w:noProof/>
          <w:sz w:val="28"/>
          <w:szCs w:val="28"/>
        </w:rPr>
        <w:t>9</w:t>
      </w:r>
      <w:r w:rsidRPr="006723FF">
        <w:rPr>
          <w:b/>
          <w:bCs/>
          <w:i w:val="0"/>
          <w:iCs w:val="0"/>
          <w:sz w:val="28"/>
          <w:szCs w:val="28"/>
        </w:rPr>
        <w:fldChar w:fldCharType="end"/>
      </w:r>
      <w:r w:rsidRPr="006723FF">
        <w:rPr>
          <w:sz w:val="28"/>
          <w:szCs w:val="28"/>
        </w:rPr>
        <w:t xml:space="preserve"> : </w:t>
      </w:r>
      <w:r w:rsidRPr="006723FF">
        <w:rPr>
          <w:sz w:val="28"/>
          <w:szCs w:val="28"/>
          <w:lang w:val="fr-SN"/>
        </w:rPr>
        <w:t>Structure de consommation (en %) des dépenses en loisirs, sport et culture entre 2014 et 2021</w:t>
      </w:r>
      <w:bookmarkEnd w:id="74"/>
    </w:p>
    <w:tbl>
      <w:tblPr>
        <w:tblpPr w:leftFromText="141" w:rightFromText="141" w:bottomFromText="160" w:vertAnchor="text" w:horzAnchor="margin" w:tblpXSpec="center" w:tblpY="308"/>
        <w:tblW w:w="9745" w:type="dxa"/>
        <w:tblCellMar>
          <w:left w:w="70" w:type="dxa"/>
          <w:right w:w="70" w:type="dxa"/>
        </w:tblCellMar>
        <w:tblLook w:val="04A0" w:firstRow="1" w:lastRow="0" w:firstColumn="1" w:lastColumn="0" w:noHBand="0" w:noVBand="1"/>
      </w:tblPr>
      <w:tblGrid>
        <w:gridCol w:w="1848"/>
        <w:gridCol w:w="4041"/>
        <w:gridCol w:w="1300"/>
        <w:gridCol w:w="1300"/>
        <w:gridCol w:w="1313"/>
      </w:tblGrid>
      <w:tr w:rsidR="00FE18F6" w:rsidRPr="00F505DC" w14:paraId="3DFFBA52" w14:textId="77777777" w:rsidTr="00A05744">
        <w:trPr>
          <w:trHeight w:val="279"/>
        </w:trPr>
        <w:tc>
          <w:tcPr>
            <w:tcW w:w="1848" w:type="dxa"/>
            <w:tcBorders>
              <w:top w:val="single" w:sz="4" w:space="0" w:color="auto"/>
              <w:left w:val="single" w:sz="4" w:space="0" w:color="auto"/>
              <w:bottom w:val="single" w:sz="4" w:space="0" w:color="auto"/>
              <w:right w:val="single" w:sz="4" w:space="0" w:color="auto"/>
            </w:tcBorders>
            <w:noWrap/>
            <w:hideMark/>
          </w:tcPr>
          <w:p w14:paraId="4A1F80DE" w14:textId="51A4008C" w:rsidR="00FE18F6" w:rsidRPr="00F505DC" w:rsidRDefault="00FE18F6" w:rsidP="00427D57">
            <w:pPr>
              <w:rPr>
                <w:lang w:val="fr-SN"/>
              </w:rPr>
            </w:pPr>
            <w:r w:rsidRPr="00F505DC">
              <w:rPr>
                <w:lang w:val="fr-SN"/>
              </w:rPr>
              <w:t>Nomenclature 202</w:t>
            </w:r>
            <w:r w:rsidR="00842DD4">
              <w:rPr>
                <w:lang w:val="fr-SN"/>
              </w:rPr>
              <w:t>1</w:t>
            </w:r>
          </w:p>
        </w:tc>
        <w:tc>
          <w:tcPr>
            <w:tcW w:w="4041" w:type="dxa"/>
            <w:tcBorders>
              <w:top w:val="single" w:sz="4" w:space="0" w:color="auto"/>
              <w:left w:val="nil"/>
              <w:bottom w:val="single" w:sz="4" w:space="0" w:color="auto"/>
              <w:right w:val="single" w:sz="4" w:space="0" w:color="auto"/>
            </w:tcBorders>
            <w:noWrap/>
            <w:hideMark/>
          </w:tcPr>
          <w:p w14:paraId="359FAA07" w14:textId="77777777" w:rsidR="00FE18F6" w:rsidRPr="00F505DC" w:rsidRDefault="00FE18F6" w:rsidP="00427D57">
            <w:pPr>
              <w:rPr>
                <w:lang w:val="fr-SN"/>
              </w:rPr>
            </w:pPr>
            <w:r w:rsidRPr="00F505DC">
              <w:rPr>
                <w:lang w:val="fr-SN"/>
              </w:rPr>
              <w:t>Nomenclature 2014</w:t>
            </w:r>
          </w:p>
        </w:tc>
        <w:tc>
          <w:tcPr>
            <w:tcW w:w="1281" w:type="dxa"/>
            <w:tcBorders>
              <w:top w:val="single" w:sz="4" w:space="0" w:color="auto"/>
              <w:left w:val="nil"/>
              <w:bottom w:val="single" w:sz="4" w:space="0" w:color="auto"/>
              <w:right w:val="single" w:sz="4" w:space="0" w:color="auto"/>
            </w:tcBorders>
            <w:noWrap/>
            <w:hideMark/>
          </w:tcPr>
          <w:p w14:paraId="494A9F2A" w14:textId="77777777" w:rsidR="00FE18F6" w:rsidRPr="00F505DC" w:rsidRDefault="00FE18F6" w:rsidP="00427D57">
            <w:pPr>
              <w:rPr>
                <w:lang w:val="fr-SN"/>
              </w:rPr>
            </w:pPr>
            <w:r w:rsidRPr="00F505DC">
              <w:rPr>
                <w:lang w:val="fr-SN"/>
              </w:rPr>
              <w:t>Pondération 2014</w:t>
            </w:r>
          </w:p>
        </w:tc>
        <w:tc>
          <w:tcPr>
            <w:tcW w:w="1281" w:type="dxa"/>
            <w:tcBorders>
              <w:top w:val="single" w:sz="4" w:space="0" w:color="auto"/>
              <w:left w:val="nil"/>
              <w:bottom w:val="single" w:sz="4" w:space="0" w:color="auto"/>
              <w:right w:val="single" w:sz="4" w:space="0" w:color="auto"/>
            </w:tcBorders>
            <w:noWrap/>
            <w:hideMark/>
          </w:tcPr>
          <w:p w14:paraId="4EC8F92E" w14:textId="77777777" w:rsidR="00FE18F6" w:rsidRPr="00F505DC" w:rsidRDefault="00FE18F6" w:rsidP="00427D57">
            <w:pPr>
              <w:rPr>
                <w:lang w:val="fr-SN"/>
              </w:rPr>
            </w:pPr>
            <w:r w:rsidRPr="00F505DC">
              <w:rPr>
                <w:lang w:val="fr-SN"/>
              </w:rPr>
              <w:t>Pondération</w:t>
            </w:r>
          </w:p>
          <w:p w14:paraId="0F0C3B45" w14:textId="77777777" w:rsidR="00FE18F6" w:rsidRPr="00F505DC" w:rsidRDefault="00FE18F6" w:rsidP="00427D57">
            <w:pPr>
              <w:rPr>
                <w:lang w:val="fr-SN"/>
              </w:rPr>
            </w:pPr>
            <w:r w:rsidRPr="00F505DC">
              <w:rPr>
                <w:lang w:val="fr-SN"/>
              </w:rPr>
              <w:t>202</w:t>
            </w:r>
            <w:r>
              <w:rPr>
                <w:lang w:val="fr-SN"/>
              </w:rPr>
              <w:t>1</w:t>
            </w:r>
          </w:p>
        </w:tc>
        <w:tc>
          <w:tcPr>
            <w:tcW w:w="1294" w:type="dxa"/>
            <w:tcBorders>
              <w:top w:val="single" w:sz="4" w:space="0" w:color="auto"/>
              <w:left w:val="nil"/>
              <w:bottom w:val="single" w:sz="4" w:space="0" w:color="auto"/>
              <w:right w:val="single" w:sz="4" w:space="0" w:color="auto"/>
            </w:tcBorders>
            <w:noWrap/>
            <w:hideMark/>
          </w:tcPr>
          <w:p w14:paraId="634A8C92" w14:textId="77777777" w:rsidR="00FE18F6" w:rsidRPr="00F505DC" w:rsidRDefault="00FE18F6" w:rsidP="00427D57">
            <w:pPr>
              <w:rPr>
                <w:lang w:val="fr-SN"/>
              </w:rPr>
            </w:pPr>
            <w:r w:rsidRPr="00F505DC">
              <w:rPr>
                <w:lang w:val="fr-SN"/>
              </w:rPr>
              <w:t>Variation en point de pourcentage</w:t>
            </w:r>
          </w:p>
        </w:tc>
      </w:tr>
      <w:tr w:rsidR="00FE18F6" w:rsidRPr="00F505DC" w14:paraId="6AE2072A"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169BAA3E" w14:textId="77777777" w:rsidR="00FE18F6" w:rsidRPr="00F505DC" w:rsidRDefault="00FE18F6" w:rsidP="00427D57">
            <w:pPr>
              <w:rPr>
                <w:lang w:val="fr-SN"/>
              </w:rPr>
            </w:pPr>
            <w:r w:rsidRPr="00F505DC">
              <w:rPr>
                <w:lang w:val="fr-SN"/>
              </w:rPr>
              <w:t>LOISIRS, SPORT ET CULTURE</w:t>
            </w:r>
          </w:p>
        </w:tc>
        <w:tc>
          <w:tcPr>
            <w:tcW w:w="4041" w:type="dxa"/>
            <w:tcBorders>
              <w:top w:val="nil"/>
              <w:left w:val="nil"/>
              <w:bottom w:val="single" w:sz="4" w:space="0" w:color="auto"/>
              <w:right w:val="single" w:sz="4" w:space="0" w:color="auto"/>
            </w:tcBorders>
            <w:noWrap/>
            <w:vAlign w:val="bottom"/>
            <w:hideMark/>
          </w:tcPr>
          <w:p w14:paraId="6CDEC6D1" w14:textId="77777777" w:rsidR="00FE18F6" w:rsidRPr="00F505DC" w:rsidRDefault="00FE18F6" w:rsidP="00427D57">
            <w:pPr>
              <w:rPr>
                <w:lang w:val="fr-SN"/>
              </w:rPr>
            </w:pPr>
            <w:r w:rsidRPr="00F505DC">
              <w:rPr>
                <w:lang w:val="fr-SN"/>
              </w:rPr>
              <w:t>Loisirs et culture</w:t>
            </w:r>
          </w:p>
        </w:tc>
        <w:tc>
          <w:tcPr>
            <w:tcW w:w="1281" w:type="dxa"/>
            <w:tcBorders>
              <w:top w:val="nil"/>
              <w:left w:val="nil"/>
              <w:bottom w:val="single" w:sz="4" w:space="0" w:color="auto"/>
              <w:right w:val="single" w:sz="4" w:space="0" w:color="auto"/>
            </w:tcBorders>
            <w:noWrap/>
            <w:vAlign w:val="bottom"/>
            <w:hideMark/>
          </w:tcPr>
          <w:p w14:paraId="397E25E7" w14:textId="77777777" w:rsidR="00FE18F6" w:rsidRPr="00F505DC" w:rsidRDefault="00FE18F6" w:rsidP="00427D57">
            <w:pPr>
              <w:rPr>
                <w:lang w:val="fr-SN"/>
              </w:rPr>
            </w:pPr>
            <w:r w:rsidRPr="00F505DC">
              <w:rPr>
                <w:b/>
                <w:bCs/>
                <w:lang w:val="fr-SN"/>
              </w:rPr>
              <w:t>3,53%</w:t>
            </w:r>
          </w:p>
        </w:tc>
        <w:tc>
          <w:tcPr>
            <w:tcW w:w="1281" w:type="dxa"/>
            <w:tcBorders>
              <w:top w:val="nil"/>
              <w:left w:val="nil"/>
              <w:bottom w:val="single" w:sz="4" w:space="0" w:color="auto"/>
              <w:right w:val="single" w:sz="4" w:space="0" w:color="auto"/>
            </w:tcBorders>
            <w:noWrap/>
            <w:vAlign w:val="bottom"/>
            <w:hideMark/>
          </w:tcPr>
          <w:p w14:paraId="3780F100" w14:textId="509C0AE2" w:rsidR="00FE18F6" w:rsidRPr="00F505DC" w:rsidRDefault="00FE18F6" w:rsidP="00427D57">
            <w:pPr>
              <w:rPr>
                <w:lang w:val="fr-SN"/>
              </w:rPr>
            </w:pPr>
            <w:r w:rsidRPr="00F505DC">
              <w:rPr>
                <w:b/>
                <w:bCs/>
                <w:lang w:val="fr-SN"/>
              </w:rPr>
              <w:t>1,0</w:t>
            </w:r>
            <w:r w:rsidR="00C020F4">
              <w:rPr>
                <w:b/>
                <w:bCs/>
                <w:lang w:val="fr-SN"/>
              </w:rPr>
              <w:t>2</w:t>
            </w:r>
            <w:r w:rsidRPr="00F505DC">
              <w:rPr>
                <w:b/>
                <w:bCs/>
                <w:lang w:val="fr-SN"/>
              </w:rPr>
              <w:t>%</w:t>
            </w:r>
          </w:p>
        </w:tc>
        <w:tc>
          <w:tcPr>
            <w:tcW w:w="1294" w:type="dxa"/>
            <w:tcBorders>
              <w:top w:val="nil"/>
              <w:left w:val="nil"/>
              <w:bottom w:val="single" w:sz="4" w:space="0" w:color="auto"/>
              <w:right w:val="single" w:sz="4" w:space="0" w:color="auto"/>
            </w:tcBorders>
            <w:noWrap/>
            <w:vAlign w:val="bottom"/>
            <w:hideMark/>
          </w:tcPr>
          <w:p w14:paraId="68AA5DEC" w14:textId="5F41B853" w:rsidR="00FE18F6" w:rsidRPr="00F505DC" w:rsidRDefault="00FE18F6" w:rsidP="00427D57">
            <w:pPr>
              <w:rPr>
                <w:lang w:val="fr-SN"/>
              </w:rPr>
            </w:pPr>
            <w:r w:rsidRPr="00F505DC">
              <w:rPr>
                <w:lang w:val="fr-SN"/>
              </w:rPr>
              <w:t>-2,5</w:t>
            </w:r>
            <w:r w:rsidR="00C020F4">
              <w:rPr>
                <w:lang w:val="fr-SN"/>
              </w:rPr>
              <w:t>1</w:t>
            </w:r>
            <w:r w:rsidRPr="00F505DC">
              <w:rPr>
                <w:lang w:val="fr-SN"/>
              </w:rPr>
              <w:t>%</w:t>
            </w:r>
          </w:p>
        </w:tc>
      </w:tr>
      <w:tr w:rsidR="00FE18F6" w:rsidRPr="00F505DC" w14:paraId="0C7152E1"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7C39CDB1" w14:textId="77777777" w:rsidR="00FE18F6" w:rsidRPr="00F505DC" w:rsidRDefault="00FE18F6" w:rsidP="00427D57">
            <w:pPr>
              <w:rPr>
                <w:lang w:val="fr-SN"/>
              </w:rPr>
            </w:pPr>
            <w:r w:rsidRPr="00F505DC">
              <w:rPr>
                <w:lang w:val="fr-SN"/>
              </w:rPr>
              <w:t>ARTICLES DE LOISIRS DURABLES</w:t>
            </w:r>
          </w:p>
        </w:tc>
        <w:tc>
          <w:tcPr>
            <w:tcW w:w="4041" w:type="dxa"/>
            <w:tcBorders>
              <w:top w:val="nil"/>
              <w:left w:val="nil"/>
              <w:bottom w:val="single" w:sz="4" w:space="0" w:color="auto"/>
              <w:right w:val="single" w:sz="4" w:space="0" w:color="auto"/>
            </w:tcBorders>
            <w:noWrap/>
            <w:vAlign w:val="bottom"/>
            <w:hideMark/>
          </w:tcPr>
          <w:p w14:paraId="5094EDD2" w14:textId="77777777" w:rsidR="00FE18F6" w:rsidRPr="00F505DC" w:rsidRDefault="00FE18F6" w:rsidP="00427D57">
            <w:pPr>
              <w:rPr>
                <w:lang w:val="fr-SN"/>
              </w:rPr>
            </w:pPr>
            <w:r w:rsidRPr="00F505DC">
              <w:rPr>
                <w:lang w:val="fr-SN"/>
              </w:rPr>
              <w:t>Matériel audiovisuel, photographique et de traitement de l'image et du son</w:t>
            </w:r>
          </w:p>
        </w:tc>
        <w:tc>
          <w:tcPr>
            <w:tcW w:w="1281" w:type="dxa"/>
            <w:tcBorders>
              <w:top w:val="nil"/>
              <w:left w:val="nil"/>
              <w:bottom w:val="single" w:sz="4" w:space="0" w:color="auto"/>
              <w:right w:val="single" w:sz="4" w:space="0" w:color="auto"/>
            </w:tcBorders>
            <w:noWrap/>
            <w:vAlign w:val="bottom"/>
            <w:hideMark/>
          </w:tcPr>
          <w:p w14:paraId="7C746821" w14:textId="77777777" w:rsidR="00FE18F6" w:rsidRPr="00F505DC" w:rsidRDefault="00FE18F6" w:rsidP="00427D57">
            <w:pPr>
              <w:rPr>
                <w:lang w:val="fr-SN"/>
              </w:rPr>
            </w:pPr>
            <w:r w:rsidRPr="00F505DC">
              <w:rPr>
                <w:lang w:val="fr-SN"/>
              </w:rPr>
              <w:t>1,47%</w:t>
            </w:r>
          </w:p>
        </w:tc>
        <w:tc>
          <w:tcPr>
            <w:tcW w:w="1281" w:type="dxa"/>
            <w:tcBorders>
              <w:top w:val="nil"/>
              <w:left w:val="nil"/>
              <w:bottom w:val="single" w:sz="4" w:space="0" w:color="auto"/>
              <w:right w:val="single" w:sz="4" w:space="0" w:color="auto"/>
            </w:tcBorders>
            <w:noWrap/>
            <w:vAlign w:val="bottom"/>
            <w:hideMark/>
          </w:tcPr>
          <w:p w14:paraId="18CBA7D6" w14:textId="77777777" w:rsidR="00FE18F6" w:rsidRPr="00F505DC" w:rsidRDefault="00FE18F6" w:rsidP="00427D57">
            <w:pPr>
              <w:rPr>
                <w:lang w:val="fr-SN"/>
              </w:rPr>
            </w:pPr>
            <w:r w:rsidRPr="00F505DC">
              <w:rPr>
                <w:lang w:val="fr-SN"/>
              </w:rPr>
              <w:t>0,00%</w:t>
            </w:r>
          </w:p>
        </w:tc>
        <w:tc>
          <w:tcPr>
            <w:tcW w:w="1294" w:type="dxa"/>
            <w:tcBorders>
              <w:top w:val="nil"/>
              <w:left w:val="nil"/>
              <w:bottom w:val="single" w:sz="4" w:space="0" w:color="auto"/>
              <w:right w:val="single" w:sz="4" w:space="0" w:color="auto"/>
            </w:tcBorders>
            <w:noWrap/>
            <w:vAlign w:val="bottom"/>
            <w:hideMark/>
          </w:tcPr>
          <w:p w14:paraId="57F27B4E" w14:textId="77777777" w:rsidR="00FE18F6" w:rsidRPr="00F505DC" w:rsidRDefault="00FE18F6" w:rsidP="00427D57">
            <w:pPr>
              <w:rPr>
                <w:lang w:val="fr-SN"/>
              </w:rPr>
            </w:pPr>
            <w:r w:rsidRPr="00F505DC">
              <w:rPr>
                <w:lang w:val="fr-SN"/>
              </w:rPr>
              <w:t>-1,47%</w:t>
            </w:r>
          </w:p>
        </w:tc>
      </w:tr>
      <w:tr w:rsidR="00FE18F6" w:rsidRPr="00F505DC" w14:paraId="48CB0C82"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728538A8" w14:textId="77777777" w:rsidR="00FE18F6" w:rsidRPr="00F505DC" w:rsidRDefault="00FE18F6" w:rsidP="00427D57">
            <w:pPr>
              <w:rPr>
                <w:lang w:val="fr-SN"/>
              </w:rPr>
            </w:pPr>
            <w:r w:rsidRPr="00F505DC">
              <w:rPr>
                <w:lang w:val="fr-SN"/>
              </w:rPr>
              <w:t>AUTRES BIENS DE LOISIRS</w:t>
            </w:r>
          </w:p>
        </w:tc>
        <w:tc>
          <w:tcPr>
            <w:tcW w:w="4041" w:type="dxa"/>
            <w:tcBorders>
              <w:top w:val="nil"/>
              <w:left w:val="nil"/>
              <w:bottom w:val="single" w:sz="4" w:space="0" w:color="auto"/>
              <w:right w:val="single" w:sz="4" w:space="0" w:color="auto"/>
            </w:tcBorders>
            <w:noWrap/>
            <w:vAlign w:val="bottom"/>
            <w:hideMark/>
          </w:tcPr>
          <w:p w14:paraId="7BDB8AB3" w14:textId="064280B5" w:rsidR="00FE18F6" w:rsidRPr="00F505DC" w:rsidRDefault="00FE18F6" w:rsidP="00427D57">
            <w:pPr>
              <w:rPr>
                <w:lang w:val="fr-SN"/>
              </w:rPr>
            </w:pPr>
            <w:r w:rsidRPr="00F505DC">
              <w:rPr>
                <w:lang w:val="fr-SN"/>
              </w:rPr>
              <w:t>Autres articles et matériel de loisirs, de jardinage et anim</w:t>
            </w:r>
            <w:r w:rsidR="007D4E32">
              <w:rPr>
                <w:lang w:val="fr-SN"/>
              </w:rPr>
              <w:t>e</w:t>
            </w:r>
          </w:p>
        </w:tc>
        <w:tc>
          <w:tcPr>
            <w:tcW w:w="1281" w:type="dxa"/>
            <w:tcBorders>
              <w:top w:val="nil"/>
              <w:left w:val="nil"/>
              <w:bottom w:val="single" w:sz="4" w:space="0" w:color="auto"/>
              <w:right w:val="single" w:sz="4" w:space="0" w:color="auto"/>
            </w:tcBorders>
            <w:noWrap/>
            <w:vAlign w:val="bottom"/>
            <w:hideMark/>
          </w:tcPr>
          <w:p w14:paraId="3064F707" w14:textId="77777777" w:rsidR="00FE18F6" w:rsidRPr="00F505DC" w:rsidRDefault="00FE18F6" w:rsidP="00427D57">
            <w:pPr>
              <w:rPr>
                <w:lang w:val="fr-SN"/>
              </w:rPr>
            </w:pPr>
            <w:r w:rsidRPr="00F505DC">
              <w:rPr>
                <w:lang w:val="fr-SN"/>
              </w:rPr>
              <w:t>0,40%</w:t>
            </w:r>
          </w:p>
        </w:tc>
        <w:tc>
          <w:tcPr>
            <w:tcW w:w="1281" w:type="dxa"/>
            <w:tcBorders>
              <w:top w:val="nil"/>
              <w:left w:val="nil"/>
              <w:bottom w:val="single" w:sz="4" w:space="0" w:color="auto"/>
              <w:right w:val="single" w:sz="4" w:space="0" w:color="auto"/>
            </w:tcBorders>
            <w:noWrap/>
            <w:vAlign w:val="bottom"/>
            <w:hideMark/>
          </w:tcPr>
          <w:p w14:paraId="2C65A714" w14:textId="77777777" w:rsidR="00FE18F6" w:rsidRPr="00F505DC" w:rsidRDefault="00FE18F6" w:rsidP="00427D57">
            <w:pPr>
              <w:rPr>
                <w:lang w:val="fr-SN"/>
              </w:rPr>
            </w:pPr>
            <w:r w:rsidRPr="00F505DC">
              <w:rPr>
                <w:lang w:val="fr-SN"/>
              </w:rPr>
              <w:t>0,01%</w:t>
            </w:r>
          </w:p>
        </w:tc>
        <w:tc>
          <w:tcPr>
            <w:tcW w:w="1294" w:type="dxa"/>
            <w:tcBorders>
              <w:top w:val="nil"/>
              <w:left w:val="nil"/>
              <w:bottom w:val="single" w:sz="4" w:space="0" w:color="auto"/>
              <w:right w:val="single" w:sz="4" w:space="0" w:color="auto"/>
            </w:tcBorders>
            <w:noWrap/>
            <w:vAlign w:val="bottom"/>
            <w:hideMark/>
          </w:tcPr>
          <w:p w14:paraId="52C77472" w14:textId="77777777" w:rsidR="00FE18F6" w:rsidRPr="00F505DC" w:rsidRDefault="00FE18F6" w:rsidP="00427D57">
            <w:pPr>
              <w:rPr>
                <w:lang w:val="fr-SN"/>
              </w:rPr>
            </w:pPr>
            <w:r w:rsidRPr="00F505DC">
              <w:rPr>
                <w:lang w:val="fr-SN"/>
              </w:rPr>
              <w:t>-0,40%</w:t>
            </w:r>
          </w:p>
        </w:tc>
      </w:tr>
      <w:tr w:rsidR="00FE18F6" w:rsidRPr="00F505DC" w14:paraId="4EC62BB1"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30ABC1ED" w14:textId="77777777" w:rsidR="00FE18F6" w:rsidRPr="00F505DC" w:rsidRDefault="00FE18F6" w:rsidP="00427D57">
            <w:pPr>
              <w:rPr>
                <w:lang w:val="fr-SN"/>
              </w:rPr>
            </w:pPr>
            <w:r w:rsidRPr="00F505DC">
              <w:rPr>
                <w:lang w:val="fr-SN"/>
              </w:rPr>
              <w:t>JARDINS ET ANIMAUX</w:t>
            </w:r>
          </w:p>
        </w:tc>
        <w:tc>
          <w:tcPr>
            <w:tcW w:w="4041" w:type="dxa"/>
            <w:tcBorders>
              <w:top w:val="nil"/>
              <w:left w:val="nil"/>
              <w:bottom w:val="single" w:sz="4" w:space="0" w:color="auto"/>
              <w:right w:val="single" w:sz="4" w:space="0" w:color="auto"/>
            </w:tcBorders>
            <w:shd w:val="clear" w:color="auto" w:fill="FFFF00"/>
            <w:noWrap/>
            <w:vAlign w:val="bottom"/>
            <w:hideMark/>
          </w:tcPr>
          <w:p w14:paraId="483B6DC0" w14:textId="77777777" w:rsidR="00FE18F6" w:rsidRPr="00F505DC" w:rsidRDefault="00FE18F6" w:rsidP="00427D57">
            <w:pPr>
              <w:rPr>
                <w:lang w:val="fr-SN"/>
              </w:rPr>
            </w:pPr>
            <w:r w:rsidRPr="00F505DC">
              <w:rPr>
                <w:lang w:val="fr-SN"/>
              </w:rPr>
              <w:t> </w:t>
            </w:r>
          </w:p>
        </w:tc>
        <w:tc>
          <w:tcPr>
            <w:tcW w:w="1281" w:type="dxa"/>
            <w:tcBorders>
              <w:top w:val="nil"/>
              <w:left w:val="nil"/>
              <w:bottom w:val="single" w:sz="4" w:space="0" w:color="auto"/>
              <w:right w:val="single" w:sz="4" w:space="0" w:color="auto"/>
            </w:tcBorders>
            <w:shd w:val="clear" w:color="auto" w:fill="FFFF00"/>
            <w:noWrap/>
            <w:vAlign w:val="bottom"/>
          </w:tcPr>
          <w:p w14:paraId="2AEE319F" w14:textId="77777777" w:rsidR="00FE18F6" w:rsidRPr="00F505DC" w:rsidRDefault="00FE18F6" w:rsidP="00427D57">
            <w:pPr>
              <w:rPr>
                <w:lang w:val="fr-SN"/>
              </w:rPr>
            </w:pPr>
          </w:p>
        </w:tc>
        <w:tc>
          <w:tcPr>
            <w:tcW w:w="1281" w:type="dxa"/>
            <w:tcBorders>
              <w:top w:val="nil"/>
              <w:left w:val="nil"/>
              <w:bottom w:val="single" w:sz="4" w:space="0" w:color="auto"/>
              <w:right w:val="single" w:sz="4" w:space="0" w:color="auto"/>
            </w:tcBorders>
            <w:noWrap/>
            <w:vAlign w:val="bottom"/>
            <w:hideMark/>
          </w:tcPr>
          <w:p w14:paraId="0EF2768F" w14:textId="77777777" w:rsidR="00FE18F6" w:rsidRPr="00F505DC" w:rsidRDefault="00FE18F6" w:rsidP="00427D57">
            <w:pPr>
              <w:rPr>
                <w:lang w:val="fr-SN"/>
              </w:rPr>
            </w:pPr>
            <w:r w:rsidRPr="00F505DC">
              <w:rPr>
                <w:lang w:val="fr-SN"/>
              </w:rPr>
              <w:t>0,02%</w:t>
            </w:r>
          </w:p>
        </w:tc>
        <w:tc>
          <w:tcPr>
            <w:tcW w:w="1294" w:type="dxa"/>
            <w:tcBorders>
              <w:top w:val="nil"/>
              <w:left w:val="nil"/>
              <w:bottom w:val="single" w:sz="4" w:space="0" w:color="auto"/>
              <w:right w:val="single" w:sz="4" w:space="0" w:color="auto"/>
            </w:tcBorders>
            <w:shd w:val="clear" w:color="auto" w:fill="FFFF00"/>
            <w:noWrap/>
            <w:vAlign w:val="bottom"/>
          </w:tcPr>
          <w:p w14:paraId="06BAFE9B" w14:textId="77777777" w:rsidR="00FE18F6" w:rsidRPr="00F505DC" w:rsidRDefault="00FE18F6" w:rsidP="00427D57">
            <w:pPr>
              <w:rPr>
                <w:lang w:val="fr-SN"/>
              </w:rPr>
            </w:pPr>
          </w:p>
        </w:tc>
      </w:tr>
      <w:tr w:rsidR="00FE18F6" w:rsidRPr="00F505DC" w14:paraId="0DF03611"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238705A9" w14:textId="77777777" w:rsidR="00FE18F6" w:rsidRPr="00F505DC" w:rsidRDefault="00FE18F6" w:rsidP="00427D57">
            <w:pPr>
              <w:rPr>
                <w:lang w:val="fr-SN"/>
              </w:rPr>
            </w:pPr>
            <w:r w:rsidRPr="00F505DC">
              <w:rPr>
                <w:lang w:val="fr-SN"/>
              </w:rPr>
              <w:t>SERVICES DE LOISIRS</w:t>
            </w:r>
          </w:p>
        </w:tc>
        <w:tc>
          <w:tcPr>
            <w:tcW w:w="4041" w:type="dxa"/>
            <w:tcBorders>
              <w:top w:val="nil"/>
              <w:left w:val="nil"/>
              <w:bottom w:val="single" w:sz="4" w:space="0" w:color="auto"/>
              <w:right w:val="single" w:sz="4" w:space="0" w:color="auto"/>
            </w:tcBorders>
            <w:shd w:val="clear" w:color="auto" w:fill="FFFF00"/>
            <w:noWrap/>
            <w:vAlign w:val="bottom"/>
            <w:hideMark/>
          </w:tcPr>
          <w:p w14:paraId="0DF0EE81" w14:textId="77777777" w:rsidR="00FE18F6" w:rsidRPr="00F505DC" w:rsidRDefault="00FE18F6" w:rsidP="00427D57">
            <w:pPr>
              <w:rPr>
                <w:lang w:val="fr-SN"/>
              </w:rPr>
            </w:pPr>
            <w:r w:rsidRPr="00F505DC">
              <w:rPr>
                <w:lang w:val="fr-SN"/>
              </w:rPr>
              <w:t> </w:t>
            </w:r>
          </w:p>
        </w:tc>
        <w:tc>
          <w:tcPr>
            <w:tcW w:w="1281" w:type="dxa"/>
            <w:tcBorders>
              <w:top w:val="nil"/>
              <w:left w:val="nil"/>
              <w:bottom w:val="single" w:sz="4" w:space="0" w:color="auto"/>
              <w:right w:val="single" w:sz="4" w:space="0" w:color="auto"/>
            </w:tcBorders>
            <w:shd w:val="clear" w:color="auto" w:fill="FFFF00"/>
            <w:noWrap/>
            <w:vAlign w:val="bottom"/>
          </w:tcPr>
          <w:p w14:paraId="6EFA70A0" w14:textId="77777777" w:rsidR="00FE18F6" w:rsidRPr="00F505DC" w:rsidRDefault="00FE18F6" w:rsidP="00427D57">
            <w:pPr>
              <w:rPr>
                <w:lang w:val="fr-SN"/>
              </w:rPr>
            </w:pPr>
          </w:p>
        </w:tc>
        <w:tc>
          <w:tcPr>
            <w:tcW w:w="1281" w:type="dxa"/>
            <w:tcBorders>
              <w:top w:val="nil"/>
              <w:left w:val="nil"/>
              <w:bottom w:val="single" w:sz="4" w:space="0" w:color="auto"/>
              <w:right w:val="single" w:sz="4" w:space="0" w:color="auto"/>
            </w:tcBorders>
            <w:noWrap/>
            <w:vAlign w:val="bottom"/>
            <w:hideMark/>
          </w:tcPr>
          <w:p w14:paraId="18BF98F2" w14:textId="77777777" w:rsidR="00FE18F6" w:rsidRPr="00F505DC" w:rsidRDefault="00FE18F6" w:rsidP="00427D57">
            <w:pPr>
              <w:rPr>
                <w:lang w:val="fr-SN"/>
              </w:rPr>
            </w:pPr>
            <w:r w:rsidRPr="00F505DC">
              <w:rPr>
                <w:lang w:val="fr-SN"/>
              </w:rPr>
              <w:t>0,02%</w:t>
            </w:r>
          </w:p>
        </w:tc>
        <w:tc>
          <w:tcPr>
            <w:tcW w:w="1294" w:type="dxa"/>
            <w:tcBorders>
              <w:top w:val="nil"/>
              <w:left w:val="nil"/>
              <w:bottom w:val="single" w:sz="4" w:space="0" w:color="auto"/>
              <w:right w:val="single" w:sz="4" w:space="0" w:color="auto"/>
            </w:tcBorders>
            <w:shd w:val="clear" w:color="auto" w:fill="FFFF00"/>
            <w:noWrap/>
            <w:vAlign w:val="bottom"/>
          </w:tcPr>
          <w:p w14:paraId="095B4845" w14:textId="77777777" w:rsidR="00FE18F6" w:rsidRPr="00F505DC" w:rsidRDefault="00FE18F6" w:rsidP="00427D57">
            <w:pPr>
              <w:rPr>
                <w:lang w:val="fr-SN"/>
              </w:rPr>
            </w:pPr>
          </w:p>
        </w:tc>
      </w:tr>
      <w:tr w:rsidR="00FE18F6" w:rsidRPr="00F505DC" w14:paraId="505F2F27"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5356EA17" w14:textId="77777777" w:rsidR="00FE18F6" w:rsidRPr="00F505DC" w:rsidRDefault="00FE18F6" w:rsidP="00427D57">
            <w:pPr>
              <w:rPr>
                <w:lang w:val="fr-SN"/>
              </w:rPr>
            </w:pPr>
            <w:r w:rsidRPr="00F505DC">
              <w:rPr>
                <w:lang w:val="fr-SN"/>
              </w:rPr>
              <w:t>BIENS CULTURELS</w:t>
            </w:r>
          </w:p>
        </w:tc>
        <w:tc>
          <w:tcPr>
            <w:tcW w:w="4041" w:type="dxa"/>
            <w:tcBorders>
              <w:top w:val="nil"/>
              <w:left w:val="nil"/>
              <w:bottom w:val="single" w:sz="4" w:space="0" w:color="auto"/>
              <w:right w:val="single" w:sz="4" w:space="0" w:color="auto"/>
            </w:tcBorders>
            <w:shd w:val="clear" w:color="auto" w:fill="FFFF00"/>
            <w:noWrap/>
            <w:vAlign w:val="bottom"/>
            <w:hideMark/>
          </w:tcPr>
          <w:p w14:paraId="485F4BDF" w14:textId="77777777" w:rsidR="00FE18F6" w:rsidRPr="00F505DC" w:rsidRDefault="00FE18F6" w:rsidP="00427D57">
            <w:pPr>
              <w:rPr>
                <w:lang w:val="fr-SN"/>
              </w:rPr>
            </w:pPr>
            <w:r w:rsidRPr="00F505DC">
              <w:rPr>
                <w:lang w:val="fr-SN"/>
              </w:rPr>
              <w:t> </w:t>
            </w:r>
          </w:p>
        </w:tc>
        <w:tc>
          <w:tcPr>
            <w:tcW w:w="1281" w:type="dxa"/>
            <w:tcBorders>
              <w:top w:val="nil"/>
              <w:left w:val="nil"/>
              <w:bottom w:val="single" w:sz="4" w:space="0" w:color="auto"/>
              <w:right w:val="single" w:sz="4" w:space="0" w:color="auto"/>
            </w:tcBorders>
            <w:shd w:val="clear" w:color="auto" w:fill="FFFF00"/>
            <w:noWrap/>
            <w:vAlign w:val="bottom"/>
          </w:tcPr>
          <w:p w14:paraId="0AEE89D9" w14:textId="77777777" w:rsidR="00FE18F6" w:rsidRPr="00F505DC" w:rsidRDefault="00FE18F6" w:rsidP="00427D57">
            <w:pPr>
              <w:rPr>
                <w:lang w:val="fr-SN"/>
              </w:rPr>
            </w:pPr>
          </w:p>
        </w:tc>
        <w:tc>
          <w:tcPr>
            <w:tcW w:w="1281" w:type="dxa"/>
            <w:tcBorders>
              <w:top w:val="nil"/>
              <w:left w:val="nil"/>
              <w:bottom w:val="single" w:sz="4" w:space="0" w:color="auto"/>
              <w:right w:val="single" w:sz="4" w:space="0" w:color="auto"/>
            </w:tcBorders>
            <w:noWrap/>
            <w:vAlign w:val="bottom"/>
            <w:hideMark/>
          </w:tcPr>
          <w:p w14:paraId="7C2B0985" w14:textId="77777777" w:rsidR="00FE18F6" w:rsidRPr="00F505DC" w:rsidRDefault="00FE18F6" w:rsidP="00427D57">
            <w:pPr>
              <w:rPr>
                <w:lang w:val="fr-SN"/>
              </w:rPr>
            </w:pPr>
            <w:r w:rsidRPr="00F505DC">
              <w:rPr>
                <w:lang w:val="fr-SN"/>
              </w:rPr>
              <w:t>0,06%</w:t>
            </w:r>
          </w:p>
        </w:tc>
        <w:tc>
          <w:tcPr>
            <w:tcW w:w="1294" w:type="dxa"/>
            <w:tcBorders>
              <w:top w:val="nil"/>
              <w:left w:val="nil"/>
              <w:bottom w:val="single" w:sz="4" w:space="0" w:color="auto"/>
              <w:right w:val="single" w:sz="4" w:space="0" w:color="auto"/>
            </w:tcBorders>
            <w:shd w:val="clear" w:color="auto" w:fill="FFFF00"/>
            <w:noWrap/>
            <w:vAlign w:val="bottom"/>
          </w:tcPr>
          <w:p w14:paraId="1A191C4B" w14:textId="77777777" w:rsidR="00FE18F6" w:rsidRPr="00F505DC" w:rsidRDefault="00FE18F6" w:rsidP="00427D57">
            <w:pPr>
              <w:rPr>
                <w:lang w:val="fr-SN"/>
              </w:rPr>
            </w:pPr>
          </w:p>
        </w:tc>
      </w:tr>
      <w:tr w:rsidR="00FE18F6" w:rsidRPr="00F505DC" w14:paraId="6DCD1C82"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6EA0D710" w14:textId="77777777" w:rsidR="00FE18F6" w:rsidRPr="00F505DC" w:rsidRDefault="00FE18F6" w:rsidP="00427D57">
            <w:pPr>
              <w:rPr>
                <w:lang w:val="fr-SN"/>
              </w:rPr>
            </w:pPr>
            <w:r w:rsidRPr="00F505DC">
              <w:rPr>
                <w:lang w:val="fr-SN"/>
              </w:rPr>
              <w:t>SERVICES CULTURELS</w:t>
            </w:r>
          </w:p>
        </w:tc>
        <w:tc>
          <w:tcPr>
            <w:tcW w:w="4041" w:type="dxa"/>
            <w:tcBorders>
              <w:top w:val="nil"/>
              <w:left w:val="nil"/>
              <w:bottom w:val="single" w:sz="4" w:space="0" w:color="auto"/>
              <w:right w:val="single" w:sz="4" w:space="0" w:color="auto"/>
            </w:tcBorders>
            <w:noWrap/>
            <w:vAlign w:val="bottom"/>
            <w:hideMark/>
          </w:tcPr>
          <w:p w14:paraId="2B67703C" w14:textId="77777777" w:rsidR="00FE18F6" w:rsidRPr="00F505DC" w:rsidRDefault="00FE18F6" w:rsidP="00427D57">
            <w:pPr>
              <w:rPr>
                <w:lang w:val="fr-SN"/>
              </w:rPr>
            </w:pPr>
            <w:r w:rsidRPr="00F505DC">
              <w:rPr>
                <w:lang w:val="fr-SN"/>
              </w:rPr>
              <w:t>Services récréatifs et culturels</w:t>
            </w:r>
          </w:p>
        </w:tc>
        <w:tc>
          <w:tcPr>
            <w:tcW w:w="1281" w:type="dxa"/>
            <w:tcBorders>
              <w:top w:val="nil"/>
              <w:left w:val="nil"/>
              <w:bottom w:val="single" w:sz="4" w:space="0" w:color="auto"/>
              <w:right w:val="single" w:sz="4" w:space="0" w:color="auto"/>
            </w:tcBorders>
            <w:noWrap/>
            <w:vAlign w:val="bottom"/>
            <w:hideMark/>
          </w:tcPr>
          <w:p w14:paraId="3A49652B" w14:textId="77777777" w:rsidR="00FE18F6" w:rsidRPr="00F505DC" w:rsidRDefault="00FE18F6" w:rsidP="00427D57">
            <w:pPr>
              <w:rPr>
                <w:lang w:val="fr-SN"/>
              </w:rPr>
            </w:pPr>
            <w:r w:rsidRPr="00F505DC">
              <w:rPr>
                <w:lang w:val="fr-SN"/>
              </w:rPr>
              <w:t>0,30%</w:t>
            </w:r>
          </w:p>
        </w:tc>
        <w:tc>
          <w:tcPr>
            <w:tcW w:w="1281" w:type="dxa"/>
            <w:tcBorders>
              <w:top w:val="nil"/>
              <w:left w:val="nil"/>
              <w:bottom w:val="single" w:sz="4" w:space="0" w:color="auto"/>
              <w:right w:val="single" w:sz="4" w:space="0" w:color="auto"/>
            </w:tcBorders>
            <w:noWrap/>
            <w:vAlign w:val="bottom"/>
            <w:hideMark/>
          </w:tcPr>
          <w:p w14:paraId="2CBB0561" w14:textId="77777777" w:rsidR="00FE18F6" w:rsidRPr="00F505DC" w:rsidRDefault="00FE18F6" w:rsidP="00427D57">
            <w:pPr>
              <w:rPr>
                <w:lang w:val="fr-SN"/>
              </w:rPr>
            </w:pPr>
            <w:r w:rsidRPr="00F505DC">
              <w:rPr>
                <w:lang w:val="fr-SN"/>
              </w:rPr>
              <w:t>0,09%</w:t>
            </w:r>
          </w:p>
        </w:tc>
        <w:tc>
          <w:tcPr>
            <w:tcW w:w="1294" w:type="dxa"/>
            <w:tcBorders>
              <w:top w:val="nil"/>
              <w:left w:val="nil"/>
              <w:bottom w:val="single" w:sz="4" w:space="0" w:color="auto"/>
              <w:right w:val="single" w:sz="4" w:space="0" w:color="auto"/>
            </w:tcBorders>
            <w:noWrap/>
            <w:vAlign w:val="bottom"/>
            <w:hideMark/>
          </w:tcPr>
          <w:p w14:paraId="1DCA1D27" w14:textId="77777777" w:rsidR="00FE18F6" w:rsidRPr="00F505DC" w:rsidRDefault="00FE18F6" w:rsidP="00427D57">
            <w:pPr>
              <w:rPr>
                <w:lang w:val="fr-SN"/>
              </w:rPr>
            </w:pPr>
            <w:r w:rsidRPr="00F505DC">
              <w:rPr>
                <w:lang w:val="fr-SN"/>
              </w:rPr>
              <w:t>-0,21%</w:t>
            </w:r>
          </w:p>
        </w:tc>
      </w:tr>
      <w:tr w:rsidR="00FE18F6" w:rsidRPr="00F505DC" w14:paraId="40C91426"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70CBA208" w14:textId="77777777" w:rsidR="00FE18F6" w:rsidRPr="00F505DC" w:rsidRDefault="00FE18F6" w:rsidP="00427D57">
            <w:pPr>
              <w:rPr>
                <w:lang w:val="fr-SN"/>
              </w:rPr>
            </w:pPr>
            <w:r w:rsidRPr="00F505DC">
              <w:rPr>
                <w:lang w:val="fr-SN"/>
              </w:rPr>
              <w:t>JOURNAUX, LIVRES ET PAPETERIE</w:t>
            </w:r>
          </w:p>
        </w:tc>
        <w:tc>
          <w:tcPr>
            <w:tcW w:w="4041" w:type="dxa"/>
            <w:tcBorders>
              <w:top w:val="nil"/>
              <w:left w:val="nil"/>
              <w:bottom w:val="single" w:sz="4" w:space="0" w:color="auto"/>
              <w:right w:val="single" w:sz="4" w:space="0" w:color="auto"/>
            </w:tcBorders>
            <w:noWrap/>
            <w:vAlign w:val="bottom"/>
            <w:hideMark/>
          </w:tcPr>
          <w:p w14:paraId="4F140205" w14:textId="77777777" w:rsidR="00FE18F6" w:rsidRPr="00F505DC" w:rsidRDefault="00FE18F6" w:rsidP="00427D57">
            <w:pPr>
              <w:rPr>
                <w:lang w:val="fr-SN"/>
              </w:rPr>
            </w:pPr>
            <w:r w:rsidRPr="00F505DC">
              <w:rPr>
                <w:lang w:val="fr-SN"/>
              </w:rPr>
              <w:t>Journaux, livres et articles de papeterie</w:t>
            </w:r>
          </w:p>
        </w:tc>
        <w:tc>
          <w:tcPr>
            <w:tcW w:w="1281" w:type="dxa"/>
            <w:tcBorders>
              <w:top w:val="nil"/>
              <w:left w:val="nil"/>
              <w:bottom w:val="single" w:sz="4" w:space="0" w:color="auto"/>
              <w:right w:val="single" w:sz="4" w:space="0" w:color="auto"/>
            </w:tcBorders>
            <w:noWrap/>
            <w:vAlign w:val="bottom"/>
            <w:hideMark/>
          </w:tcPr>
          <w:p w14:paraId="4D9E500F" w14:textId="77777777" w:rsidR="00FE18F6" w:rsidRPr="00F505DC" w:rsidRDefault="00FE18F6" w:rsidP="00427D57">
            <w:pPr>
              <w:rPr>
                <w:lang w:val="fr-SN"/>
              </w:rPr>
            </w:pPr>
            <w:r w:rsidRPr="00F505DC">
              <w:rPr>
                <w:lang w:val="fr-SN"/>
              </w:rPr>
              <w:t>0,59%</w:t>
            </w:r>
          </w:p>
        </w:tc>
        <w:tc>
          <w:tcPr>
            <w:tcW w:w="1281" w:type="dxa"/>
            <w:tcBorders>
              <w:top w:val="nil"/>
              <w:left w:val="nil"/>
              <w:bottom w:val="single" w:sz="4" w:space="0" w:color="auto"/>
              <w:right w:val="single" w:sz="4" w:space="0" w:color="auto"/>
            </w:tcBorders>
            <w:noWrap/>
            <w:vAlign w:val="bottom"/>
            <w:hideMark/>
          </w:tcPr>
          <w:p w14:paraId="4D722BE9" w14:textId="77777777" w:rsidR="00FE18F6" w:rsidRPr="00F505DC" w:rsidRDefault="00FE18F6" w:rsidP="00427D57">
            <w:pPr>
              <w:rPr>
                <w:lang w:val="fr-SN"/>
              </w:rPr>
            </w:pPr>
            <w:r w:rsidRPr="00F505DC">
              <w:rPr>
                <w:lang w:val="fr-SN"/>
              </w:rPr>
              <w:t>0,70%</w:t>
            </w:r>
          </w:p>
        </w:tc>
        <w:tc>
          <w:tcPr>
            <w:tcW w:w="1294" w:type="dxa"/>
            <w:tcBorders>
              <w:top w:val="nil"/>
              <w:left w:val="nil"/>
              <w:bottom w:val="single" w:sz="4" w:space="0" w:color="auto"/>
              <w:right w:val="single" w:sz="4" w:space="0" w:color="auto"/>
            </w:tcBorders>
            <w:noWrap/>
            <w:vAlign w:val="bottom"/>
            <w:hideMark/>
          </w:tcPr>
          <w:p w14:paraId="300B6908" w14:textId="77777777" w:rsidR="00FE18F6" w:rsidRPr="00F505DC" w:rsidRDefault="00FE18F6" w:rsidP="00427D57">
            <w:pPr>
              <w:rPr>
                <w:lang w:val="fr-SN"/>
              </w:rPr>
            </w:pPr>
            <w:r w:rsidRPr="00F505DC">
              <w:rPr>
                <w:lang w:val="fr-SN"/>
              </w:rPr>
              <w:t>0,11%</w:t>
            </w:r>
          </w:p>
        </w:tc>
      </w:tr>
      <w:tr w:rsidR="00FE18F6" w:rsidRPr="00F505DC" w14:paraId="0FF9A130" w14:textId="77777777" w:rsidTr="00A05744">
        <w:trPr>
          <w:trHeight w:val="279"/>
        </w:trPr>
        <w:tc>
          <w:tcPr>
            <w:tcW w:w="1848" w:type="dxa"/>
            <w:tcBorders>
              <w:top w:val="nil"/>
              <w:left w:val="single" w:sz="4" w:space="0" w:color="auto"/>
              <w:bottom w:val="single" w:sz="4" w:space="0" w:color="auto"/>
              <w:right w:val="single" w:sz="4" w:space="0" w:color="auto"/>
            </w:tcBorders>
            <w:noWrap/>
            <w:vAlign w:val="bottom"/>
            <w:hideMark/>
          </w:tcPr>
          <w:p w14:paraId="7D16D124" w14:textId="77777777" w:rsidR="00FE18F6" w:rsidRPr="00F505DC" w:rsidRDefault="00FE18F6" w:rsidP="00427D57">
            <w:pPr>
              <w:rPr>
                <w:lang w:val="fr-SN"/>
              </w:rPr>
            </w:pPr>
            <w:r w:rsidRPr="00F505DC">
              <w:rPr>
                <w:lang w:val="fr-SN"/>
              </w:rPr>
              <w:t>VOYAGES À FORFAIT</w:t>
            </w:r>
          </w:p>
        </w:tc>
        <w:tc>
          <w:tcPr>
            <w:tcW w:w="4041" w:type="dxa"/>
            <w:tcBorders>
              <w:top w:val="nil"/>
              <w:left w:val="nil"/>
              <w:bottom w:val="single" w:sz="4" w:space="0" w:color="auto"/>
              <w:right w:val="single" w:sz="4" w:space="0" w:color="auto"/>
            </w:tcBorders>
            <w:noWrap/>
            <w:vAlign w:val="bottom"/>
            <w:hideMark/>
          </w:tcPr>
          <w:p w14:paraId="6F623C06" w14:textId="77777777" w:rsidR="00FE18F6" w:rsidRPr="00F505DC" w:rsidRDefault="00FE18F6" w:rsidP="00427D57">
            <w:pPr>
              <w:rPr>
                <w:lang w:val="fr-SN"/>
              </w:rPr>
            </w:pPr>
            <w:r w:rsidRPr="00F505DC">
              <w:rPr>
                <w:lang w:val="fr-SN"/>
              </w:rPr>
              <w:t>Forfaits touristiques</w:t>
            </w:r>
          </w:p>
        </w:tc>
        <w:tc>
          <w:tcPr>
            <w:tcW w:w="1281" w:type="dxa"/>
            <w:tcBorders>
              <w:top w:val="nil"/>
              <w:left w:val="nil"/>
              <w:bottom w:val="single" w:sz="4" w:space="0" w:color="auto"/>
              <w:right w:val="single" w:sz="4" w:space="0" w:color="auto"/>
            </w:tcBorders>
            <w:noWrap/>
            <w:vAlign w:val="bottom"/>
            <w:hideMark/>
          </w:tcPr>
          <w:p w14:paraId="26A5AC64" w14:textId="77777777" w:rsidR="00FE18F6" w:rsidRPr="00F505DC" w:rsidRDefault="00FE18F6" w:rsidP="00427D57">
            <w:pPr>
              <w:rPr>
                <w:lang w:val="fr-SN"/>
              </w:rPr>
            </w:pPr>
            <w:r w:rsidRPr="00F505DC">
              <w:rPr>
                <w:lang w:val="fr-SN"/>
              </w:rPr>
              <w:t>0,77%</w:t>
            </w:r>
          </w:p>
        </w:tc>
        <w:tc>
          <w:tcPr>
            <w:tcW w:w="1281" w:type="dxa"/>
            <w:tcBorders>
              <w:top w:val="nil"/>
              <w:left w:val="nil"/>
              <w:bottom w:val="single" w:sz="4" w:space="0" w:color="auto"/>
              <w:right w:val="single" w:sz="4" w:space="0" w:color="auto"/>
            </w:tcBorders>
            <w:noWrap/>
            <w:vAlign w:val="bottom"/>
            <w:hideMark/>
          </w:tcPr>
          <w:p w14:paraId="3CD335B2" w14:textId="77777777" w:rsidR="00FE18F6" w:rsidRPr="00F505DC" w:rsidRDefault="00FE18F6" w:rsidP="00427D57">
            <w:pPr>
              <w:rPr>
                <w:lang w:val="fr-SN"/>
              </w:rPr>
            </w:pPr>
            <w:r w:rsidRPr="00F505DC">
              <w:rPr>
                <w:lang w:val="fr-SN"/>
              </w:rPr>
              <w:t>0,10%</w:t>
            </w:r>
          </w:p>
        </w:tc>
        <w:tc>
          <w:tcPr>
            <w:tcW w:w="1294" w:type="dxa"/>
            <w:tcBorders>
              <w:top w:val="nil"/>
              <w:left w:val="nil"/>
              <w:bottom w:val="single" w:sz="4" w:space="0" w:color="auto"/>
              <w:right w:val="single" w:sz="4" w:space="0" w:color="auto"/>
            </w:tcBorders>
            <w:noWrap/>
            <w:vAlign w:val="bottom"/>
            <w:hideMark/>
          </w:tcPr>
          <w:p w14:paraId="0DBFBE71" w14:textId="77777777" w:rsidR="00FE18F6" w:rsidRPr="00F505DC" w:rsidRDefault="00FE18F6" w:rsidP="00427D57">
            <w:pPr>
              <w:rPr>
                <w:lang w:val="fr-SN"/>
              </w:rPr>
            </w:pPr>
            <w:r w:rsidRPr="00F505DC">
              <w:rPr>
                <w:lang w:val="fr-SN"/>
              </w:rPr>
              <w:t>-0,67%</w:t>
            </w:r>
          </w:p>
        </w:tc>
      </w:tr>
    </w:tbl>
    <w:p w14:paraId="69262F59" w14:textId="77777777" w:rsidR="007D4E32" w:rsidRDefault="007D4E32" w:rsidP="00FE18F6">
      <w:pPr>
        <w:rPr>
          <w:i/>
          <w:iCs/>
          <w:lang w:val="fr-SN"/>
        </w:rPr>
      </w:pPr>
    </w:p>
    <w:p w14:paraId="10C5A3A0" w14:textId="28D33288" w:rsidR="00FE18F6" w:rsidRPr="00C020F4" w:rsidRDefault="00FE18F6" w:rsidP="00FE18F6">
      <w:pPr>
        <w:rPr>
          <w:i/>
          <w:iCs/>
          <w:lang w:val="fr-SN"/>
        </w:rPr>
      </w:pPr>
      <w:r w:rsidRPr="006723FF">
        <w:rPr>
          <w:i/>
          <w:iCs/>
          <w:lang w:val="fr-SN"/>
        </w:rPr>
        <w:t>Source : ANSD, pondération IHPC 2014 et 202</w:t>
      </w:r>
      <w:r w:rsidR="00842DD4">
        <w:rPr>
          <w:i/>
          <w:iCs/>
          <w:lang w:val="fr-SN"/>
        </w:rPr>
        <w:t>1</w:t>
      </w:r>
      <w:r w:rsidRPr="006723FF">
        <w:rPr>
          <w:i/>
          <w:iCs/>
          <w:lang w:val="fr-SN"/>
        </w:rPr>
        <w:t>.</w:t>
      </w:r>
    </w:p>
    <w:p w14:paraId="0922EB0C" w14:textId="77777777" w:rsidR="00FE18F6" w:rsidRPr="00F974FD" w:rsidRDefault="00FE18F6">
      <w:pPr>
        <w:pStyle w:val="Paragraphedeliste"/>
        <w:numPr>
          <w:ilvl w:val="0"/>
          <w:numId w:val="20"/>
        </w:numPr>
        <w:rPr>
          <w:b/>
          <w:bCs/>
          <w:lang w:val="fr-SN"/>
        </w:rPr>
      </w:pPr>
      <w:r w:rsidRPr="00F974FD">
        <w:rPr>
          <w:b/>
          <w:bCs/>
          <w:lang w:val="fr-SN"/>
        </w:rPr>
        <w:t>SERVICES D'ENSEIGNEMENT</w:t>
      </w:r>
    </w:p>
    <w:p w14:paraId="1B9FEE7F" w14:textId="08F25FAE" w:rsidR="00FE18F6" w:rsidRPr="00F505DC" w:rsidRDefault="00FE18F6" w:rsidP="00FE18F6">
      <w:pPr>
        <w:rPr>
          <w:lang w:val="fr-SN"/>
        </w:rPr>
      </w:pPr>
      <w:r w:rsidRPr="00F505DC">
        <w:rPr>
          <w:lang w:val="fr-SN"/>
        </w:rPr>
        <w:t>La part des dépenses des ménages allouée à la division "Services d'enseignement" a légèrement diminué de 0,</w:t>
      </w:r>
      <w:r w:rsidR="003558B2">
        <w:rPr>
          <w:lang w:val="fr-SN"/>
        </w:rPr>
        <w:t>19</w:t>
      </w:r>
      <w:r w:rsidRPr="00F505DC">
        <w:rPr>
          <w:lang w:val="fr-SN"/>
        </w:rPr>
        <w:t xml:space="preserve"> point de pourcentage entre 2014 et 202</w:t>
      </w:r>
      <w:r w:rsidR="00842DD4">
        <w:rPr>
          <w:lang w:val="fr-SN"/>
        </w:rPr>
        <w:t>1</w:t>
      </w:r>
      <w:r w:rsidRPr="00F505DC">
        <w:rPr>
          <w:lang w:val="fr-SN"/>
        </w:rPr>
        <w:t>, passant de 1,9</w:t>
      </w:r>
      <w:r w:rsidR="003558B2">
        <w:rPr>
          <w:lang w:val="fr-SN"/>
        </w:rPr>
        <w:t>4</w:t>
      </w:r>
      <w:r w:rsidRPr="00F505DC">
        <w:rPr>
          <w:lang w:val="fr-SN"/>
        </w:rPr>
        <w:t xml:space="preserve"> % à 1,7</w:t>
      </w:r>
      <w:r w:rsidR="003558B2">
        <w:rPr>
          <w:lang w:val="fr-SN"/>
        </w:rPr>
        <w:t>5</w:t>
      </w:r>
      <w:r w:rsidRPr="00F505DC">
        <w:rPr>
          <w:lang w:val="fr-SN"/>
        </w:rPr>
        <w:t xml:space="preserve"> %. Cette baisse est principalement due à la réduction des dépenses dans l'enseignement post-secondaire non supérieur, qui a chuté de 0,</w:t>
      </w:r>
      <w:r w:rsidR="003558B2">
        <w:rPr>
          <w:lang w:val="fr-SN"/>
        </w:rPr>
        <w:t>27</w:t>
      </w:r>
      <w:r w:rsidRPr="00F505DC">
        <w:rPr>
          <w:lang w:val="fr-SN"/>
        </w:rPr>
        <w:t xml:space="preserve"> point, passant de 0,3</w:t>
      </w:r>
      <w:r w:rsidR="003558B2">
        <w:rPr>
          <w:lang w:val="fr-SN"/>
        </w:rPr>
        <w:t>2</w:t>
      </w:r>
      <w:r w:rsidRPr="00F505DC">
        <w:rPr>
          <w:lang w:val="fr-SN"/>
        </w:rPr>
        <w:t xml:space="preserve"> % à 0,</w:t>
      </w:r>
      <w:r w:rsidR="003558B2">
        <w:rPr>
          <w:lang w:val="fr-SN"/>
        </w:rPr>
        <w:t>05</w:t>
      </w:r>
      <w:r w:rsidRPr="00F505DC">
        <w:rPr>
          <w:lang w:val="fr-SN"/>
        </w:rPr>
        <w:t xml:space="preserve"> %. Les dépenses en petite enfance et enseignement primaire ont également diminué de 0,1</w:t>
      </w:r>
      <w:r w:rsidR="003558B2">
        <w:rPr>
          <w:lang w:val="fr-SN"/>
        </w:rPr>
        <w:t>4</w:t>
      </w:r>
      <w:r w:rsidRPr="00F505DC">
        <w:rPr>
          <w:lang w:val="fr-SN"/>
        </w:rPr>
        <w:t xml:space="preserve"> point, tandis que celles liées à l'enseignement tertiaire ont augmenté de 0,3</w:t>
      </w:r>
      <w:r w:rsidR="003558B2">
        <w:rPr>
          <w:lang w:val="fr-SN"/>
        </w:rPr>
        <w:t>3</w:t>
      </w:r>
      <w:r w:rsidRPr="00F505DC">
        <w:rPr>
          <w:lang w:val="fr-SN"/>
        </w:rPr>
        <w:t xml:space="preserve"> point, passant de 0,02% à 0,</w:t>
      </w:r>
      <w:r w:rsidR="003558B2">
        <w:rPr>
          <w:lang w:val="fr-SN"/>
        </w:rPr>
        <w:t>36</w:t>
      </w:r>
      <w:r w:rsidRPr="00F505DC">
        <w:rPr>
          <w:lang w:val="fr-SN"/>
        </w:rPr>
        <w:t xml:space="preserve"> %.</w:t>
      </w:r>
    </w:p>
    <w:p w14:paraId="2A134029" w14:textId="04C88CAE" w:rsidR="00FE18F6" w:rsidRPr="006723FF" w:rsidRDefault="00FE18F6" w:rsidP="00FE18F6">
      <w:pPr>
        <w:pStyle w:val="Lgende"/>
        <w:keepNext/>
        <w:rPr>
          <w:b/>
          <w:bCs/>
          <w:i w:val="0"/>
          <w:iCs w:val="0"/>
          <w:sz w:val="28"/>
          <w:szCs w:val="28"/>
        </w:rPr>
      </w:pPr>
      <w:bookmarkStart w:id="75" w:name="_Toc180927604"/>
      <w:r w:rsidRPr="006723FF">
        <w:rPr>
          <w:sz w:val="28"/>
          <w:szCs w:val="28"/>
        </w:rPr>
        <w:t xml:space="preserve">Tableau </w:t>
      </w:r>
      <w:r w:rsidRPr="006723FF">
        <w:rPr>
          <w:b/>
          <w:bCs/>
          <w:i w:val="0"/>
          <w:iCs w:val="0"/>
          <w:sz w:val="28"/>
          <w:szCs w:val="28"/>
        </w:rPr>
        <w:fldChar w:fldCharType="begin"/>
      </w:r>
      <w:r w:rsidRPr="006723FF">
        <w:rPr>
          <w:sz w:val="28"/>
          <w:szCs w:val="28"/>
        </w:rPr>
        <w:instrText xml:space="preserve"> SEQ Tableau \* ARABIC </w:instrText>
      </w:r>
      <w:r w:rsidRPr="006723FF">
        <w:rPr>
          <w:b/>
          <w:bCs/>
          <w:i w:val="0"/>
          <w:iCs w:val="0"/>
          <w:sz w:val="28"/>
          <w:szCs w:val="28"/>
        </w:rPr>
        <w:fldChar w:fldCharType="separate"/>
      </w:r>
      <w:r w:rsidR="00427D57">
        <w:rPr>
          <w:noProof/>
          <w:sz w:val="28"/>
          <w:szCs w:val="28"/>
        </w:rPr>
        <w:t>10</w:t>
      </w:r>
      <w:r w:rsidRPr="006723FF">
        <w:rPr>
          <w:b/>
          <w:bCs/>
          <w:i w:val="0"/>
          <w:iCs w:val="0"/>
          <w:sz w:val="28"/>
          <w:szCs w:val="28"/>
        </w:rPr>
        <w:fldChar w:fldCharType="end"/>
      </w:r>
      <w:r w:rsidRPr="006723FF">
        <w:rPr>
          <w:sz w:val="28"/>
          <w:szCs w:val="28"/>
        </w:rPr>
        <w:t xml:space="preserve"> :  </w:t>
      </w:r>
      <w:r w:rsidRPr="006723FF">
        <w:rPr>
          <w:sz w:val="28"/>
          <w:szCs w:val="28"/>
          <w:lang w:val="fr-SN"/>
        </w:rPr>
        <w:t>Structure de consommation (en %) des dépenses en services d’enseignement 2014 et 2021</w:t>
      </w:r>
      <w:bookmarkEnd w:id="75"/>
    </w:p>
    <w:tbl>
      <w:tblPr>
        <w:tblpPr w:leftFromText="141" w:rightFromText="141" w:bottomFromText="160" w:vertAnchor="page" w:horzAnchor="margin" w:tblpXSpec="center" w:tblpY="2661"/>
        <w:tblW w:w="9775" w:type="dxa"/>
        <w:tblCellMar>
          <w:left w:w="70" w:type="dxa"/>
          <w:right w:w="70" w:type="dxa"/>
        </w:tblCellMar>
        <w:tblLook w:val="04A0" w:firstRow="1" w:lastRow="0" w:firstColumn="1" w:lastColumn="0" w:noHBand="0" w:noVBand="1"/>
      </w:tblPr>
      <w:tblGrid>
        <w:gridCol w:w="2529"/>
        <w:gridCol w:w="3471"/>
        <w:gridCol w:w="1300"/>
        <w:gridCol w:w="1300"/>
        <w:gridCol w:w="1313"/>
      </w:tblGrid>
      <w:tr w:rsidR="00A05744" w:rsidRPr="00F505DC" w14:paraId="3BB67CF8" w14:textId="77777777" w:rsidTr="00A05744">
        <w:trPr>
          <w:trHeight w:val="267"/>
        </w:trPr>
        <w:tc>
          <w:tcPr>
            <w:tcW w:w="2475" w:type="dxa"/>
            <w:tcBorders>
              <w:top w:val="single" w:sz="4" w:space="0" w:color="auto"/>
              <w:left w:val="single" w:sz="4" w:space="0" w:color="auto"/>
              <w:bottom w:val="single" w:sz="4" w:space="0" w:color="auto"/>
              <w:right w:val="single" w:sz="4" w:space="0" w:color="auto"/>
            </w:tcBorders>
            <w:noWrap/>
            <w:hideMark/>
          </w:tcPr>
          <w:p w14:paraId="3F912987" w14:textId="133375D5" w:rsidR="00FE18F6" w:rsidRPr="00F505DC" w:rsidRDefault="00FE18F6" w:rsidP="00427D57">
            <w:pPr>
              <w:rPr>
                <w:lang w:val="fr-SN"/>
              </w:rPr>
            </w:pPr>
            <w:r w:rsidRPr="00F505DC">
              <w:rPr>
                <w:lang w:val="fr-SN"/>
              </w:rPr>
              <w:t>Nomenclature 202</w:t>
            </w:r>
            <w:r w:rsidR="00842DD4">
              <w:rPr>
                <w:lang w:val="fr-SN"/>
              </w:rPr>
              <w:t>1</w:t>
            </w:r>
          </w:p>
        </w:tc>
        <w:tc>
          <w:tcPr>
            <w:tcW w:w="3471" w:type="dxa"/>
            <w:tcBorders>
              <w:top w:val="single" w:sz="4" w:space="0" w:color="auto"/>
              <w:left w:val="nil"/>
              <w:bottom w:val="single" w:sz="4" w:space="0" w:color="auto"/>
              <w:right w:val="single" w:sz="4" w:space="0" w:color="auto"/>
            </w:tcBorders>
            <w:noWrap/>
            <w:hideMark/>
          </w:tcPr>
          <w:p w14:paraId="3EF30891" w14:textId="77777777" w:rsidR="00FE18F6" w:rsidRPr="00F505DC" w:rsidRDefault="00FE18F6" w:rsidP="00427D57">
            <w:pPr>
              <w:rPr>
                <w:lang w:val="fr-SN"/>
              </w:rPr>
            </w:pPr>
            <w:r w:rsidRPr="00F505DC">
              <w:rPr>
                <w:lang w:val="fr-SN"/>
              </w:rPr>
              <w:t>Nomenclature 2014</w:t>
            </w:r>
          </w:p>
        </w:tc>
        <w:tc>
          <w:tcPr>
            <w:tcW w:w="1272" w:type="dxa"/>
            <w:tcBorders>
              <w:top w:val="single" w:sz="4" w:space="0" w:color="auto"/>
              <w:left w:val="nil"/>
              <w:bottom w:val="single" w:sz="4" w:space="0" w:color="auto"/>
              <w:right w:val="single" w:sz="4" w:space="0" w:color="auto"/>
            </w:tcBorders>
            <w:noWrap/>
            <w:hideMark/>
          </w:tcPr>
          <w:p w14:paraId="0C9C8B6E" w14:textId="77777777" w:rsidR="00FE18F6" w:rsidRPr="00F505DC" w:rsidRDefault="00FE18F6" w:rsidP="00427D57">
            <w:pPr>
              <w:rPr>
                <w:lang w:val="fr-SN"/>
              </w:rPr>
            </w:pPr>
            <w:r w:rsidRPr="00F505DC">
              <w:rPr>
                <w:lang w:val="fr-SN"/>
              </w:rPr>
              <w:t>Pondération 2014</w:t>
            </w:r>
          </w:p>
        </w:tc>
        <w:tc>
          <w:tcPr>
            <w:tcW w:w="1272" w:type="dxa"/>
            <w:tcBorders>
              <w:top w:val="single" w:sz="4" w:space="0" w:color="auto"/>
              <w:left w:val="nil"/>
              <w:bottom w:val="single" w:sz="4" w:space="0" w:color="auto"/>
              <w:right w:val="single" w:sz="4" w:space="0" w:color="auto"/>
            </w:tcBorders>
            <w:noWrap/>
            <w:hideMark/>
          </w:tcPr>
          <w:p w14:paraId="6C9DABE3" w14:textId="77777777" w:rsidR="00FE18F6" w:rsidRPr="00F505DC" w:rsidRDefault="00FE18F6" w:rsidP="00427D57">
            <w:pPr>
              <w:rPr>
                <w:lang w:val="fr-SN"/>
              </w:rPr>
            </w:pPr>
            <w:r w:rsidRPr="00F505DC">
              <w:rPr>
                <w:lang w:val="fr-SN"/>
              </w:rPr>
              <w:t>Pondération</w:t>
            </w:r>
          </w:p>
          <w:p w14:paraId="77D814C1" w14:textId="77777777" w:rsidR="00FE18F6" w:rsidRPr="00F505DC" w:rsidRDefault="00FE18F6" w:rsidP="00427D57">
            <w:pPr>
              <w:rPr>
                <w:lang w:val="fr-SN"/>
              </w:rPr>
            </w:pPr>
            <w:r w:rsidRPr="00F505DC">
              <w:rPr>
                <w:lang w:val="fr-SN"/>
              </w:rPr>
              <w:t>202</w:t>
            </w:r>
            <w:r>
              <w:rPr>
                <w:lang w:val="fr-SN"/>
              </w:rPr>
              <w:t>1</w:t>
            </w:r>
          </w:p>
        </w:tc>
        <w:tc>
          <w:tcPr>
            <w:tcW w:w="1285" w:type="dxa"/>
            <w:tcBorders>
              <w:top w:val="single" w:sz="4" w:space="0" w:color="auto"/>
              <w:left w:val="nil"/>
              <w:bottom w:val="single" w:sz="4" w:space="0" w:color="auto"/>
              <w:right w:val="single" w:sz="4" w:space="0" w:color="auto"/>
            </w:tcBorders>
            <w:noWrap/>
            <w:hideMark/>
          </w:tcPr>
          <w:p w14:paraId="37A12288" w14:textId="77777777" w:rsidR="00FE18F6" w:rsidRPr="00F505DC" w:rsidRDefault="00FE18F6" w:rsidP="00427D57">
            <w:pPr>
              <w:rPr>
                <w:lang w:val="fr-SN"/>
              </w:rPr>
            </w:pPr>
            <w:r w:rsidRPr="00F505DC">
              <w:rPr>
                <w:lang w:val="fr-SN"/>
              </w:rPr>
              <w:t>Variation en point de pourcentage</w:t>
            </w:r>
          </w:p>
        </w:tc>
      </w:tr>
      <w:tr w:rsidR="00A05744" w:rsidRPr="00F505DC" w14:paraId="51657939" w14:textId="77777777" w:rsidTr="00A05744">
        <w:trPr>
          <w:trHeight w:val="267"/>
        </w:trPr>
        <w:tc>
          <w:tcPr>
            <w:tcW w:w="2475" w:type="dxa"/>
            <w:tcBorders>
              <w:top w:val="nil"/>
              <w:left w:val="single" w:sz="4" w:space="0" w:color="auto"/>
              <w:bottom w:val="single" w:sz="4" w:space="0" w:color="auto"/>
              <w:right w:val="single" w:sz="4" w:space="0" w:color="auto"/>
            </w:tcBorders>
            <w:noWrap/>
            <w:vAlign w:val="bottom"/>
            <w:hideMark/>
          </w:tcPr>
          <w:p w14:paraId="62E50D75" w14:textId="77777777" w:rsidR="00FE18F6" w:rsidRPr="00F505DC" w:rsidRDefault="00FE18F6" w:rsidP="00427D57">
            <w:pPr>
              <w:rPr>
                <w:b/>
                <w:bCs/>
                <w:lang w:val="fr-SN"/>
              </w:rPr>
            </w:pPr>
            <w:r w:rsidRPr="00F505DC">
              <w:rPr>
                <w:b/>
                <w:bCs/>
                <w:lang w:val="fr-SN"/>
              </w:rPr>
              <w:t>10.SERVICES D'ENSEIGNEMENT</w:t>
            </w:r>
          </w:p>
        </w:tc>
        <w:tc>
          <w:tcPr>
            <w:tcW w:w="3471" w:type="dxa"/>
            <w:tcBorders>
              <w:top w:val="nil"/>
              <w:left w:val="nil"/>
              <w:bottom w:val="single" w:sz="4" w:space="0" w:color="auto"/>
              <w:right w:val="single" w:sz="4" w:space="0" w:color="auto"/>
            </w:tcBorders>
            <w:noWrap/>
            <w:vAlign w:val="bottom"/>
            <w:hideMark/>
          </w:tcPr>
          <w:p w14:paraId="084239C4" w14:textId="77777777" w:rsidR="00FE18F6" w:rsidRPr="00F505DC" w:rsidRDefault="00FE18F6" w:rsidP="00427D57">
            <w:pPr>
              <w:rPr>
                <w:b/>
                <w:bCs/>
                <w:lang w:val="fr-SN"/>
              </w:rPr>
            </w:pPr>
            <w:r w:rsidRPr="00F505DC">
              <w:rPr>
                <w:b/>
                <w:bCs/>
                <w:lang w:val="fr-SN"/>
              </w:rPr>
              <w:t>Enseignement</w:t>
            </w:r>
          </w:p>
        </w:tc>
        <w:tc>
          <w:tcPr>
            <w:tcW w:w="1272" w:type="dxa"/>
            <w:tcBorders>
              <w:top w:val="nil"/>
              <w:left w:val="nil"/>
              <w:bottom w:val="single" w:sz="4" w:space="0" w:color="auto"/>
              <w:right w:val="single" w:sz="4" w:space="0" w:color="auto"/>
            </w:tcBorders>
            <w:noWrap/>
            <w:vAlign w:val="bottom"/>
            <w:hideMark/>
          </w:tcPr>
          <w:p w14:paraId="6FAEDC22" w14:textId="27648FD2" w:rsidR="00FE18F6" w:rsidRPr="00F505DC" w:rsidRDefault="00FE18F6" w:rsidP="00427D57">
            <w:pPr>
              <w:rPr>
                <w:b/>
                <w:bCs/>
                <w:lang w:val="fr-SN"/>
              </w:rPr>
            </w:pPr>
            <w:r w:rsidRPr="00F505DC">
              <w:rPr>
                <w:b/>
                <w:bCs/>
                <w:lang w:val="fr-SN"/>
              </w:rPr>
              <w:t>1,9</w:t>
            </w:r>
            <w:r w:rsidR="003E3057">
              <w:rPr>
                <w:b/>
                <w:bCs/>
                <w:lang w:val="fr-SN"/>
              </w:rPr>
              <w:t>4</w:t>
            </w:r>
            <w:r w:rsidRPr="00F505DC">
              <w:rPr>
                <w:b/>
                <w:bCs/>
                <w:lang w:val="fr-SN"/>
              </w:rPr>
              <w:t>%</w:t>
            </w:r>
          </w:p>
        </w:tc>
        <w:tc>
          <w:tcPr>
            <w:tcW w:w="1272" w:type="dxa"/>
            <w:tcBorders>
              <w:top w:val="nil"/>
              <w:left w:val="nil"/>
              <w:bottom w:val="single" w:sz="4" w:space="0" w:color="auto"/>
              <w:right w:val="single" w:sz="4" w:space="0" w:color="auto"/>
            </w:tcBorders>
            <w:noWrap/>
            <w:vAlign w:val="bottom"/>
            <w:hideMark/>
          </w:tcPr>
          <w:p w14:paraId="223FEC94" w14:textId="57EE450D" w:rsidR="00FE18F6" w:rsidRPr="00F505DC" w:rsidRDefault="00FE18F6" w:rsidP="00427D57">
            <w:pPr>
              <w:rPr>
                <w:b/>
                <w:bCs/>
                <w:lang w:val="fr-SN"/>
              </w:rPr>
            </w:pPr>
            <w:r w:rsidRPr="00F505DC">
              <w:rPr>
                <w:b/>
                <w:bCs/>
                <w:lang w:val="fr-SN"/>
              </w:rPr>
              <w:t>1,7</w:t>
            </w:r>
            <w:r w:rsidR="003E3057">
              <w:rPr>
                <w:b/>
                <w:bCs/>
                <w:lang w:val="fr-SN"/>
              </w:rPr>
              <w:t>5</w:t>
            </w:r>
            <w:r w:rsidRPr="00F505DC">
              <w:rPr>
                <w:b/>
                <w:bCs/>
                <w:lang w:val="fr-SN"/>
              </w:rPr>
              <w:t>%</w:t>
            </w:r>
          </w:p>
        </w:tc>
        <w:tc>
          <w:tcPr>
            <w:tcW w:w="1285" w:type="dxa"/>
            <w:tcBorders>
              <w:top w:val="nil"/>
              <w:left w:val="nil"/>
              <w:bottom w:val="single" w:sz="4" w:space="0" w:color="auto"/>
              <w:right w:val="single" w:sz="4" w:space="0" w:color="auto"/>
            </w:tcBorders>
            <w:noWrap/>
            <w:vAlign w:val="bottom"/>
            <w:hideMark/>
          </w:tcPr>
          <w:p w14:paraId="0963B6B8" w14:textId="36BD0D0B" w:rsidR="00FE18F6" w:rsidRPr="00A05744" w:rsidRDefault="00FE18F6" w:rsidP="00427D57">
            <w:pPr>
              <w:rPr>
                <w:b/>
                <w:bCs/>
                <w:lang w:val="fr-SN"/>
              </w:rPr>
            </w:pPr>
            <w:r w:rsidRPr="00A05744">
              <w:rPr>
                <w:b/>
                <w:bCs/>
                <w:lang w:val="fr-SN"/>
              </w:rPr>
              <w:t>-0,</w:t>
            </w:r>
            <w:r w:rsidR="003E3057" w:rsidRPr="00A05744">
              <w:rPr>
                <w:b/>
                <w:bCs/>
                <w:lang w:val="fr-SN"/>
              </w:rPr>
              <w:t>19</w:t>
            </w:r>
            <w:r w:rsidRPr="00A05744">
              <w:rPr>
                <w:b/>
                <w:bCs/>
                <w:lang w:val="fr-SN"/>
              </w:rPr>
              <w:t>%</w:t>
            </w:r>
          </w:p>
        </w:tc>
      </w:tr>
      <w:tr w:rsidR="00A05744" w:rsidRPr="00F505DC" w14:paraId="1A73DF6D" w14:textId="77777777" w:rsidTr="00A05744">
        <w:trPr>
          <w:trHeight w:val="267"/>
        </w:trPr>
        <w:tc>
          <w:tcPr>
            <w:tcW w:w="2475" w:type="dxa"/>
            <w:tcBorders>
              <w:top w:val="nil"/>
              <w:left w:val="single" w:sz="4" w:space="0" w:color="auto"/>
              <w:bottom w:val="single" w:sz="4" w:space="0" w:color="auto"/>
              <w:right w:val="single" w:sz="4" w:space="0" w:color="auto"/>
            </w:tcBorders>
            <w:noWrap/>
            <w:vAlign w:val="bottom"/>
            <w:hideMark/>
          </w:tcPr>
          <w:p w14:paraId="3CE86B61" w14:textId="77777777" w:rsidR="00FE18F6" w:rsidRPr="00F505DC" w:rsidRDefault="00FE18F6" w:rsidP="00427D57">
            <w:pPr>
              <w:rPr>
                <w:lang w:val="fr-SN"/>
              </w:rPr>
            </w:pPr>
            <w:r w:rsidRPr="00F505DC">
              <w:rPr>
                <w:lang w:val="fr-SN"/>
              </w:rPr>
              <w:t>1001.PETITE ENFANCE ET ENSEIGNEMENT PRIMAIRE</w:t>
            </w:r>
          </w:p>
        </w:tc>
        <w:tc>
          <w:tcPr>
            <w:tcW w:w="3471" w:type="dxa"/>
            <w:tcBorders>
              <w:top w:val="nil"/>
              <w:left w:val="nil"/>
              <w:bottom w:val="single" w:sz="4" w:space="0" w:color="auto"/>
              <w:right w:val="single" w:sz="4" w:space="0" w:color="auto"/>
            </w:tcBorders>
            <w:noWrap/>
            <w:vAlign w:val="bottom"/>
            <w:hideMark/>
          </w:tcPr>
          <w:p w14:paraId="3B6C42C1" w14:textId="77777777" w:rsidR="00FE18F6" w:rsidRPr="00F505DC" w:rsidRDefault="00FE18F6" w:rsidP="00427D57">
            <w:pPr>
              <w:rPr>
                <w:lang w:val="fr-SN"/>
              </w:rPr>
            </w:pPr>
            <w:r w:rsidRPr="00F505DC">
              <w:rPr>
                <w:lang w:val="fr-SN"/>
              </w:rPr>
              <w:t>Enseignement</w:t>
            </w:r>
            <w:r>
              <w:rPr>
                <w:lang w:val="fr-SN"/>
              </w:rPr>
              <w:t xml:space="preserve"> </w:t>
            </w:r>
            <w:proofErr w:type="spellStart"/>
            <w:r w:rsidRPr="00F505DC">
              <w:rPr>
                <w:lang w:val="fr-SN"/>
              </w:rPr>
              <w:t>pré-élémentaire</w:t>
            </w:r>
            <w:proofErr w:type="spellEnd"/>
            <w:r w:rsidRPr="00F505DC">
              <w:rPr>
                <w:lang w:val="fr-SN"/>
              </w:rPr>
              <w:t xml:space="preserve"> et primaire</w:t>
            </w:r>
          </w:p>
        </w:tc>
        <w:tc>
          <w:tcPr>
            <w:tcW w:w="1272" w:type="dxa"/>
            <w:tcBorders>
              <w:top w:val="nil"/>
              <w:left w:val="nil"/>
              <w:bottom w:val="single" w:sz="4" w:space="0" w:color="auto"/>
              <w:right w:val="single" w:sz="4" w:space="0" w:color="auto"/>
            </w:tcBorders>
            <w:noWrap/>
            <w:vAlign w:val="bottom"/>
            <w:hideMark/>
          </w:tcPr>
          <w:p w14:paraId="4349A9C6" w14:textId="0DAA2E46" w:rsidR="00FE18F6" w:rsidRPr="00F505DC" w:rsidRDefault="00FE18F6" w:rsidP="00427D57">
            <w:pPr>
              <w:rPr>
                <w:lang w:val="fr-SN"/>
              </w:rPr>
            </w:pPr>
            <w:r w:rsidRPr="00F505DC">
              <w:rPr>
                <w:lang w:val="fr-SN"/>
              </w:rPr>
              <w:t>0,7</w:t>
            </w:r>
            <w:r w:rsidR="003E3057">
              <w:rPr>
                <w:lang w:val="fr-SN"/>
              </w:rPr>
              <w:t>3</w:t>
            </w:r>
            <w:r w:rsidRPr="00F505DC">
              <w:rPr>
                <w:lang w:val="fr-SN"/>
              </w:rPr>
              <w:t>%</w:t>
            </w:r>
          </w:p>
        </w:tc>
        <w:tc>
          <w:tcPr>
            <w:tcW w:w="1272" w:type="dxa"/>
            <w:tcBorders>
              <w:top w:val="nil"/>
              <w:left w:val="nil"/>
              <w:bottom w:val="single" w:sz="4" w:space="0" w:color="auto"/>
              <w:right w:val="single" w:sz="4" w:space="0" w:color="auto"/>
            </w:tcBorders>
            <w:noWrap/>
            <w:vAlign w:val="bottom"/>
            <w:hideMark/>
          </w:tcPr>
          <w:p w14:paraId="7C02EB97" w14:textId="26415B31" w:rsidR="00FE18F6" w:rsidRPr="00F505DC" w:rsidRDefault="00FE18F6" w:rsidP="00427D57">
            <w:pPr>
              <w:rPr>
                <w:lang w:val="fr-SN"/>
              </w:rPr>
            </w:pPr>
            <w:r w:rsidRPr="00F505DC">
              <w:rPr>
                <w:lang w:val="fr-SN"/>
              </w:rPr>
              <w:t>0,</w:t>
            </w:r>
            <w:r w:rsidR="003E3057">
              <w:rPr>
                <w:lang w:val="fr-SN"/>
              </w:rPr>
              <w:t>58</w:t>
            </w:r>
            <w:r w:rsidRPr="00F505DC">
              <w:rPr>
                <w:lang w:val="fr-SN"/>
              </w:rPr>
              <w:t>%</w:t>
            </w:r>
          </w:p>
        </w:tc>
        <w:tc>
          <w:tcPr>
            <w:tcW w:w="1285" w:type="dxa"/>
            <w:tcBorders>
              <w:top w:val="nil"/>
              <w:left w:val="nil"/>
              <w:bottom w:val="single" w:sz="4" w:space="0" w:color="auto"/>
              <w:right w:val="single" w:sz="4" w:space="0" w:color="auto"/>
            </w:tcBorders>
            <w:noWrap/>
            <w:vAlign w:val="bottom"/>
            <w:hideMark/>
          </w:tcPr>
          <w:p w14:paraId="1714F7D2" w14:textId="34543062" w:rsidR="00FE18F6" w:rsidRPr="00F505DC" w:rsidRDefault="00FE18F6" w:rsidP="00427D57">
            <w:pPr>
              <w:rPr>
                <w:lang w:val="fr-SN"/>
              </w:rPr>
            </w:pPr>
            <w:r w:rsidRPr="00F505DC">
              <w:rPr>
                <w:lang w:val="fr-SN"/>
              </w:rPr>
              <w:t>-0,1</w:t>
            </w:r>
            <w:r w:rsidR="003E3057">
              <w:rPr>
                <w:lang w:val="fr-SN"/>
              </w:rPr>
              <w:t>4</w:t>
            </w:r>
            <w:r w:rsidRPr="00F505DC">
              <w:rPr>
                <w:lang w:val="fr-SN"/>
              </w:rPr>
              <w:t>%</w:t>
            </w:r>
          </w:p>
        </w:tc>
      </w:tr>
      <w:tr w:rsidR="00A05744" w:rsidRPr="00F505DC" w14:paraId="3F13162E" w14:textId="77777777" w:rsidTr="00A05744">
        <w:trPr>
          <w:trHeight w:val="267"/>
        </w:trPr>
        <w:tc>
          <w:tcPr>
            <w:tcW w:w="2475" w:type="dxa"/>
            <w:tcBorders>
              <w:top w:val="nil"/>
              <w:left w:val="single" w:sz="4" w:space="0" w:color="auto"/>
              <w:bottom w:val="single" w:sz="4" w:space="0" w:color="auto"/>
              <w:right w:val="single" w:sz="4" w:space="0" w:color="auto"/>
            </w:tcBorders>
            <w:noWrap/>
            <w:vAlign w:val="bottom"/>
            <w:hideMark/>
          </w:tcPr>
          <w:p w14:paraId="6A4F0B8C" w14:textId="77777777" w:rsidR="00FE18F6" w:rsidRPr="00F505DC" w:rsidRDefault="00FE18F6" w:rsidP="00427D57">
            <w:pPr>
              <w:rPr>
                <w:lang w:val="fr-SN"/>
              </w:rPr>
            </w:pPr>
            <w:r w:rsidRPr="00F505DC">
              <w:rPr>
                <w:lang w:val="fr-SN"/>
              </w:rPr>
              <w:t>1002.ENSEIGNEMENT SECONDAIRE</w:t>
            </w:r>
          </w:p>
        </w:tc>
        <w:tc>
          <w:tcPr>
            <w:tcW w:w="3471" w:type="dxa"/>
            <w:tcBorders>
              <w:top w:val="nil"/>
              <w:left w:val="nil"/>
              <w:bottom w:val="single" w:sz="4" w:space="0" w:color="auto"/>
              <w:right w:val="single" w:sz="4" w:space="0" w:color="auto"/>
            </w:tcBorders>
            <w:noWrap/>
            <w:vAlign w:val="bottom"/>
            <w:hideMark/>
          </w:tcPr>
          <w:p w14:paraId="757AE77A" w14:textId="77777777" w:rsidR="00FE18F6" w:rsidRPr="00F505DC" w:rsidRDefault="00FE18F6" w:rsidP="00427D57">
            <w:pPr>
              <w:rPr>
                <w:lang w:val="fr-SN"/>
              </w:rPr>
            </w:pPr>
            <w:r w:rsidRPr="00F505DC">
              <w:rPr>
                <w:lang w:val="fr-SN"/>
              </w:rPr>
              <w:t>Enseignement secondaire</w:t>
            </w:r>
          </w:p>
        </w:tc>
        <w:tc>
          <w:tcPr>
            <w:tcW w:w="1272" w:type="dxa"/>
            <w:tcBorders>
              <w:top w:val="nil"/>
              <w:left w:val="nil"/>
              <w:bottom w:val="single" w:sz="4" w:space="0" w:color="auto"/>
              <w:right w:val="single" w:sz="4" w:space="0" w:color="auto"/>
            </w:tcBorders>
            <w:noWrap/>
            <w:vAlign w:val="bottom"/>
            <w:hideMark/>
          </w:tcPr>
          <w:p w14:paraId="070F2990" w14:textId="1CD0E151" w:rsidR="00FE18F6" w:rsidRPr="00F505DC" w:rsidRDefault="00FE18F6" w:rsidP="00427D57">
            <w:pPr>
              <w:rPr>
                <w:lang w:val="fr-SN"/>
              </w:rPr>
            </w:pPr>
            <w:r w:rsidRPr="00F505DC">
              <w:rPr>
                <w:lang w:val="fr-SN"/>
              </w:rPr>
              <w:t>0,5</w:t>
            </w:r>
            <w:r w:rsidR="003E3057">
              <w:rPr>
                <w:lang w:val="fr-SN"/>
              </w:rPr>
              <w:t>5</w:t>
            </w:r>
            <w:r w:rsidRPr="00F505DC">
              <w:rPr>
                <w:lang w:val="fr-SN"/>
              </w:rPr>
              <w:t>%</w:t>
            </w:r>
          </w:p>
        </w:tc>
        <w:tc>
          <w:tcPr>
            <w:tcW w:w="1272" w:type="dxa"/>
            <w:tcBorders>
              <w:top w:val="nil"/>
              <w:left w:val="nil"/>
              <w:bottom w:val="single" w:sz="4" w:space="0" w:color="auto"/>
              <w:right w:val="single" w:sz="4" w:space="0" w:color="auto"/>
            </w:tcBorders>
            <w:noWrap/>
            <w:vAlign w:val="bottom"/>
            <w:hideMark/>
          </w:tcPr>
          <w:p w14:paraId="6BBA1EB3" w14:textId="14609F5E" w:rsidR="00FE18F6" w:rsidRPr="00F505DC" w:rsidRDefault="00FE18F6" w:rsidP="00427D57">
            <w:pPr>
              <w:rPr>
                <w:lang w:val="fr-SN"/>
              </w:rPr>
            </w:pPr>
            <w:r w:rsidRPr="00F505DC">
              <w:rPr>
                <w:lang w:val="fr-SN"/>
              </w:rPr>
              <w:t>0,5</w:t>
            </w:r>
            <w:r w:rsidR="003E3057">
              <w:rPr>
                <w:lang w:val="fr-SN"/>
              </w:rPr>
              <w:t>4</w:t>
            </w:r>
            <w:r w:rsidRPr="00F505DC">
              <w:rPr>
                <w:lang w:val="fr-SN"/>
              </w:rPr>
              <w:t>%</w:t>
            </w:r>
          </w:p>
        </w:tc>
        <w:tc>
          <w:tcPr>
            <w:tcW w:w="1285" w:type="dxa"/>
            <w:tcBorders>
              <w:top w:val="nil"/>
              <w:left w:val="nil"/>
              <w:bottom w:val="single" w:sz="4" w:space="0" w:color="auto"/>
              <w:right w:val="single" w:sz="4" w:space="0" w:color="auto"/>
            </w:tcBorders>
            <w:noWrap/>
            <w:vAlign w:val="bottom"/>
            <w:hideMark/>
          </w:tcPr>
          <w:p w14:paraId="5E38AB5E" w14:textId="59CEA2CD" w:rsidR="00FE18F6" w:rsidRPr="00F505DC" w:rsidRDefault="00FE18F6" w:rsidP="00427D57">
            <w:pPr>
              <w:rPr>
                <w:lang w:val="fr-SN"/>
              </w:rPr>
            </w:pPr>
            <w:r w:rsidRPr="00F505DC">
              <w:rPr>
                <w:lang w:val="fr-SN"/>
              </w:rPr>
              <w:t>0,0</w:t>
            </w:r>
            <w:r w:rsidR="003E3057">
              <w:rPr>
                <w:lang w:val="fr-SN"/>
              </w:rPr>
              <w:t>1</w:t>
            </w:r>
            <w:r w:rsidRPr="00F505DC">
              <w:rPr>
                <w:lang w:val="fr-SN"/>
              </w:rPr>
              <w:t>%</w:t>
            </w:r>
          </w:p>
        </w:tc>
      </w:tr>
      <w:tr w:rsidR="00A05744" w:rsidRPr="00F505DC" w14:paraId="5E161DC7" w14:textId="77777777" w:rsidTr="00A05744">
        <w:trPr>
          <w:trHeight w:val="267"/>
        </w:trPr>
        <w:tc>
          <w:tcPr>
            <w:tcW w:w="2475" w:type="dxa"/>
            <w:tcBorders>
              <w:top w:val="nil"/>
              <w:left w:val="single" w:sz="4" w:space="0" w:color="auto"/>
              <w:bottom w:val="single" w:sz="4" w:space="0" w:color="auto"/>
              <w:right w:val="single" w:sz="4" w:space="0" w:color="auto"/>
            </w:tcBorders>
            <w:noWrap/>
            <w:vAlign w:val="bottom"/>
            <w:hideMark/>
          </w:tcPr>
          <w:p w14:paraId="5A46C52A" w14:textId="77777777" w:rsidR="00FE18F6" w:rsidRPr="00F505DC" w:rsidRDefault="00FE18F6" w:rsidP="00427D57">
            <w:pPr>
              <w:rPr>
                <w:lang w:val="fr-SN"/>
              </w:rPr>
            </w:pPr>
            <w:r w:rsidRPr="00F505DC">
              <w:rPr>
                <w:lang w:val="fr-SN"/>
              </w:rPr>
              <w:t>1003.ENSEIGNEMENT POSTSECONDAIRE NON SUPÉRIEUR</w:t>
            </w:r>
          </w:p>
        </w:tc>
        <w:tc>
          <w:tcPr>
            <w:tcW w:w="3471" w:type="dxa"/>
            <w:tcBorders>
              <w:top w:val="nil"/>
              <w:left w:val="nil"/>
              <w:bottom w:val="single" w:sz="4" w:space="0" w:color="auto"/>
              <w:right w:val="single" w:sz="4" w:space="0" w:color="auto"/>
            </w:tcBorders>
            <w:noWrap/>
            <w:vAlign w:val="bottom"/>
            <w:hideMark/>
          </w:tcPr>
          <w:p w14:paraId="6806D005" w14:textId="77777777" w:rsidR="00FE18F6" w:rsidRPr="00F505DC" w:rsidRDefault="00FE18F6" w:rsidP="00427D57">
            <w:pPr>
              <w:rPr>
                <w:lang w:val="fr-SN"/>
              </w:rPr>
            </w:pPr>
            <w:r w:rsidRPr="00F505DC">
              <w:rPr>
                <w:lang w:val="fr-SN"/>
              </w:rPr>
              <w:t>Enseignement post-secondaire non supérieur et Enseignement non défini par niveau</w:t>
            </w:r>
          </w:p>
        </w:tc>
        <w:tc>
          <w:tcPr>
            <w:tcW w:w="1272" w:type="dxa"/>
            <w:tcBorders>
              <w:top w:val="nil"/>
              <w:left w:val="nil"/>
              <w:bottom w:val="single" w:sz="4" w:space="0" w:color="auto"/>
              <w:right w:val="single" w:sz="4" w:space="0" w:color="auto"/>
            </w:tcBorders>
            <w:noWrap/>
            <w:vAlign w:val="bottom"/>
            <w:hideMark/>
          </w:tcPr>
          <w:p w14:paraId="68674201" w14:textId="67488184" w:rsidR="00FE18F6" w:rsidRPr="00F505DC" w:rsidRDefault="00FE18F6" w:rsidP="00427D57">
            <w:pPr>
              <w:rPr>
                <w:lang w:val="fr-SN"/>
              </w:rPr>
            </w:pPr>
            <w:r w:rsidRPr="00F505DC">
              <w:rPr>
                <w:lang w:val="fr-SN"/>
              </w:rPr>
              <w:t>0,3</w:t>
            </w:r>
            <w:r w:rsidR="003E3057">
              <w:rPr>
                <w:lang w:val="fr-SN"/>
              </w:rPr>
              <w:t>2</w:t>
            </w:r>
            <w:r w:rsidRPr="00F505DC">
              <w:rPr>
                <w:lang w:val="fr-SN"/>
              </w:rPr>
              <w:t>%</w:t>
            </w:r>
          </w:p>
        </w:tc>
        <w:tc>
          <w:tcPr>
            <w:tcW w:w="1272" w:type="dxa"/>
            <w:tcBorders>
              <w:top w:val="nil"/>
              <w:left w:val="nil"/>
              <w:bottom w:val="single" w:sz="4" w:space="0" w:color="auto"/>
              <w:right w:val="single" w:sz="4" w:space="0" w:color="auto"/>
            </w:tcBorders>
            <w:noWrap/>
            <w:vAlign w:val="bottom"/>
            <w:hideMark/>
          </w:tcPr>
          <w:p w14:paraId="5C5C19AC" w14:textId="1A82828C" w:rsidR="00FE18F6" w:rsidRPr="00F505DC" w:rsidRDefault="00FE18F6" w:rsidP="00427D57">
            <w:pPr>
              <w:rPr>
                <w:lang w:val="fr-SN"/>
              </w:rPr>
            </w:pPr>
            <w:r w:rsidRPr="00F505DC">
              <w:rPr>
                <w:lang w:val="fr-SN"/>
              </w:rPr>
              <w:t>0,</w:t>
            </w:r>
            <w:r w:rsidR="003E3057">
              <w:rPr>
                <w:lang w:val="fr-SN"/>
              </w:rPr>
              <w:t>05</w:t>
            </w:r>
            <w:r w:rsidRPr="00F505DC">
              <w:rPr>
                <w:lang w:val="fr-SN"/>
              </w:rPr>
              <w:t>%</w:t>
            </w:r>
          </w:p>
        </w:tc>
        <w:tc>
          <w:tcPr>
            <w:tcW w:w="1285" w:type="dxa"/>
            <w:tcBorders>
              <w:top w:val="nil"/>
              <w:left w:val="nil"/>
              <w:bottom w:val="single" w:sz="4" w:space="0" w:color="auto"/>
              <w:right w:val="single" w:sz="4" w:space="0" w:color="auto"/>
            </w:tcBorders>
            <w:noWrap/>
            <w:vAlign w:val="bottom"/>
            <w:hideMark/>
          </w:tcPr>
          <w:p w14:paraId="5451B83F" w14:textId="1BD70170" w:rsidR="00FE18F6" w:rsidRPr="00F505DC" w:rsidRDefault="00FE18F6" w:rsidP="00427D57">
            <w:pPr>
              <w:rPr>
                <w:lang w:val="fr-SN"/>
              </w:rPr>
            </w:pPr>
            <w:r w:rsidRPr="00F505DC">
              <w:rPr>
                <w:lang w:val="fr-SN"/>
              </w:rPr>
              <w:t>-0,2</w:t>
            </w:r>
            <w:r w:rsidR="003E3057">
              <w:rPr>
                <w:lang w:val="fr-SN"/>
              </w:rPr>
              <w:t>7</w:t>
            </w:r>
            <w:r w:rsidRPr="00F505DC">
              <w:rPr>
                <w:lang w:val="fr-SN"/>
              </w:rPr>
              <w:t>%</w:t>
            </w:r>
          </w:p>
        </w:tc>
      </w:tr>
      <w:tr w:rsidR="00A05744" w:rsidRPr="00F505DC" w14:paraId="5F7EE216" w14:textId="77777777" w:rsidTr="00A05744">
        <w:trPr>
          <w:trHeight w:val="267"/>
        </w:trPr>
        <w:tc>
          <w:tcPr>
            <w:tcW w:w="2475" w:type="dxa"/>
            <w:tcBorders>
              <w:top w:val="nil"/>
              <w:left w:val="single" w:sz="4" w:space="0" w:color="auto"/>
              <w:bottom w:val="single" w:sz="4" w:space="0" w:color="auto"/>
              <w:right w:val="single" w:sz="4" w:space="0" w:color="auto"/>
            </w:tcBorders>
            <w:noWrap/>
            <w:vAlign w:val="bottom"/>
            <w:hideMark/>
          </w:tcPr>
          <w:p w14:paraId="118153C8" w14:textId="77777777" w:rsidR="00FE18F6" w:rsidRPr="00F505DC" w:rsidRDefault="00FE18F6" w:rsidP="00427D57">
            <w:pPr>
              <w:rPr>
                <w:lang w:val="fr-SN"/>
              </w:rPr>
            </w:pPr>
            <w:r w:rsidRPr="00F505DC">
              <w:rPr>
                <w:lang w:val="fr-SN"/>
              </w:rPr>
              <w:t>1004.ENSEIGNEMENT TERTIAIRE</w:t>
            </w:r>
          </w:p>
        </w:tc>
        <w:tc>
          <w:tcPr>
            <w:tcW w:w="3471" w:type="dxa"/>
            <w:tcBorders>
              <w:top w:val="nil"/>
              <w:left w:val="nil"/>
              <w:bottom w:val="single" w:sz="4" w:space="0" w:color="auto"/>
              <w:right w:val="single" w:sz="4" w:space="0" w:color="auto"/>
            </w:tcBorders>
            <w:noWrap/>
            <w:vAlign w:val="bottom"/>
            <w:hideMark/>
          </w:tcPr>
          <w:p w14:paraId="2977D621" w14:textId="77777777" w:rsidR="00FE18F6" w:rsidRPr="00F505DC" w:rsidRDefault="00FE18F6" w:rsidP="00427D57">
            <w:pPr>
              <w:rPr>
                <w:lang w:val="fr-SN"/>
              </w:rPr>
            </w:pPr>
            <w:r w:rsidRPr="00F505DC">
              <w:rPr>
                <w:lang w:val="fr-SN"/>
              </w:rPr>
              <w:t>Enseignement supérieur</w:t>
            </w:r>
          </w:p>
        </w:tc>
        <w:tc>
          <w:tcPr>
            <w:tcW w:w="1272" w:type="dxa"/>
            <w:tcBorders>
              <w:top w:val="nil"/>
              <w:left w:val="nil"/>
              <w:bottom w:val="single" w:sz="4" w:space="0" w:color="auto"/>
              <w:right w:val="single" w:sz="4" w:space="0" w:color="auto"/>
            </w:tcBorders>
            <w:noWrap/>
            <w:vAlign w:val="bottom"/>
            <w:hideMark/>
          </w:tcPr>
          <w:p w14:paraId="755E8BD9" w14:textId="77777777" w:rsidR="00FE18F6" w:rsidRPr="00F505DC" w:rsidRDefault="00FE18F6" w:rsidP="00427D57">
            <w:pPr>
              <w:rPr>
                <w:lang w:val="fr-SN"/>
              </w:rPr>
            </w:pPr>
            <w:r w:rsidRPr="00F505DC">
              <w:rPr>
                <w:lang w:val="fr-SN"/>
              </w:rPr>
              <w:t>0,02%</w:t>
            </w:r>
          </w:p>
        </w:tc>
        <w:tc>
          <w:tcPr>
            <w:tcW w:w="1272" w:type="dxa"/>
            <w:tcBorders>
              <w:top w:val="nil"/>
              <w:left w:val="nil"/>
              <w:bottom w:val="single" w:sz="4" w:space="0" w:color="auto"/>
              <w:right w:val="single" w:sz="4" w:space="0" w:color="auto"/>
            </w:tcBorders>
            <w:noWrap/>
            <w:vAlign w:val="bottom"/>
            <w:hideMark/>
          </w:tcPr>
          <w:p w14:paraId="4727F832" w14:textId="1EA1E935" w:rsidR="00FE18F6" w:rsidRPr="00F505DC" w:rsidRDefault="00FE18F6" w:rsidP="00427D57">
            <w:pPr>
              <w:rPr>
                <w:lang w:val="fr-SN"/>
              </w:rPr>
            </w:pPr>
            <w:r w:rsidRPr="00F505DC">
              <w:rPr>
                <w:lang w:val="fr-SN"/>
              </w:rPr>
              <w:t>0,</w:t>
            </w:r>
            <w:r w:rsidR="003E3057">
              <w:rPr>
                <w:lang w:val="fr-SN"/>
              </w:rPr>
              <w:t>36</w:t>
            </w:r>
            <w:r w:rsidRPr="00F505DC">
              <w:rPr>
                <w:lang w:val="fr-SN"/>
              </w:rPr>
              <w:t>%</w:t>
            </w:r>
          </w:p>
        </w:tc>
        <w:tc>
          <w:tcPr>
            <w:tcW w:w="1285" w:type="dxa"/>
            <w:tcBorders>
              <w:top w:val="nil"/>
              <w:left w:val="nil"/>
              <w:bottom w:val="single" w:sz="4" w:space="0" w:color="auto"/>
              <w:right w:val="single" w:sz="4" w:space="0" w:color="auto"/>
            </w:tcBorders>
            <w:noWrap/>
            <w:vAlign w:val="bottom"/>
            <w:hideMark/>
          </w:tcPr>
          <w:p w14:paraId="63697373" w14:textId="4D6B0C63" w:rsidR="00FE18F6" w:rsidRPr="00F505DC" w:rsidRDefault="00FE18F6" w:rsidP="00427D57">
            <w:pPr>
              <w:rPr>
                <w:lang w:val="fr-SN"/>
              </w:rPr>
            </w:pPr>
            <w:r w:rsidRPr="00F505DC">
              <w:rPr>
                <w:lang w:val="fr-SN"/>
              </w:rPr>
              <w:t>0,</w:t>
            </w:r>
            <w:r w:rsidR="003E3057">
              <w:rPr>
                <w:lang w:val="fr-SN"/>
              </w:rPr>
              <w:t>33</w:t>
            </w:r>
            <w:r w:rsidRPr="00F505DC">
              <w:rPr>
                <w:lang w:val="fr-SN"/>
              </w:rPr>
              <w:t>%</w:t>
            </w:r>
          </w:p>
        </w:tc>
      </w:tr>
      <w:tr w:rsidR="00A05744" w:rsidRPr="00F505DC" w14:paraId="3177BEF4" w14:textId="77777777" w:rsidTr="00A05744">
        <w:trPr>
          <w:trHeight w:val="267"/>
        </w:trPr>
        <w:tc>
          <w:tcPr>
            <w:tcW w:w="2475" w:type="dxa"/>
            <w:tcBorders>
              <w:top w:val="nil"/>
              <w:left w:val="single" w:sz="4" w:space="0" w:color="auto"/>
              <w:bottom w:val="single" w:sz="4" w:space="0" w:color="auto"/>
              <w:right w:val="single" w:sz="4" w:space="0" w:color="auto"/>
            </w:tcBorders>
            <w:noWrap/>
            <w:vAlign w:val="bottom"/>
            <w:hideMark/>
          </w:tcPr>
          <w:p w14:paraId="21B441A2" w14:textId="77777777" w:rsidR="00FE18F6" w:rsidRPr="00F505DC" w:rsidRDefault="00FE18F6" w:rsidP="00427D57">
            <w:pPr>
              <w:rPr>
                <w:lang w:val="fr-SN"/>
              </w:rPr>
            </w:pPr>
            <w:r w:rsidRPr="00F505DC">
              <w:rPr>
                <w:lang w:val="fr-SN"/>
              </w:rPr>
              <w:t>1005.ENSEIGNEMENT NON DÉFINIE PAR NIVEAU</w:t>
            </w:r>
          </w:p>
        </w:tc>
        <w:tc>
          <w:tcPr>
            <w:tcW w:w="3471" w:type="dxa"/>
            <w:tcBorders>
              <w:top w:val="nil"/>
              <w:left w:val="nil"/>
              <w:bottom w:val="single" w:sz="4" w:space="0" w:color="auto"/>
              <w:right w:val="single" w:sz="4" w:space="0" w:color="auto"/>
            </w:tcBorders>
            <w:noWrap/>
            <w:vAlign w:val="bottom"/>
            <w:hideMark/>
          </w:tcPr>
          <w:p w14:paraId="1B469CF3" w14:textId="77777777" w:rsidR="00FE18F6" w:rsidRPr="00F505DC" w:rsidRDefault="00FE18F6" w:rsidP="00427D57">
            <w:pPr>
              <w:rPr>
                <w:lang w:val="fr-SN"/>
              </w:rPr>
            </w:pPr>
            <w:r w:rsidRPr="00F505DC">
              <w:rPr>
                <w:lang w:val="fr-SN"/>
              </w:rPr>
              <w:t>Enseignement post-secondaire non supérieur et Enseignement non défini par niveau</w:t>
            </w:r>
          </w:p>
        </w:tc>
        <w:tc>
          <w:tcPr>
            <w:tcW w:w="1272" w:type="dxa"/>
            <w:tcBorders>
              <w:top w:val="nil"/>
              <w:left w:val="nil"/>
              <w:bottom w:val="single" w:sz="4" w:space="0" w:color="auto"/>
              <w:right w:val="single" w:sz="4" w:space="0" w:color="auto"/>
            </w:tcBorders>
            <w:noWrap/>
            <w:vAlign w:val="bottom"/>
            <w:hideMark/>
          </w:tcPr>
          <w:p w14:paraId="7EFFD97C" w14:textId="1EC70FB4" w:rsidR="00FE18F6" w:rsidRPr="00F505DC" w:rsidRDefault="00FE18F6" w:rsidP="00427D57">
            <w:pPr>
              <w:rPr>
                <w:lang w:val="fr-SN"/>
              </w:rPr>
            </w:pPr>
            <w:r w:rsidRPr="00F505DC">
              <w:rPr>
                <w:lang w:val="fr-SN"/>
              </w:rPr>
              <w:t>0,3</w:t>
            </w:r>
            <w:r w:rsidR="003E3057">
              <w:rPr>
                <w:lang w:val="fr-SN"/>
              </w:rPr>
              <w:t>2</w:t>
            </w:r>
            <w:r w:rsidRPr="00F505DC">
              <w:rPr>
                <w:lang w:val="fr-SN"/>
              </w:rPr>
              <w:t>%</w:t>
            </w:r>
          </w:p>
        </w:tc>
        <w:tc>
          <w:tcPr>
            <w:tcW w:w="1272" w:type="dxa"/>
            <w:tcBorders>
              <w:top w:val="nil"/>
              <w:left w:val="nil"/>
              <w:bottom w:val="single" w:sz="4" w:space="0" w:color="auto"/>
              <w:right w:val="single" w:sz="4" w:space="0" w:color="auto"/>
            </w:tcBorders>
            <w:noWrap/>
            <w:vAlign w:val="bottom"/>
            <w:hideMark/>
          </w:tcPr>
          <w:p w14:paraId="384767A1" w14:textId="7F93B12A" w:rsidR="00FE18F6" w:rsidRPr="00F505DC" w:rsidRDefault="00FE18F6" w:rsidP="00427D57">
            <w:pPr>
              <w:rPr>
                <w:lang w:val="fr-SN"/>
              </w:rPr>
            </w:pPr>
            <w:r w:rsidRPr="00F505DC">
              <w:rPr>
                <w:lang w:val="fr-SN"/>
              </w:rPr>
              <w:t>0,</w:t>
            </w:r>
            <w:r w:rsidR="003E3057">
              <w:rPr>
                <w:lang w:val="fr-SN"/>
              </w:rPr>
              <w:t>17</w:t>
            </w:r>
            <w:r w:rsidRPr="00F505DC">
              <w:rPr>
                <w:lang w:val="fr-SN"/>
              </w:rPr>
              <w:t>%</w:t>
            </w:r>
          </w:p>
        </w:tc>
        <w:tc>
          <w:tcPr>
            <w:tcW w:w="1285" w:type="dxa"/>
            <w:tcBorders>
              <w:top w:val="nil"/>
              <w:left w:val="nil"/>
              <w:bottom w:val="single" w:sz="4" w:space="0" w:color="auto"/>
              <w:right w:val="single" w:sz="4" w:space="0" w:color="auto"/>
            </w:tcBorders>
            <w:noWrap/>
            <w:vAlign w:val="bottom"/>
            <w:hideMark/>
          </w:tcPr>
          <w:p w14:paraId="265F4F73" w14:textId="311A7744" w:rsidR="00FE18F6" w:rsidRPr="00F505DC" w:rsidRDefault="00FE18F6" w:rsidP="00427D57">
            <w:pPr>
              <w:rPr>
                <w:lang w:val="fr-SN"/>
              </w:rPr>
            </w:pPr>
            <w:r w:rsidRPr="00F505DC">
              <w:rPr>
                <w:lang w:val="fr-SN"/>
              </w:rPr>
              <w:t>-0,</w:t>
            </w:r>
            <w:r w:rsidR="003E3057">
              <w:rPr>
                <w:lang w:val="fr-SN"/>
              </w:rPr>
              <w:t>15</w:t>
            </w:r>
            <w:r w:rsidRPr="00F505DC">
              <w:rPr>
                <w:lang w:val="fr-SN"/>
              </w:rPr>
              <w:t>%</w:t>
            </w:r>
          </w:p>
        </w:tc>
      </w:tr>
    </w:tbl>
    <w:p w14:paraId="59E557C1" w14:textId="77777777" w:rsidR="00FE18F6" w:rsidRDefault="00FE18F6" w:rsidP="00FE18F6">
      <w:pPr>
        <w:rPr>
          <w:lang w:val="fr-SN"/>
        </w:rPr>
      </w:pPr>
    </w:p>
    <w:p w14:paraId="4E645B08" w14:textId="785686EE" w:rsidR="00FE18F6" w:rsidRPr="00747953" w:rsidRDefault="00FE18F6" w:rsidP="00FE18F6">
      <w:pPr>
        <w:rPr>
          <w:i/>
          <w:iCs/>
          <w:lang w:val="fr-SN"/>
        </w:rPr>
      </w:pPr>
      <w:r w:rsidRPr="00747953">
        <w:rPr>
          <w:i/>
          <w:iCs/>
          <w:lang w:val="fr-SN"/>
        </w:rPr>
        <w:t>Source : ANSD, pondération IHPC 2014 et 202</w:t>
      </w:r>
      <w:r w:rsidR="00842DD4">
        <w:rPr>
          <w:i/>
          <w:iCs/>
          <w:lang w:val="fr-SN"/>
        </w:rPr>
        <w:t>1</w:t>
      </w:r>
      <w:r w:rsidRPr="00747953">
        <w:rPr>
          <w:i/>
          <w:iCs/>
          <w:lang w:val="fr-SN"/>
        </w:rPr>
        <w:t>.</w:t>
      </w:r>
    </w:p>
    <w:p w14:paraId="7B052C87" w14:textId="534264FA" w:rsidR="00FE18F6" w:rsidRPr="00F505DC" w:rsidRDefault="00FE18F6" w:rsidP="00FE18F6">
      <w:pPr>
        <w:rPr>
          <w:lang w:val="fr-SN"/>
        </w:rPr>
      </w:pPr>
      <w:r w:rsidRPr="00A22427">
        <w:t>Entre 2014 et 202</w:t>
      </w:r>
      <w:r w:rsidR="0022769D">
        <w:t>1</w:t>
      </w:r>
      <w:r w:rsidRPr="00A22427">
        <w:t>, la part des dépenses des ménages sénégalais consacrée à l'enseignement tertiaire a connu une augmentation significative, passant de 0,02 % à 0,</w:t>
      </w:r>
      <w:r w:rsidR="008C3537">
        <w:t>36</w:t>
      </w:r>
      <w:r w:rsidRPr="00A22427">
        <w:t xml:space="preserve"> %, soit une hausse de 0,3</w:t>
      </w:r>
      <w:r w:rsidR="008C3537">
        <w:t>3</w:t>
      </w:r>
      <w:r w:rsidRPr="00A22427">
        <w:t xml:space="preserve"> point de pourcentage. Cette évolution peut être associée à l'augmentation des taux d'inscription dans l'enseignement supérieur</w:t>
      </w:r>
      <w:r>
        <w:t xml:space="preserve">. </w:t>
      </w:r>
      <w:r w:rsidRPr="00A22427">
        <w:t xml:space="preserve">Selon le rapport sur la situation de l'enseignement supérieur au Sénégal, l'augmentation du nombre de bacheliers a conduit à une hausse du taux brut de scolarisation (TBS) dans l'enseignement supérieur. En effet, le TBS est passé de 8 % en 2014 à environ 19 % en 2021, ce qui </w:t>
      </w:r>
      <w:r>
        <w:t>p</w:t>
      </w:r>
      <w:r w:rsidR="0022769D">
        <w:t>ourrait</w:t>
      </w:r>
      <w:r>
        <w:t xml:space="preserve"> expliquer la hausse des dépenses dans cette catégorie</w:t>
      </w:r>
      <w:r w:rsidRPr="00A22427">
        <w:t>.</w:t>
      </w:r>
    </w:p>
    <w:p w14:paraId="108A2318" w14:textId="77777777" w:rsidR="00FE18F6" w:rsidRPr="00F505DC" w:rsidRDefault="00FE18F6">
      <w:pPr>
        <w:pStyle w:val="Paragraphedeliste"/>
        <w:numPr>
          <w:ilvl w:val="0"/>
          <w:numId w:val="20"/>
        </w:numPr>
        <w:rPr>
          <w:b/>
          <w:bCs/>
          <w:lang w:val="fr-SN"/>
        </w:rPr>
      </w:pPr>
      <w:r w:rsidRPr="00F505DC">
        <w:rPr>
          <w:b/>
          <w:bCs/>
          <w:lang w:val="fr-SN"/>
        </w:rPr>
        <w:t>RESTAURANTS ET SERVICES D'HÉBERGEMENT</w:t>
      </w:r>
    </w:p>
    <w:p w14:paraId="1E710080" w14:textId="35387DE4" w:rsidR="00FE18F6" w:rsidRPr="00F505DC" w:rsidRDefault="00FE18F6" w:rsidP="00FE18F6">
      <w:pPr>
        <w:rPr>
          <w:lang w:val="fr-SN"/>
        </w:rPr>
      </w:pPr>
      <w:r w:rsidRPr="00F505DC">
        <w:rPr>
          <w:lang w:val="fr-SN"/>
        </w:rPr>
        <w:t>La part des dépenses des ménages allouée à la division "Restaurants et services d'hébergement" a considérablement augmenté entre 2014 et 202</w:t>
      </w:r>
      <w:r w:rsidR="0022769D">
        <w:rPr>
          <w:lang w:val="fr-SN"/>
        </w:rPr>
        <w:t>1</w:t>
      </w:r>
      <w:r w:rsidRPr="00F505DC">
        <w:rPr>
          <w:lang w:val="fr-SN"/>
        </w:rPr>
        <w:t>, passant de 3,</w:t>
      </w:r>
      <w:r w:rsidR="008C3537">
        <w:rPr>
          <w:lang w:val="fr-SN"/>
        </w:rPr>
        <w:t>76</w:t>
      </w:r>
      <w:r w:rsidRPr="00F505DC">
        <w:rPr>
          <w:lang w:val="fr-SN"/>
        </w:rPr>
        <w:t xml:space="preserve"> % à 9,</w:t>
      </w:r>
      <w:r w:rsidR="008C3537">
        <w:rPr>
          <w:lang w:val="fr-SN"/>
        </w:rPr>
        <w:t>20</w:t>
      </w:r>
      <w:r w:rsidRPr="00F505DC">
        <w:rPr>
          <w:lang w:val="fr-SN"/>
        </w:rPr>
        <w:t xml:space="preserve"> %, soit une hausse de 5,</w:t>
      </w:r>
      <w:r w:rsidR="008C3537">
        <w:rPr>
          <w:lang w:val="fr-SN"/>
        </w:rPr>
        <w:t>44</w:t>
      </w:r>
      <w:r w:rsidRPr="00F505DC">
        <w:rPr>
          <w:lang w:val="fr-SN"/>
        </w:rPr>
        <w:t xml:space="preserve"> points de pourcentage. Cette augmentation est principalement portée par les "Services de restauration", qui ont progressé de 5,</w:t>
      </w:r>
      <w:r w:rsidR="008C3537">
        <w:rPr>
          <w:lang w:val="fr-SN"/>
        </w:rPr>
        <w:t>44</w:t>
      </w:r>
      <w:r w:rsidRPr="00F505DC">
        <w:rPr>
          <w:lang w:val="fr-SN"/>
        </w:rPr>
        <w:t xml:space="preserve"> points, passant de 3,</w:t>
      </w:r>
      <w:r w:rsidR="008C3537">
        <w:rPr>
          <w:lang w:val="fr-SN"/>
        </w:rPr>
        <w:t>69</w:t>
      </w:r>
      <w:r w:rsidRPr="00F505DC">
        <w:rPr>
          <w:lang w:val="fr-SN"/>
        </w:rPr>
        <w:t xml:space="preserve"> % à 9,0</w:t>
      </w:r>
      <w:r w:rsidR="008C3537">
        <w:rPr>
          <w:lang w:val="fr-SN"/>
        </w:rPr>
        <w:t>3</w:t>
      </w:r>
      <w:r w:rsidRPr="00F505DC">
        <w:rPr>
          <w:lang w:val="fr-SN"/>
        </w:rPr>
        <w:t xml:space="preserve"> %. Les "Services d'hébergement" ont connu une augmentation marginale de 0,01 point, passant de 0,07 % à 0,08 %.</w:t>
      </w:r>
    </w:p>
    <w:p w14:paraId="702CEB7D" w14:textId="6EAB911B" w:rsidR="00FE18F6" w:rsidRPr="006723FF" w:rsidRDefault="00FE18F6" w:rsidP="00FE18F6">
      <w:pPr>
        <w:pStyle w:val="Lgende"/>
        <w:keepNext/>
        <w:rPr>
          <w:b/>
          <w:bCs/>
          <w:i w:val="0"/>
          <w:iCs w:val="0"/>
          <w:sz w:val="28"/>
          <w:szCs w:val="28"/>
        </w:rPr>
      </w:pPr>
      <w:bookmarkStart w:id="76" w:name="_Toc180927605"/>
      <w:r w:rsidRPr="006723FF">
        <w:rPr>
          <w:sz w:val="28"/>
          <w:szCs w:val="28"/>
        </w:rPr>
        <w:t xml:space="preserve">Tableau </w:t>
      </w:r>
      <w:r w:rsidRPr="006723FF">
        <w:rPr>
          <w:b/>
          <w:bCs/>
          <w:i w:val="0"/>
          <w:iCs w:val="0"/>
          <w:sz w:val="28"/>
          <w:szCs w:val="28"/>
        </w:rPr>
        <w:fldChar w:fldCharType="begin"/>
      </w:r>
      <w:r w:rsidRPr="006723FF">
        <w:rPr>
          <w:sz w:val="28"/>
          <w:szCs w:val="28"/>
        </w:rPr>
        <w:instrText xml:space="preserve"> SEQ Tableau \* ARABIC </w:instrText>
      </w:r>
      <w:r w:rsidRPr="006723FF">
        <w:rPr>
          <w:b/>
          <w:bCs/>
          <w:i w:val="0"/>
          <w:iCs w:val="0"/>
          <w:sz w:val="28"/>
          <w:szCs w:val="28"/>
        </w:rPr>
        <w:fldChar w:fldCharType="separate"/>
      </w:r>
      <w:r w:rsidR="00427D57">
        <w:rPr>
          <w:noProof/>
          <w:sz w:val="28"/>
          <w:szCs w:val="28"/>
        </w:rPr>
        <w:t>11</w:t>
      </w:r>
      <w:r w:rsidRPr="006723FF">
        <w:rPr>
          <w:b/>
          <w:bCs/>
          <w:i w:val="0"/>
          <w:iCs w:val="0"/>
          <w:sz w:val="28"/>
          <w:szCs w:val="28"/>
        </w:rPr>
        <w:fldChar w:fldCharType="end"/>
      </w:r>
      <w:r w:rsidRPr="006723FF">
        <w:rPr>
          <w:sz w:val="28"/>
          <w:szCs w:val="28"/>
        </w:rPr>
        <w:t> :</w:t>
      </w:r>
      <w:r w:rsidR="0022769D">
        <w:rPr>
          <w:sz w:val="28"/>
          <w:szCs w:val="28"/>
        </w:rPr>
        <w:t xml:space="preserve"> </w:t>
      </w:r>
      <w:r w:rsidRPr="006723FF">
        <w:rPr>
          <w:sz w:val="28"/>
          <w:szCs w:val="28"/>
          <w:lang w:val="fr-SN"/>
        </w:rPr>
        <w:t>Structure de consommation (en %) restaurants et services d’hébergement 2014 et 2021</w:t>
      </w:r>
      <w:bookmarkEnd w:id="76"/>
    </w:p>
    <w:tbl>
      <w:tblPr>
        <w:tblpPr w:leftFromText="141" w:rightFromText="141" w:bottomFromText="160" w:vertAnchor="text" w:horzAnchor="margin" w:tblpXSpec="center" w:tblpY="211"/>
        <w:tblW w:w="9686" w:type="dxa"/>
        <w:tblCellMar>
          <w:left w:w="70" w:type="dxa"/>
          <w:right w:w="70" w:type="dxa"/>
        </w:tblCellMar>
        <w:tblLook w:val="04A0" w:firstRow="1" w:lastRow="0" w:firstColumn="1" w:lastColumn="0" w:noHBand="0" w:noVBand="1"/>
      </w:tblPr>
      <w:tblGrid>
        <w:gridCol w:w="4017"/>
        <w:gridCol w:w="1686"/>
        <w:gridCol w:w="1345"/>
        <w:gridCol w:w="1345"/>
        <w:gridCol w:w="1313"/>
      </w:tblGrid>
      <w:tr w:rsidR="00FE18F6" w:rsidRPr="00F505DC" w14:paraId="7387E90D" w14:textId="77777777" w:rsidTr="005558FD">
        <w:trPr>
          <w:trHeight w:val="291"/>
        </w:trPr>
        <w:tc>
          <w:tcPr>
            <w:tcW w:w="4017" w:type="dxa"/>
            <w:tcBorders>
              <w:top w:val="single" w:sz="4" w:space="0" w:color="auto"/>
              <w:left w:val="single" w:sz="4" w:space="0" w:color="auto"/>
              <w:bottom w:val="single" w:sz="4" w:space="0" w:color="auto"/>
              <w:right w:val="single" w:sz="4" w:space="0" w:color="auto"/>
            </w:tcBorders>
            <w:noWrap/>
            <w:hideMark/>
          </w:tcPr>
          <w:p w14:paraId="06531512" w14:textId="65AE0D7F" w:rsidR="00FE18F6" w:rsidRPr="00F505DC" w:rsidRDefault="00FE18F6" w:rsidP="00427D57">
            <w:pPr>
              <w:rPr>
                <w:lang w:val="fr-SN"/>
              </w:rPr>
            </w:pPr>
            <w:r w:rsidRPr="00F505DC">
              <w:rPr>
                <w:lang w:val="fr-SN"/>
              </w:rPr>
              <w:t>Nomenclature 202</w:t>
            </w:r>
            <w:r w:rsidR="0022769D">
              <w:rPr>
                <w:lang w:val="fr-SN"/>
              </w:rPr>
              <w:t>1</w:t>
            </w:r>
          </w:p>
        </w:tc>
        <w:tc>
          <w:tcPr>
            <w:tcW w:w="1686" w:type="dxa"/>
            <w:tcBorders>
              <w:top w:val="single" w:sz="4" w:space="0" w:color="auto"/>
              <w:left w:val="nil"/>
              <w:bottom w:val="single" w:sz="4" w:space="0" w:color="auto"/>
              <w:right w:val="single" w:sz="4" w:space="0" w:color="auto"/>
            </w:tcBorders>
            <w:noWrap/>
            <w:hideMark/>
          </w:tcPr>
          <w:p w14:paraId="3C5C145A" w14:textId="77777777" w:rsidR="00FE18F6" w:rsidRPr="00F505DC" w:rsidRDefault="00FE18F6" w:rsidP="00427D57">
            <w:pPr>
              <w:rPr>
                <w:lang w:val="fr-SN"/>
              </w:rPr>
            </w:pPr>
            <w:r w:rsidRPr="00F505DC">
              <w:rPr>
                <w:lang w:val="fr-SN"/>
              </w:rPr>
              <w:t>Nomenclature 2014</w:t>
            </w:r>
          </w:p>
        </w:tc>
        <w:tc>
          <w:tcPr>
            <w:tcW w:w="1345" w:type="dxa"/>
            <w:tcBorders>
              <w:top w:val="single" w:sz="4" w:space="0" w:color="auto"/>
              <w:left w:val="nil"/>
              <w:bottom w:val="single" w:sz="4" w:space="0" w:color="auto"/>
              <w:right w:val="single" w:sz="4" w:space="0" w:color="auto"/>
            </w:tcBorders>
            <w:noWrap/>
            <w:hideMark/>
          </w:tcPr>
          <w:p w14:paraId="33859F1B" w14:textId="77777777" w:rsidR="00FE18F6" w:rsidRPr="00F505DC" w:rsidRDefault="00FE18F6" w:rsidP="00427D57">
            <w:pPr>
              <w:rPr>
                <w:lang w:val="fr-SN"/>
              </w:rPr>
            </w:pPr>
            <w:r w:rsidRPr="00F505DC">
              <w:rPr>
                <w:lang w:val="fr-SN"/>
              </w:rPr>
              <w:t>Pondération 2014</w:t>
            </w:r>
          </w:p>
        </w:tc>
        <w:tc>
          <w:tcPr>
            <w:tcW w:w="1345" w:type="dxa"/>
            <w:tcBorders>
              <w:top w:val="single" w:sz="4" w:space="0" w:color="auto"/>
              <w:left w:val="nil"/>
              <w:bottom w:val="single" w:sz="4" w:space="0" w:color="auto"/>
              <w:right w:val="single" w:sz="4" w:space="0" w:color="auto"/>
            </w:tcBorders>
            <w:noWrap/>
            <w:hideMark/>
          </w:tcPr>
          <w:p w14:paraId="2835A38E" w14:textId="77777777" w:rsidR="00FE18F6" w:rsidRPr="00F505DC" w:rsidRDefault="00FE18F6" w:rsidP="00427D57">
            <w:pPr>
              <w:rPr>
                <w:lang w:val="fr-SN"/>
              </w:rPr>
            </w:pPr>
            <w:r w:rsidRPr="00F505DC">
              <w:rPr>
                <w:lang w:val="fr-SN"/>
              </w:rPr>
              <w:t>Pondération</w:t>
            </w:r>
          </w:p>
          <w:p w14:paraId="2CD042C6" w14:textId="77777777" w:rsidR="00FE18F6" w:rsidRPr="00F505DC" w:rsidRDefault="00FE18F6" w:rsidP="00427D57">
            <w:pPr>
              <w:rPr>
                <w:lang w:val="fr-SN"/>
              </w:rPr>
            </w:pPr>
            <w:r w:rsidRPr="00F505DC">
              <w:rPr>
                <w:lang w:val="fr-SN"/>
              </w:rPr>
              <w:t>202</w:t>
            </w:r>
            <w:r>
              <w:rPr>
                <w:lang w:val="fr-SN"/>
              </w:rPr>
              <w:t>1</w:t>
            </w:r>
          </w:p>
        </w:tc>
        <w:tc>
          <w:tcPr>
            <w:tcW w:w="1293" w:type="dxa"/>
            <w:tcBorders>
              <w:top w:val="single" w:sz="4" w:space="0" w:color="auto"/>
              <w:left w:val="nil"/>
              <w:bottom w:val="single" w:sz="4" w:space="0" w:color="auto"/>
              <w:right w:val="single" w:sz="4" w:space="0" w:color="auto"/>
            </w:tcBorders>
            <w:noWrap/>
            <w:hideMark/>
          </w:tcPr>
          <w:p w14:paraId="4C9E64A5" w14:textId="77777777" w:rsidR="00FE18F6" w:rsidRPr="00F505DC" w:rsidRDefault="00FE18F6" w:rsidP="00427D57">
            <w:pPr>
              <w:rPr>
                <w:lang w:val="fr-SN"/>
              </w:rPr>
            </w:pPr>
            <w:r w:rsidRPr="00F505DC">
              <w:rPr>
                <w:lang w:val="fr-SN"/>
              </w:rPr>
              <w:t>Variation en point de pourcentage</w:t>
            </w:r>
          </w:p>
        </w:tc>
      </w:tr>
      <w:tr w:rsidR="00FE18F6" w:rsidRPr="00F505DC" w14:paraId="5E54C4C5" w14:textId="77777777" w:rsidTr="005558FD">
        <w:trPr>
          <w:trHeight w:val="291"/>
        </w:trPr>
        <w:tc>
          <w:tcPr>
            <w:tcW w:w="4017" w:type="dxa"/>
            <w:tcBorders>
              <w:top w:val="nil"/>
              <w:left w:val="single" w:sz="4" w:space="0" w:color="auto"/>
              <w:bottom w:val="single" w:sz="4" w:space="0" w:color="auto"/>
              <w:right w:val="single" w:sz="4" w:space="0" w:color="auto"/>
            </w:tcBorders>
            <w:noWrap/>
            <w:vAlign w:val="bottom"/>
            <w:hideMark/>
          </w:tcPr>
          <w:p w14:paraId="40049321" w14:textId="77777777" w:rsidR="00FE18F6" w:rsidRPr="00F505DC" w:rsidRDefault="00FE18F6" w:rsidP="00427D57">
            <w:pPr>
              <w:rPr>
                <w:b/>
                <w:bCs/>
                <w:lang w:val="fr-SN"/>
              </w:rPr>
            </w:pPr>
            <w:r w:rsidRPr="00F505DC">
              <w:rPr>
                <w:b/>
                <w:bCs/>
                <w:lang w:val="fr-SN"/>
              </w:rPr>
              <w:t>RESTAURANTS ET SERVICES D'HÉBERGEMENT</w:t>
            </w:r>
          </w:p>
        </w:tc>
        <w:tc>
          <w:tcPr>
            <w:tcW w:w="1686" w:type="dxa"/>
            <w:tcBorders>
              <w:top w:val="nil"/>
              <w:left w:val="nil"/>
              <w:bottom w:val="single" w:sz="4" w:space="0" w:color="auto"/>
              <w:right w:val="single" w:sz="4" w:space="0" w:color="auto"/>
            </w:tcBorders>
            <w:noWrap/>
            <w:vAlign w:val="bottom"/>
            <w:hideMark/>
          </w:tcPr>
          <w:p w14:paraId="0A8D3920" w14:textId="77777777" w:rsidR="00FE18F6" w:rsidRPr="00F505DC" w:rsidRDefault="00FE18F6" w:rsidP="00427D57">
            <w:pPr>
              <w:rPr>
                <w:b/>
                <w:bCs/>
                <w:lang w:val="fr-SN"/>
              </w:rPr>
            </w:pPr>
            <w:r w:rsidRPr="00F505DC">
              <w:rPr>
                <w:b/>
                <w:bCs/>
                <w:lang w:val="fr-SN"/>
              </w:rPr>
              <w:t>Restaurants et Hôtels</w:t>
            </w:r>
          </w:p>
        </w:tc>
        <w:tc>
          <w:tcPr>
            <w:tcW w:w="1345" w:type="dxa"/>
            <w:tcBorders>
              <w:top w:val="nil"/>
              <w:left w:val="nil"/>
              <w:bottom w:val="single" w:sz="4" w:space="0" w:color="auto"/>
              <w:right w:val="single" w:sz="4" w:space="0" w:color="auto"/>
            </w:tcBorders>
            <w:noWrap/>
            <w:vAlign w:val="bottom"/>
            <w:hideMark/>
          </w:tcPr>
          <w:p w14:paraId="66D535D2" w14:textId="5D9A4EB7" w:rsidR="00FE18F6" w:rsidRPr="00F505DC" w:rsidRDefault="00FE18F6" w:rsidP="00427D57">
            <w:pPr>
              <w:rPr>
                <w:lang w:val="fr-SN"/>
              </w:rPr>
            </w:pPr>
            <w:r w:rsidRPr="00F505DC">
              <w:rPr>
                <w:b/>
                <w:bCs/>
                <w:lang w:val="fr-SN"/>
              </w:rPr>
              <w:t>3,</w:t>
            </w:r>
            <w:r w:rsidR="008C3537">
              <w:rPr>
                <w:b/>
                <w:bCs/>
                <w:lang w:val="fr-SN"/>
              </w:rPr>
              <w:t>76</w:t>
            </w:r>
            <w:r w:rsidRPr="00F505DC">
              <w:rPr>
                <w:b/>
                <w:bCs/>
                <w:lang w:val="fr-SN"/>
              </w:rPr>
              <w:t>%</w:t>
            </w:r>
          </w:p>
        </w:tc>
        <w:tc>
          <w:tcPr>
            <w:tcW w:w="1345" w:type="dxa"/>
            <w:tcBorders>
              <w:top w:val="nil"/>
              <w:left w:val="nil"/>
              <w:bottom w:val="single" w:sz="4" w:space="0" w:color="auto"/>
              <w:right w:val="single" w:sz="4" w:space="0" w:color="auto"/>
            </w:tcBorders>
            <w:noWrap/>
            <w:vAlign w:val="bottom"/>
            <w:hideMark/>
          </w:tcPr>
          <w:p w14:paraId="1C7EB825" w14:textId="5B805EE2" w:rsidR="00FE18F6" w:rsidRPr="00F505DC" w:rsidRDefault="00FE18F6" w:rsidP="00427D57">
            <w:pPr>
              <w:rPr>
                <w:lang w:val="fr-SN"/>
              </w:rPr>
            </w:pPr>
            <w:r w:rsidRPr="00F505DC">
              <w:rPr>
                <w:b/>
                <w:bCs/>
                <w:lang w:val="fr-SN"/>
              </w:rPr>
              <w:t>9,</w:t>
            </w:r>
            <w:r w:rsidR="008C3537">
              <w:rPr>
                <w:b/>
                <w:bCs/>
                <w:lang w:val="fr-SN"/>
              </w:rPr>
              <w:t>20</w:t>
            </w:r>
            <w:r w:rsidRPr="00F505DC">
              <w:rPr>
                <w:b/>
                <w:bCs/>
                <w:lang w:val="fr-SN"/>
              </w:rPr>
              <w:t>%</w:t>
            </w:r>
          </w:p>
        </w:tc>
        <w:tc>
          <w:tcPr>
            <w:tcW w:w="1293" w:type="dxa"/>
            <w:tcBorders>
              <w:top w:val="nil"/>
              <w:left w:val="nil"/>
              <w:bottom w:val="single" w:sz="4" w:space="0" w:color="auto"/>
              <w:right w:val="single" w:sz="4" w:space="0" w:color="auto"/>
            </w:tcBorders>
            <w:noWrap/>
            <w:vAlign w:val="bottom"/>
            <w:hideMark/>
          </w:tcPr>
          <w:p w14:paraId="446B2AC6" w14:textId="0C71592E" w:rsidR="00FE18F6" w:rsidRPr="00F505DC" w:rsidRDefault="00FE18F6" w:rsidP="00427D57">
            <w:pPr>
              <w:rPr>
                <w:b/>
                <w:bCs/>
                <w:lang w:val="fr-SN"/>
              </w:rPr>
            </w:pPr>
            <w:r w:rsidRPr="00F505DC">
              <w:rPr>
                <w:b/>
                <w:bCs/>
                <w:lang w:val="fr-SN"/>
              </w:rPr>
              <w:t>5,</w:t>
            </w:r>
            <w:r w:rsidR="008C3537">
              <w:rPr>
                <w:b/>
                <w:bCs/>
                <w:lang w:val="fr-SN"/>
              </w:rPr>
              <w:t>44</w:t>
            </w:r>
            <w:r w:rsidRPr="00F505DC">
              <w:rPr>
                <w:b/>
                <w:bCs/>
                <w:lang w:val="fr-SN"/>
              </w:rPr>
              <w:t>%</w:t>
            </w:r>
          </w:p>
        </w:tc>
      </w:tr>
      <w:tr w:rsidR="00FE18F6" w:rsidRPr="00F505DC" w14:paraId="51D1E482" w14:textId="77777777" w:rsidTr="005558FD">
        <w:trPr>
          <w:trHeight w:val="291"/>
        </w:trPr>
        <w:tc>
          <w:tcPr>
            <w:tcW w:w="4017" w:type="dxa"/>
            <w:tcBorders>
              <w:top w:val="nil"/>
              <w:left w:val="single" w:sz="4" w:space="0" w:color="auto"/>
              <w:bottom w:val="single" w:sz="4" w:space="0" w:color="auto"/>
              <w:right w:val="single" w:sz="4" w:space="0" w:color="auto"/>
            </w:tcBorders>
            <w:noWrap/>
            <w:vAlign w:val="bottom"/>
            <w:hideMark/>
          </w:tcPr>
          <w:p w14:paraId="750DA769" w14:textId="77777777" w:rsidR="00FE18F6" w:rsidRPr="00F505DC" w:rsidRDefault="00FE18F6" w:rsidP="00427D57">
            <w:pPr>
              <w:rPr>
                <w:lang w:val="fr-SN"/>
              </w:rPr>
            </w:pPr>
            <w:r w:rsidRPr="00F505DC">
              <w:rPr>
                <w:lang w:val="fr-SN"/>
              </w:rPr>
              <w:t>SERVICES DE SERVICE DE NOURRITURE ET DE BOISSONS</w:t>
            </w:r>
          </w:p>
        </w:tc>
        <w:tc>
          <w:tcPr>
            <w:tcW w:w="1686" w:type="dxa"/>
            <w:tcBorders>
              <w:top w:val="nil"/>
              <w:left w:val="nil"/>
              <w:bottom w:val="single" w:sz="4" w:space="0" w:color="auto"/>
              <w:right w:val="single" w:sz="4" w:space="0" w:color="auto"/>
            </w:tcBorders>
            <w:noWrap/>
            <w:vAlign w:val="bottom"/>
            <w:hideMark/>
          </w:tcPr>
          <w:p w14:paraId="27DC4BED" w14:textId="77777777" w:rsidR="00FE18F6" w:rsidRPr="00F505DC" w:rsidRDefault="00FE18F6" w:rsidP="00427D57">
            <w:pPr>
              <w:rPr>
                <w:lang w:val="fr-SN"/>
              </w:rPr>
            </w:pPr>
            <w:r w:rsidRPr="00F505DC">
              <w:rPr>
                <w:lang w:val="fr-SN"/>
              </w:rPr>
              <w:t>Services de restauration</w:t>
            </w:r>
          </w:p>
        </w:tc>
        <w:tc>
          <w:tcPr>
            <w:tcW w:w="1345" w:type="dxa"/>
            <w:tcBorders>
              <w:top w:val="nil"/>
              <w:left w:val="nil"/>
              <w:bottom w:val="single" w:sz="4" w:space="0" w:color="auto"/>
              <w:right w:val="single" w:sz="4" w:space="0" w:color="auto"/>
            </w:tcBorders>
            <w:noWrap/>
            <w:vAlign w:val="bottom"/>
            <w:hideMark/>
          </w:tcPr>
          <w:p w14:paraId="49598269" w14:textId="59622BE8" w:rsidR="00FE18F6" w:rsidRPr="00F505DC" w:rsidRDefault="00FE18F6" w:rsidP="00427D57">
            <w:pPr>
              <w:rPr>
                <w:lang w:val="fr-SN"/>
              </w:rPr>
            </w:pPr>
            <w:r w:rsidRPr="00F505DC">
              <w:rPr>
                <w:lang w:val="fr-SN"/>
              </w:rPr>
              <w:t>3,</w:t>
            </w:r>
            <w:r w:rsidR="008C3537">
              <w:rPr>
                <w:lang w:val="fr-SN"/>
              </w:rPr>
              <w:t>69</w:t>
            </w:r>
            <w:r w:rsidRPr="00F505DC">
              <w:rPr>
                <w:lang w:val="fr-SN"/>
              </w:rPr>
              <w:t>%</w:t>
            </w:r>
          </w:p>
        </w:tc>
        <w:tc>
          <w:tcPr>
            <w:tcW w:w="1345" w:type="dxa"/>
            <w:tcBorders>
              <w:top w:val="nil"/>
              <w:left w:val="nil"/>
              <w:bottom w:val="single" w:sz="4" w:space="0" w:color="auto"/>
              <w:right w:val="single" w:sz="4" w:space="0" w:color="auto"/>
            </w:tcBorders>
            <w:noWrap/>
            <w:vAlign w:val="bottom"/>
            <w:hideMark/>
          </w:tcPr>
          <w:p w14:paraId="09ECE2A5" w14:textId="263B4BBC" w:rsidR="00FE18F6" w:rsidRPr="00F505DC" w:rsidRDefault="00FE18F6" w:rsidP="00427D57">
            <w:pPr>
              <w:rPr>
                <w:lang w:val="fr-SN"/>
              </w:rPr>
            </w:pPr>
            <w:r w:rsidRPr="00F505DC">
              <w:rPr>
                <w:lang w:val="fr-SN"/>
              </w:rPr>
              <w:t>9,0</w:t>
            </w:r>
            <w:r w:rsidR="008C3537">
              <w:rPr>
                <w:lang w:val="fr-SN"/>
              </w:rPr>
              <w:t>3</w:t>
            </w:r>
            <w:r w:rsidRPr="00F505DC">
              <w:rPr>
                <w:lang w:val="fr-SN"/>
              </w:rPr>
              <w:t>%</w:t>
            </w:r>
          </w:p>
        </w:tc>
        <w:tc>
          <w:tcPr>
            <w:tcW w:w="1293" w:type="dxa"/>
            <w:tcBorders>
              <w:top w:val="nil"/>
              <w:left w:val="nil"/>
              <w:bottom w:val="single" w:sz="4" w:space="0" w:color="auto"/>
              <w:right w:val="single" w:sz="4" w:space="0" w:color="auto"/>
            </w:tcBorders>
            <w:noWrap/>
            <w:vAlign w:val="bottom"/>
            <w:hideMark/>
          </w:tcPr>
          <w:p w14:paraId="5FBF8804" w14:textId="34C3BCBF" w:rsidR="00FE18F6" w:rsidRPr="00F505DC" w:rsidRDefault="00FE18F6" w:rsidP="00427D57">
            <w:pPr>
              <w:rPr>
                <w:lang w:val="fr-SN"/>
              </w:rPr>
            </w:pPr>
            <w:r w:rsidRPr="00F505DC">
              <w:rPr>
                <w:lang w:val="fr-SN"/>
              </w:rPr>
              <w:t>5,</w:t>
            </w:r>
            <w:r w:rsidR="008C3537">
              <w:rPr>
                <w:lang w:val="fr-SN"/>
              </w:rPr>
              <w:t>44</w:t>
            </w:r>
            <w:r w:rsidRPr="00F505DC">
              <w:rPr>
                <w:lang w:val="fr-SN"/>
              </w:rPr>
              <w:t>%</w:t>
            </w:r>
          </w:p>
        </w:tc>
      </w:tr>
      <w:tr w:rsidR="00FE18F6" w:rsidRPr="00F505DC" w14:paraId="006DB592" w14:textId="77777777" w:rsidTr="005558FD">
        <w:trPr>
          <w:trHeight w:val="291"/>
        </w:trPr>
        <w:tc>
          <w:tcPr>
            <w:tcW w:w="4017" w:type="dxa"/>
            <w:tcBorders>
              <w:top w:val="nil"/>
              <w:left w:val="single" w:sz="4" w:space="0" w:color="auto"/>
              <w:bottom w:val="single" w:sz="4" w:space="0" w:color="auto"/>
              <w:right w:val="single" w:sz="4" w:space="0" w:color="auto"/>
            </w:tcBorders>
            <w:noWrap/>
            <w:vAlign w:val="bottom"/>
            <w:hideMark/>
          </w:tcPr>
          <w:p w14:paraId="7C382E02" w14:textId="77777777" w:rsidR="00FE18F6" w:rsidRPr="00F505DC" w:rsidRDefault="00FE18F6" w:rsidP="00427D57">
            <w:pPr>
              <w:rPr>
                <w:lang w:val="fr-SN"/>
              </w:rPr>
            </w:pPr>
            <w:r w:rsidRPr="00F505DC">
              <w:rPr>
                <w:lang w:val="fr-SN"/>
              </w:rPr>
              <w:t>SERVICES D'HÉBERGEMENT</w:t>
            </w:r>
          </w:p>
        </w:tc>
        <w:tc>
          <w:tcPr>
            <w:tcW w:w="1686" w:type="dxa"/>
            <w:tcBorders>
              <w:top w:val="nil"/>
              <w:left w:val="nil"/>
              <w:bottom w:val="single" w:sz="4" w:space="0" w:color="auto"/>
              <w:right w:val="single" w:sz="4" w:space="0" w:color="auto"/>
            </w:tcBorders>
            <w:noWrap/>
            <w:vAlign w:val="bottom"/>
            <w:hideMark/>
          </w:tcPr>
          <w:p w14:paraId="1249FA51" w14:textId="77777777" w:rsidR="00FE18F6" w:rsidRPr="00F505DC" w:rsidRDefault="00FE18F6" w:rsidP="00427D57">
            <w:pPr>
              <w:rPr>
                <w:lang w:val="fr-SN"/>
              </w:rPr>
            </w:pPr>
            <w:r w:rsidRPr="00F505DC">
              <w:rPr>
                <w:lang w:val="fr-SN"/>
              </w:rPr>
              <w:t>Services d'hébergement</w:t>
            </w:r>
          </w:p>
        </w:tc>
        <w:tc>
          <w:tcPr>
            <w:tcW w:w="1345" w:type="dxa"/>
            <w:tcBorders>
              <w:top w:val="nil"/>
              <w:left w:val="nil"/>
              <w:bottom w:val="single" w:sz="4" w:space="0" w:color="auto"/>
              <w:right w:val="single" w:sz="4" w:space="0" w:color="auto"/>
            </w:tcBorders>
            <w:noWrap/>
            <w:vAlign w:val="bottom"/>
            <w:hideMark/>
          </w:tcPr>
          <w:p w14:paraId="3B14A502" w14:textId="77777777" w:rsidR="00FE18F6" w:rsidRPr="00F505DC" w:rsidRDefault="00FE18F6" w:rsidP="00427D57">
            <w:pPr>
              <w:rPr>
                <w:lang w:val="fr-SN"/>
              </w:rPr>
            </w:pPr>
            <w:r w:rsidRPr="00F505DC">
              <w:rPr>
                <w:lang w:val="fr-SN"/>
              </w:rPr>
              <w:t>0,07%</w:t>
            </w:r>
          </w:p>
        </w:tc>
        <w:tc>
          <w:tcPr>
            <w:tcW w:w="1345" w:type="dxa"/>
            <w:tcBorders>
              <w:top w:val="nil"/>
              <w:left w:val="nil"/>
              <w:bottom w:val="single" w:sz="4" w:space="0" w:color="auto"/>
              <w:right w:val="single" w:sz="4" w:space="0" w:color="auto"/>
            </w:tcBorders>
            <w:noWrap/>
            <w:vAlign w:val="bottom"/>
            <w:hideMark/>
          </w:tcPr>
          <w:p w14:paraId="220AFE51" w14:textId="77777777" w:rsidR="00FE18F6" w:rsidRPr="00F505DC" w:rsidRDefault="00FE18F6" w:rsidP="00427D57">
            <w:pPr>
              <w:rPr>
                <w:lang w:val="fr-SN"/>
              </w:rPr>
            </w:pPr>
            <w:r w:rsidRPr="00F505DC">
              <w:rPr>
                <w:lang w:val="fr-SN"/>
              </w:rPr>
              <w:t>0,08%</w:t>
            </w:r>
          </w:p>
        </w:tc>
        <w:tc>
          <w:tcPr>
            <w:tcW w:w="1293" w:type="dxa"/>
            <w:tcBorders>
              <w:top w:val="nil"/>
              <w:left w:val="nil"/>
              <w:bottom w:val="single" w:sz="4" w:space="0" w:color="auto"/>
              <w:right w:val="single" w:sz="4" w:space="0" w:color="auto"/>
            </w:tcBorders>
            <w:noWrap/>
            <w:vAlign w:val="bottom"/>
            <w:hideMark/>
          </w:tcPr>
          <w:p w14:paraId="1ACB32EF" w14:textId="77777777" w:rsidR="00FE18F6" w:rsidRPr="00F505DC" w:rsidRDefault="00FE18F6" w:rsidP="00427D57">
            <w:pPr>
              <w:rPr>
                <w:lang w:val="fr-SN"/>
              </w:rPr>
            </w:pPr>
            <w:r w:rsidRPr="00F505DC">
              <w:rPr>
                <w:lang w:val="fr-SN"/>
              </w:rPr>
              <w:t>0,01%</w:t>
            </w:r>
          </w:p>
        </w:tc>
      </w:tr>
    </w:tbl>
    <w:p w14:paraId="0BDB651A" w14:textId="5D102165" w:rsidR="00FE18F6" w:rsidRPr="006723FF" w:rsidRDefault="00FE18F6" w:rsidP="00FE18F6">
      <w:pPr>
        <w:rPr>
          <w:i/>
          <w:iCs/>
          <w:lang w:val="fr-SN"/>
        </w:rPr>
      </w:pPr>
      <w:r w:rsidRPr="006723FF">
        <w:rPr>
          <w:i/>
          <w:iCs/>
          <w:lang w:val="fr-SN"/>
        </w:rPr>
        <w:t xml:space="preserve">Source : ANSD, pondération IHPC 2014 et </w:t>
      </w:r>
      <w:r w:rsidR="00023158">
        <w:rPr>
          <w:i/>
          <w:iCs/>
          <w:lang w:val="fr-SN"/>
        </w:rPr>
        <w:t>2021</w:t>
      </w:r>
      <w:r w:rsidRPr="006723FF">
        <w:rPr>
          <w:i/>
          <w:iCs/>
          <w:lang w:val="fr-SN"/>
        </w:rPr>
        <w:t>.</w:t>
      </w:r>
    </w:p>
    <w:p w14:paraId="7AC25FB9" w14:textId="2AA15B11" w:rsidR="00FE18F6" w:rsidRPr="00E864DB" w:rsidRDefault="00DC3097" w:rsidP="00FE18F6">
      <w:pPr>
        <w:rPr>
          <w:lang w:val="fr-SN"/>
        </w:rPr>
      </w:pPr>
      <w:r w:rsidRPr="00DC3097">
        <w:t>En 2021, selon les données de l'Agence Nationale de la Statistique et de la Démographie (ANSD), le taux d'urbanisation au Sénégal était de 49,1 %, indiquant que près de la moitié de la population résidait en milieu urbain</w:t>
      </w:r>
      <w:r w:rsidR="00FE18F6" w:rsidRPr="00E864DB">
        <w:t>. Cette urbanisation rapide favorise une demande accrue pour les services de restauration et d'hébergement. Selon la Banque Mondiale, les centres urbains représentent environ 65 % du PIB national et sont des moteurs de croissance économique. Ainsi, cette hausse des dépenses dans le secteur de la restauration et de l'hébergement reflète une consommation plus élevée dans les zones urbaines</w:t>
      </w:r>
      <w:r w:rsidR="00FE18F6">
        <w:t>.</w:t>
      </w:r>
    </w:p>
    <w:p w14:paraId="0DDF3A47" w14:textId="77777777" w:rsidR="00FE18F6" w:rsidRPr="00F505DC" w:rsidRDefault="00FE18F6" w:rsidP="00FE18F6">
      <w:pPr>
        <w:rPr>
          <w:lang w:val="fr-SN"/>
        </w:rPr>
      </w:pPr>
    </w:p>
    <w:p w14:paraId="47CB6D9D" w14:textId="77777777" w:rsidR="00FE18F6" w:rsidRPr="00F974FD" w:rsidRDefault="00FE18F6">
      <w:pPr>
        <w:pStyle w:val="Paragraphedeliste"/>
        <w:numPr>
          <w:ilvl w:val="0"/>
          <w:numId w:val="20"/>
        </w:numPr>
        <w:rPr>
          <w:b/>
          <w:bCs/>
          <w:lang w:val="fr-SN"/>
        </w:rPr>
      </w:pPr>
      <w:r w:rsidRPr="00F974FD">
        <w:rPr>
          <w:b/>
          <w:bCs/>
          <w:lang w:val="fr-SN"/>
        </w:rPr>
        <w:t xml:space="preserve"> ASSURANCES ET SERVICES FINANCIERS ; SOINS PERSONNELS, PROTECTION SOCIALE ET BIENS DIVERS</w:t>
      </w:r>
    </w:p>
    <w:p w14:paraId="6239063C" w14:textId="77777777" w:rsidR="00FE18F6" w:rsidRPr="00F505DC" w:rsidRDefault="00FE18F6" w:rsidP="00FE18F6">
      <w:pPr>
        <w:rPr>
          <w:lang w:val="fr-SN"/>
        </w:rPr>
      </w:pPr>
      <w:r w:rsidRPr="00F505DC">
        <w:rPr>
          <w:lang w:val="fr-SN"/>
        </w:rPr>
        <w:t>Les changements apportés par la transition de la COICOP 1999 à la COICOP 2018 ont également affecté l'ancienne division 12 (Biens et services divers), qui a été subdivisée en deux nouvelles divisions : la division 12 (Assurances et services financiers) et la division 13 (Soins personnels, protection sociale et biens divers). Cette décision a été motivée par la volonté de corriger l'hétérogénéité de l'ancienne division 12, dont le poids dans les dépenses totales des ménages était disproportionné par rapport aux autres divisions.</w:t>
      </w:r>
    </w:p>
    <w:p w14:paraId="40B122B5" w14:textId="3EDA9C07" w:rsidR="00FE18F6" w:rsidRPr="00F505DC" w:rsidRDefault="00FE18F6" w:rsidP="00FE18F6">
      <w:pPr>
        <w:rPr>
          <w:lang w:val="fr-SN"/>
        </w:rPr>
      </w:pPr>
      <w:r w:rsidRPr="00F505DC">
        <w:rPr>
          <w:lang w:val="fr-SN"/>
        </w:rPr>
        <w:t>En termes de pondération, la part des dépenses liées aux "Assurances et services financiers" a diminué de manière significative entre 2014 et 202</w:t>
      </w:r>
      <w:r w:rsidR="0022769D">
        <w:rPr>
          <w:lang w:val="fr-SN"/>
        </w:rPr>
        <w:t>1</w:t>
      </w:r>
      <w:r w:rsidRPr="00F505DC">
        <w:rPr>
          <w:lang w:val="fr-SN"/>
        </w:rPr>
        <w:t>, passant de 3,8</w:t>
      </w:r>
      <w:r w:rsidR="00902B11">
        <w:rPr>
          <w:lang w:val="fr-SN"/>
        </w:rPr>
        <w:t>3</w:t>
      </w:r>
      <w:r w:rsidRPr="00F505DC">
        <w:rPr>
          <w:lang w:val="fr-SN"/>
        </w:rPr>
        <w:t xml:space="preserve"> % à 0,1</w:t>
      </w:r>
      <w:r w:rsidR="00902B11">
        <w:rPr>
          <w:lang w:val="fr-SN"/>
        </w:rPr>
        <w:t>4</w:t>
      </w:r>
      <w:r w:rsidRPr="00F505DC">
        <w:rPr>
          <w:lang w:val="fr-SN"/>
        </w:rPr>
        <w:t xml:space="preserve"> %, soit une baisse de 3,</w:t>
      </w:r>
      <w:r w:rsidR="00902B11">
        <w:rPr>
          <w:lang w:val="fr-SN"/>
        </w:rPr>
        <w:t>69</w:t>
      </w:r>
      <w:r w:rsidRPr="00F505DC">
        <w:rPr>
          <w:lang w:val="fr-SN"/>
        </w:rPr>
        <w:t xml:space="preserve"> points de pourcentage. Cela est principalement dû à la forte diminution des "Services financiers", qui ont diminué de 0,</w:t>
      </w:r>
      <w:r w:rsidR="00902B11">
        <w:rPr>
          <w:lang w:val="fr-SN"/>
        </w:rPr>
        <w:t>09</w:t>
      </w:r>
      <w:r w:rsidRPr="00F505DC">
        <w:rPr>
          <w:lang w:val="fr-SN"/>
        </w:rPr>
        <w:t>% à 0,01%.</w:t>
      </w:r>
    </w:p>
    <w:p w14:paraId="668D5DB5" w14:textId="3803A0F0" w:rsidR="00FE18F6" w:rsidRPr="00747953" w:rsidRDefault="00FE18F6" w:rsidP="00FE18F6">
      <w:pPr>
        <w:rPr>
          <w:i/>
          <w:iCs/>
          <w:lang w:val="fr-SN"/>
        </w:rPr>
      </w:pPr>
      <w:r w:rsidRPr="00F505DC">
        <w:rPr>
          <w:lang w:val="fr-SN"/>
        </w:rPr>
        <w:t xml:space="preserve">En revanche, la division "Soins personnels, protection sociale et biens divers" a augmenté de </w:t>
      </w:r>
      <w:r w:rsidR="00CA3089">
        <w:rPr>
          <w:lang w:val="fr-SN"/>
        </w:rPr>
        <w:t>1,61</w:t>
      </w:r>
      <w:r w:rsidRPr="00F505DC">
        <w:rPr>
          <w:lang w:val="fr-SN"/>
        </w:rPr>
        <w:t xml:space="preserve"> points de pourcentage, passant de 4,85 % à </w:t>
      </w:r>
      <w:r w:rsidR="00CA3089">
        <w:rPr>
          <w:lang w:val="fr-SN"/>
        </w:rPr>
        <w:t>3,23</w:t>
      </w:r>
      <w:r w:rsidRPr="00F505DC">
        <w:rPr>
          <w:lang w:val="fr-SN"/>
        </w:rPr>
        <w:t xml:space="preserve"> %. Les "Biens et services pour soins personnels" ont fortement contribué à cette hausse, avec une augmentation de 2,09 points de pourcentage.</w:t>
      </w:r>
    </w:p>
    <w:p w14:paraId="17AAD554" w14:textId="77777777" w:rsidR="007D4E32" w:rsidRDefault="007D4E32" w:rsidP="00FE18F6">
      <w:pPr>
        <w:pStyle w:val="Lgende"/>
        <w:keepNext/>
        <w:rPr>
          <w:sz w:val="28"/>
          <w:szCs w:val="28"/>
        </w:rPr>
      </w:pPr>
      <w:bookmarkStart w:id="77" w:name="_Toc180927606"/>
    </w:p>
    <w:p w14:paraId="55CE0A99" w14:textId="77777777" w:rsidR="007D4E32" w:rsidRDefault="007D4E32" w:rsidP="00FE18F6">
      <w:pPr>
        <w:pStyle w:val="Lgende"/>
        <w:keepNext/>
        <w:rPr>
          <w:sz w:val="28"/>
          <w:szCs w:val="28"/>
        </w:rPr>
      </w:pPr>
    </w:p>
    <w:p w14:paraId="386C6A4E" w14:textId="77777777" w:rsidR="007D4E32" w:rsidRDefault="007D4E32" w:rsidP="007D4E32"/>
    <w:p w14:paraId="02CA03D2" w14:textId="77777777" w:rsidR="007D4E32" w:rsidRDefault="007D4E32" w:rsidP="007D4E32"/>
    <w:p w14:paraId="41F5F47F" w14:textId="77777777" w:rsidR="007D4E32" w:rsidRDefault="007D4E32" w:rsidP="00FE18F6">
      <w:pPr>
        <w:pStyle w:val="Lgende"/>
        <w:keepNext/>
        <w:rPr>
          <w:sz w:val="28"/>
          <w:szCs w:val="28"/>
        </w:rPr>
      </w:pPr>
    </w:p>
    <w:p w14:paraId="7A3C1FBF" w14:textId="77777777" w:rsidR="007D4E32" w:rsidRDefault="007D4E32" w:rsidP="007D4E32"/>
    <w:p w14:paraId="20E2CFFC" w14:textId="77777777" w:rsidR="007D4E32" w:rsidRPr="007D4E32" w:rsidRDefault="007D4E32" w:rsidP="007D4E32"/>
    <w:p w14:paraId="5850CE6E" w14:textId="3FE7A069" w:rsidR="00FE18F6" w:rsidRPr="00747953" w:rsidRDefault="00FE18F6" w:rsidP="00FE18F6">
      <w:pPr>
        <w:pStyle w:val="Lgende"/>
        <w:keepNext/>
        <w:rPr>
          <w:b/>
          <w:bCs/>
          <w:i w:val="0"/>
          <w:iCs w:val="0"/>
          <w:sz w:val="28"/>
          <w:szCs w:val="28"/>
        </w:rPr>
      </w:pPr>
      <w:r w:rsidRPr="00747953">
        <w:rPr>
          <w:sz w:val="28"/>
          <w:szCs w:val="28"/>
        </w:rPr>
        <w:t xml:space="preserve">Tableau </w:t>
      </w:r>
      <w:r w:rsidRPr="00747953">
        <w:rPr>
          <w:b/>
          <w:bCs/>
          <w:i w:val="0"/>
          <w:iCs w:val="0"/>
          <w:sz w:val="28"/>
          <w:szCs w:val="28"/>
        </w:rPr>
        <w:fldChar w:fldCharType="begin"/>
      </w:r>
      <w:r w:rsidRPr="00747953">
        <w:rPr>
          <w:sz w:val="28"/>
          <w:szCs w:val="28"/>
        </w:rPr>
        <w:instrText xml:space="preserve"> SEQ Tableau \* ARABIC </w:instrText>
      </w:r>
      <w:r w:rsidRPr="00747953">
        <w:rPr>
          <w:b/>
          <w:bCs/>
          <w:i w:val="0"/>
          <w:iCs w:val="0"/>
          <w:sz w:val="28"/>
          <w:szCs w:val="28"/>
        </w:rPr>
        <w:fldChar w:fldCharType="separate"/>
      </w:r>
      <w:r w:rsidR="00427D57">
        <w:rPr>
          <w:noProof/>
          <w:sz w:val="28"/>
          <w:szCs w:val="28"/>
        </w:rPr>
        <w:t>12</w:t>
      </w:r>
      <w:r w:rsidRPr="00747953">
        <w:rPr>
          <w:b/>
          <w:bCs/>
          <w:i w:val="0"/>
          <w:iCs w:val="0"/>
          <w:sz w:val="28"/>
          <w:szCs w:val="28"/>
        </w:rPr>
        <w:fldChar w:fldCharType="end"/>
      </w:r>
      <w:r w:rsidRPr="00747953">
        <w:rPr>
          <w:sz w:val="28"/>
          <w:szCs w:val="28"/>
        </w:rPr>
        <w:t xml:space="preserve"> : </w:t>
      </w:r>
      <w:r w:rsidRPr="00747953">
        <w:rPr>
          <w:sz w:val="28"/>
          <w:szCs w:val="28"/>
          <w:lang w:val="fr-SN"/>
        </w:rPr>
        <w:t>Structure de consommation (en %)</w:t>
      </w:r>
      <w:r>
        <w:rPr>
          <w:sz w:val="28"/>
          <w:szCs w:val="28"/>
          <w:lang w:val="fr-SN"/>
        </w:rPr>
        <w:t xml:space="preserve"> des dépenses en</w:t>
      </w:r>
      <w:r w:rsidRPr="00747953">
        <w:rPr>
          <w:sz w:val="28"/>
          <w:szCs w:val="28"/>
          <w:lang w:val="fr-SN"/>
        </w:rPr>
        <w:t xml:space="preserve"> assurances et services financiers ; soins personnels, protection sociale et biens divers 2014 et 2021</w:t>
      </w:r>
      <w:bookmarkEnd w:id="77"/>
    </w:p>
    <w:tbl>
      <w:tblPr>
        <w:tblW w:w="9751" w:type="dxa"/>
        <w:tblInd w:w="-5" w:type="dxa"/>
        <w:tblCellMar>
          <w:left w:w="70" w:type="dxa"/>
          <w:right w:w="70" w:type="dxa"/>
        </w:tblCellMar>
        <w:tblLook w:val="04A0" w:firstRow="1" w:lastRow="0" w:firstColumn="1" w:lastColumn="0" w:noHBand="0" w:noVBand="1"/>
      </w:tblPr>
      <w:tblGrid>
        <w:gridCol w:w="3880"/>
        <w:gridCol w:w="1958"/>
        <w:gridCol w:w="1300"/>
        <w:gridCol w:w="1300"/>
        <w:gridCol w:w="1313"/>
      </w:tblGrid>
      <w:tr w:rsidR="00FE18F6" w:rsidRPr="00F505DC" w14:paraId="7C49C5CC" w14:textId="77777777" w:rsidTr="005558FD">
        <w:trPr>
          <w:trHeight w:val="285"/>
        </w:trPr>
        <w:tc>
          <w:tcPr>
            <w:tcW w:w="3880" w:type="dxa"/>
            <w:tcBorders>
              <w:top w:val="single" w:sz="4" w:space="0" w:color="auto"/>
              <w:left w:val="single" w:sz="4" w:space="0" w:color="auto"/>
              <w:bottom w:val="single" w:sz="4" w:space="0" w:color="auto"/>
              <w:right w:val="single" w:sz="4" w:space="0" w:color="auto"/>
            </w:tcBorders>
            <w:noWrap/>
            <w:hideMark/>
          </w:tcPr>
          <w:p w14:paraId="2F0C3E75" w14:textId="22B4E46C" w:rsidR="00FE18F6" w:rsidRPr="00F505DC" w:rsidRDefault="00FE18F6" w:rsidP="00427D57">
            <w:pPr>
              <w:rPr>
                <w:lang w:val="fr-SN"/>
              </w:rPr>
            </w:pPr>
            <w:r w:rsidRPr="00F505DC">
              <w:rPr>
                <w:lang w:val="fr-SN"/>
              </w:rPr>
              <w:t>Nomenclature 202</w:t>
            </w:r>
            <w:r w:rsidR="0022769D">
              <w:rPr>
                <w:lang w:val="fr-SN"/>
              </w:rPr>
              <w:t>1</w:t>
            </w:r>
          </w:p>
        </w:tc>
        <w:tc>
          <w:tcPr>
            <w:tcW w:w="1958" w:type="dxa"/>
            <w:tcBorders>
              <w:top w:val="single" w:sz="4" w:space="0" w:color="auto"/>
              <w:left w:val="nil"/>
              <w:bottom w:val="single" w:sz="4" w:space="0" w:color="auto"/>
              <w:right w:val="single" w:sz="4" w:space="0" w:color="auto"/>
            </w:tcBorders>
            <w:noWrap/>
            <w:hideMark/>
          </w:tcPr>
          <w:p w14:paraId="03C4E8F2" w14:textId="77777777" w:rsidR="00FE18F6" w:rsidRPr="00F505DC" w:rsidRDefault="00FE18F6" w:rsidP="00427D57">
            <w:pPr>
              <w:rPr>
                <w:lang w:val="fr-SN"/>
              </w:rPr>
            </w:pPr>
            <w:r w:rsidRPr="00F505DC">
              <w:rPr>
                <w:lang w:val="fr-SN"/>
              </w:rPr>
              <w:t>Nomenclature 2014</w:t>
            </w:r>
          </w:p>
        </w:tc>
        <w:tc>
          <w:tcPr>
            <w:tcW w:w="1300" w:type="dxa"/>
            <w:tcBorders>
              <w:top w:val="single" w:sz="4" w:space="0" w:color="auto"/>
              <w:left w:val="nil"/>
              <w:bottom w:val="single" w:sz="4" w:space="0" w:color="auto"/>
              <w:right w:val="single" w:sz="4" w:space="0" w:color="auto"/>
            </w:tcBorders>
            <w:noWrap/>
            <w:hideMark/>
          </w:tcPr>
          <w:p w14:paraId="3429489B" w14:textId="77777777" w:rsidR="00FE18F6" w:rsidRPr="00F505DC" w:rsidRDefault="00FE18F6" w:rsidP="00427D57">
            <w:pPr>
              <w:rPr>
                <w:lang w:val="fr-SN"/>
              </w:rPr>
            </w:pPr>
            <w:r w:rsidRPr="00F505DC">
              <w:rPr>
                <w:lang w:val="fr-SN"/>
              </w:rPr>
              <w:t>Pondération 2014</w:t>
            </w:r>
          </w:p>
        </w:tc>
        <w:tc>
          <w:tcPr>
            <w:tcW w:w="1300" w:type="dxa"/>
            <w:tcBorders>
              <w:top w:val="single" w:sz="4" w:space="0" w:color="auto"/>
              <w:left w:val="nil"/>
              <w:bottom w:val="single" w:sz="4" w:space="0" w:color="auto"/>
              <w:right w:val="single" w:sz="4" w:space="0" w:color="auto"/>
            </w:tcBorders>
            <w:noWrap/>
            <w:hideMark/>
          </w:tcPr>
          <w:p w14:paraId="2ED34118" w14:textId="77777777" w:rsidR="00FE18F6" w:rsidRPr="00F505DC" w:rsidRDefault="00FE18F6" w:rsidP="00427D57">
            <w:pPr>
              <w:rPr>
                <w:lang w:val="fr-SN"/>
              </w:rPr>
            </w:pPr>
            <w:r w:rsidRPr="00F505DC">
              <w:rPr>
                <w:lang w:val="fr-SN"/>
              </w:rPr>
              <w:t>Pondération</w:t>
            </w:r>
          </w:p>
          <w:p w14:paraId="797506F0" w14:textId="38EAD7D7" w:rsidR="00FE18F6" w:rsidRPr="00F505DC" w:rsidRDefault="00023158" w:rsidP="00427D57">
            <w:pPr>
              <w:rPr>
                <w:lang w:val="fr-SN"/>
              </w:rPr>
            </w:pPr>
            <w:r>
              <w:rPr>
                <w:lang w:val="fr-SN"/>
              </w:rPr>
              <w:t>2021</w:t>
            </w:r>
          </w:p>
        </w:tc>
        <w:tc>
          <w:tcPr>
            <w:tcW w:w="1313" w:type="dxa"/>
            <w:tcBorders>
              <w:top w:val="single" w:sz="4" w:space="0" w:color="auto"/>
              <w:left w:val="nil"/>
              <w:bottom w:val="single" w:sz="4" w:space="0" w:color="auto"/>
              <w:right w:val="single" w:sz="4" w:space="0" w:color="auto"/>
            </w:tcBorders>
            <w:noWrap/>
            <w:hideMark/>
          </w:tcPr>
          <w:p w14:paraId="1998217F" w14:textId="77777777" w:rsidR="00FE18F6" w:rsidRPr="00F505DC" w:rsidRDefault="00FE18F6" w:rsidP="00427D57">
            <w:pPr>
              <w:rPr>
                <w:lang w:val="fr-SN"/>
              </w:rPr>
            </w:pPr>
            <w:r w:rsidRPr="00F505DC">
              <w:rPr>
                <w:lang w:val="fr-SN"/>
              </w:rPr>
              <w:t>Variation en point de pourcentage</w:t>
            </w:r>
          </w:p>
        </w:tc>
      </w:tr>
      <w:tr w:rsidR="00FE18F6" w:rsidRPr="00F505DC" w14:paraId="42A93D48"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353619F2" w14:textId="77777777" w:rsidR="00FE18F6" w:rsidRPr="00F505DC" w:rsidRDefault="00FE18F6" w:rsidP="00427D57">
            <w:pPr>
              <w:rPr>
                <w:b/>
                <w:bCs/>
                <w:lang w:val="fr-SN"/>
              </w:rPr>
            </w:pPr>
            <w:r w:rsidRPr="00F505DC">
              <w:rPr>
                <w:b/>
                <w:bCs/>
                <w:lang w:val="fr-SN"/>
              </w:rPr>
              <w:t>12.ASSURANCES ET SERVICES FINANCIERS</w:t>
            </w:r>
          </w:p>
        </w:tc>
        <w:tc>
          <w:tcPr>
            <w:tcW w:w="1958" w:type="dxa"/>
            <w:tcBorders>
              <w:top w:val="nil"/>
              <w:left w:val="nil"/>
              <w:bottom w:val="single" w:sz="4" w:space="0" w:color="auto"/>
              <w:right w:val="single" w:sz="4" w:space="0" w:color="auto"/>
            </w:tcBorders>
            <w:noWrap/>
            <w:vAlign w:val="bottom"/>
            <w:hideMark/>
          </w:tcPr>
          <w:p w14:paraId="778E360C" w14:textId="77777777" w:rsidR="00FE18F6" w:rsidRPr="00F505DC" w:rsidRDefault="00FE18F6" w:rsidP="00427D57">
            <w:pPr>
              <w:rPr>
                <w:b/>
                <w:bCs/>
                <w:lang w:val="fr-SN"/>
              </w:rPr>
            </w:pPr>
            <w:r w:rsidRPr="00F505DC">
              <w:rPr>
                <w:b/>
                <w:bCs/>
                <w:lang w:val="fr-SN"/>
              </w:rPr>
              <w:t>Biens et services divers</w:t>
            </w:r>
          </w:p>
        </w:tc>
        <w:tc>
          <w:tcPr>
            <w:tcW w:w="1300" w:type="dxa"/>
            <w:tcBorders>
              <w:top w:val="nil"/>
              <w:left w:val="nil"/>
              <w:bottom w:val="single" w:sz="4" w:space="0" w:color="auto"/>
              <w:right w:val="single" w:sz="4" w:space="0" w:color="auto"/>
            </w:tcBorders>
            <w:noWrap/>
            <w:vAlign w:val="bottom"/>
            <w:hideMark/>
          </w:tcPr>
          <w:p w14:paraId="25BC6219" w14:textId="73000056" w:rsidR="00FE18F6" w:rsidRPr="00F505DC" w:rsidRDefault="00FE18F6" w:rsidP="00427D57">
            <w:pPr>
              <w:rPr>
                <w:b/>
                <w:bCs/>
                <w:lang w:val="fr-SN"/>
              </w:rPr>
            </w:pPr>
            <w:r w:rsidRPr="00F505DC">
              <w:rPr>
                <w:b/>
                <w:bCs/>
                <w:lang w:val="fr-SN"/>
              </w:rPr>
              <w:t>3,8</w:t>
            </w:r>
            <w:r w:rsidR="00902B11">
              <w:rPr>
                <w:b/>
                <w:bCs/>
                <w:lang w:val="fr-SN"/>
              </w:rPr>
              <w:t>3</w:t>
            </w:r>
            <w:r w:rsidRPr="00F505DC">
              <w:rPr>
                <w:b/>
                <w:bCs/>
                <w:lang w:val="fr-SN"/>
              </w:rPr>
              <w:t>%</w:t>
            </w:r>
          </w:p>
        </w:tc>
        <w:tc>
          <w:tcPr>
            <w:tcW w:w="1300" w:type="dxa"/>
            <w:tcBorders>
              <w:top w:val="nil"/>
              <w:left w:val="nil"/>
              <w:bottom w:val="single" w:sz="4" w:space="0" w:color="auto"/>
              <w:right w:val="single" w:sz="4" w:space="0" w:color="auto"/>
            </w:tcBorders>
            <w:noWrap/>
            <w:vAlign w:val="bottom"/>
            <w:hideMark/>
          </w:tcPr>
          <w:p w14:paraId="470C16BF" w14:textId="6219E098" w:rsidR="00FE18F6" w:rsidRPr="00F505DC" w:rsidRDefault="00FE18F6" w:rsidP="00427D57">
            <w:pPr>
              <w:rPr>
                <w:b/>
                <w:bCs/>
                <w:lang w:val="fr-SN"/>
              </w:rPr>
            </w:pPr>
            <w:r w:rsidRPr="00F505DC">
              <w:rPr>
                <w:b/>
                <w:bCs/>
                <w:lang w:val="fr-SN"/>
              </w:rPr>
              <w:t>0,1</w:t>
            </w:r>
            <w:r w:rsidR="00902B11">
              <w:rPr>
                <w:b/>
                <w:bCs/>
                <w:lang w:val="fr-SN"/>
              </w:rPr>
              <w:t>4</w:t>
            </w:r>
            <w:r w:rsidRPr="00F505DC">
              <w:rPr>
                <w:b/>
                <w:bCs/>
                <w:lang w:val="fr-SN"/>
              </w:rPr>
              <w:t>%</w:t>
            </w:r>
          </w:p>
        </w:tc>
        <w:tc>
          <w:tcPr>
            <w:tcW w:w="1313" w:type="dxa"/>
            <w:tcBorders>
              <w:top w:val="nil"/>
              <w:left w:val="nil"/>
              <w:bottom w:val="single" w:sz="4" w:space="0" w:color="auto"/>
              <w:right w:val="single" w:sz="4" w:space="0" w:color="auto"/>
            </w:tcBorders>
            <w:noWrap/>
            <w:vAlign w:val="bottom"/>
            <w:hideMark/>
          </w:tcPr>
          <w:p w14:paraId="35D18A09" w14:textId="3A483F03" w:rsidR="00FE18F6" w:rsidRPr="005558FD" w:rsidRDefault="00FE18F6" w:rsidP="00427D57">
            <w:pPr>
              <w:rPr>
                <w:b/>
                <w:bCs/>
                <w:lang w:val="fr-SN"/>
              </w:rPr>
            </w:pPr>
            <w:r w:rsidRPr="005558FD">
              <w:rPr>
                <w:b/>
                <w:bCs/>
                <w:lang w:val="fr-SN"/>
              </w:rPr>
              <w:t>-3,</w:t>
            </w:r>
            <w:r w:rsidR="00902B11" w:rsidRPr="005558FD">
              <w:rPr>
                <w:b/>
                <w:bCs/>
                <w:lang w:val="fr-SN"/>
              </w:rPr>
              <w:t>69</w:t>
            </w:r>
            <w:r w:rsidRPr="005558FD">
              <w:rPr>
                <w:b/>
                <w:bCs/>
                <w:lang w:val="fr-SN"/>
              </w:rPr>
              <w:t>%</w:t>
            </w:r>
          </w:p>
        </w:tc>
      </w:tr>
      <w:tr w:rsidR="00FE18F6" w:rsidRPr="00F505DC" w14:paraId="6A94B710"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71A0CDF7" w14:textId="77777777" w:rsidR="00FE18F6" w:rsidRPr="00F505DC" w:rsidRDefault="00FE18F6" w:rsidP="00427D57">
            <w:pPr>
              <w:rPr>
                <w:lang w:val="fr-SN"/>
              </w:rPr>
            </w:pPr>
            <w:r w:rsidRPr="00F505DC">
              <w:rPr>
                <w:lang w:val="fr-SN"/>
              </w:rPr>
              <w:t>1201.ASSURANCE</w:t>
            </w:r>
          </w:p>
        </w:tc>
        <w:tc>
          <w:tcPr>
            <w:tcW w:w="1958" w:type="dxa"/>
            <w:tcBorders>
              <w:top w:val="nil"/>
              <w:left w:val="nil"/>
              <w:bottom w:val="single" w:sz="4" w:space="0" w:color="auto"/>
              <w:right w:val="single" w:sz="4" w:space="0" w:color="auto"/>
            </w:tcBorders>
            <w:noWrap/>
            <w:vAlign w:val="bottom"/>
            <w:hideMark/>
          </w:tcPr>
          <w:p w14:paraId="410A82A1" w14:textId="77777777" w:rsidR="00FE18F6" w:rsidRPr="00F505DC" w:rsidRDefault="00FE18F6" w:rsidP="00427D57">
            <w:pPr>
              <w:rPr>
                <w:lang w:val="fr-SN"/>
              </w:rPr>
            </w:pPr>
            <w:r w:rsidRPr="00F505DC">
              <w:rPr>
                <w:lang w:val="fr-SN"/>
              </w:rPr>
              <w:t>Protection sociale et assurance</w:t>
            </w:r>
          </w:p>
        </w:tc>
        <w:tc>
          <w:tcPr>
            <w:tcW w:w="1300" w:type="dxa"/>
            <w:tcBorders>
              <w:top w:val="nil"/>
              <w:left w:val="nil"/>
              <w:bottom w:val="single" w:sz="4" w:space="0" w:color="auto"/>
              <w:right w:val="single" w:sz="4" w:space="0" w:color="auto"/>
            </w:tcBorders>
            <w:noWrap/>
            <w:vAlign w:val="bottom"/>
            <w:hideMark/>
          </w:tcPr>
          <w:p w14:paraId="4B4224BE" w14:textId="77777777" w:rsidR="00FE18F6" w:rsidRPr="00F505DC" w:rsidRDefault="00FE18F6" w:rsidP="00427D57">
            <w:pPr>
              <w:rPr>
                <w:lang w:val="fr-SN"/>
              </w:rPr>
            </w:pPr>
            <w:r w:rsidRPr="00F505DC">
              <w:rPr>
                <w:lang w:val="fr-SN"/>
              </w:rPr>
              <w:t>0,09%</w:t>
            </w:r>
          </w:p>
        </w:tc>
        <w:tc>
          <w:tcPr>
            <w:tcW w:w="1300" w:type="dxa"/>
            <w:tcBorders>
              <w:top w:val="nil"/>
              <w:left w:val="nil"/>
              <w:bottom w:val="single" w:sz="4" w:space="0" w:color="auto"/>
              <w:right w:val="single" w:sz="4" w:space="0" w:color="auto"/>
            </w:tcBorders>
            <w:noWrap/>
            <w:vAlign w:val="bottom"/>
            <w:hideMark/>
          </w:tcPr>
          <w:p w14:paraId="43886716" w14:textId="77777777" w:rsidR="00FE18F6" w:rsidRPr="00F505DC" w:rsidRDefault="00FE18F6" w:rsidP="00427D57">
            <w:pPr>
              <w:rPr>
                <w:lang w:val="fr-SN"/>
              </w:rPr>
            </w:pPr>
            <w:r w:rsidRPr="00F505DC">
              <w:rPr>
                <w:lang w:val="fr-SN"/>
              </w:rPr>
              <w:t>0,11%</w:t>
            </w:r>
          </w:p>
        </w:tc>
        <w:tc>
          <w:tcPr>
            <w:tcW w:w="1313" w:type="dxa"/>
            <w:tcBorders>
              <w:top w:val="nil"/>
              <w:left w:val="nil"/>
              <w:bottom w:val="single" w:sz="4" w:space="0" w:color="auto"/>
              <w:right w:val="single" w:sz="4" w:space="0" w:color="auto"/>
            </w:tcBorders>
            <w:noWrap/>
            <w:vAlign w:val="bottom"/>
            <w:hideMark/>
          </w:tcPr>
          <w:p w14:paraId="62E79D91" w14:textId="77777777" w:rsidR="00FE18F6" w:rsidRPr="00F505DC" w:rsidRDefault="00FE18F6" w:rsidP="00427D57">
            <w:pPr>
              <w:rPr>
                <w:lang w:val="fr-SN"/>
              </w:rPr>
            </w:pPr>
            <w:r w:rsidRPr="00F505DC">
              <w:rPr>
                <w:lang w:val="fr-SN"/>
              </w:rPr>
              <w:t>0,02%</w:t>
            </w:r>
          </w:p>
        </w:tc>
      </w:tr>
      <w:tr w:rsidR="00FE18F6" w:rsidRPr="00F505DC" w14:paraId="4C899ECE"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663FD686" w14:textId="77777777" w:rsidR="00FE18F6" w:rsidRPr="00F505DC" w:rsidRDefault="00FE18F6" w:rsidP="00427D57">
            <w:pPr>
              <w:rPr>
                <w:lang w:val="fr-SN"/>
              </w:rPr>
            </w:pPr>
            <w:r w:rsidRPr="00F505DC">
              <w:rPr>
                <w:lang w:val="fr-SN"/>
              </w:rPr>
              <w:t>1202.SERVICES FINANCIERS</w:t>
            </w:r>
          </w:p>
        </w:tc>
        <w:tc>
          <w:tcPr>
            <w:tcW w:w="1958" w:type="dxa"/>
            <w:tcBorders>
              <w:top w:val="nil"/>
              <w:left w:val="nil"/>
              <w:bottom w:val="single" w:sz="4" w:space="0" w:color="auto"/>
              <w:right w:val="single" w:sz="4" w:space="0" w:color="auto"/>
            </w:tcBorders>
            <w:noWrap/>
            <w:vAlign w:val="bottom"/>
            <w:hideMark/>
          </w:tcPr>
          <w:p w14:paraId="3A15BA3B" w14:textId="77777777" w:rsidR="00FE18F6" w:rsidRPr="00F505DC" w:rsidRDefault="00FE18F6" w:rsidP="00427D57">
            <w:pPr>
              <w:rPr>
                <w:lang w:val="fr-SN"/>
              </w:rPr>
            </w:pPr>
            <w:r w:rsidRPr="00F505DC">
              <w:rPr>
                <w:lang w:val="fr-SN"/>
              </w:rPr>
              <w:t>Services financiers</w:t>
            </w:r>
          </w:p>
        </w:tc>
        <w:tc>
          <w:tcPr>
            <w:tcW w:w="1300" w:type="dxa"/>
            <w:tcBorders>
              <w:top w:val="nil"/>
              <w:left w:val="nil"/>
              <w:bottom w:val="single" w:sz="4" w:space="0" w:color="auto"/>
              <w:right w:val="single" w:sz="4" w:space="0" w:color="auto"/>
            </w:tcBorders>
            <w:noWrap/>
            <w:vAlign w:val="bottom"/>
            <w:hideMark/>
          </w:tcPr>
          <w:p w14:paraId="6E964452" w14:textId="4EB29B6B" w:rsidR="00FE18F6" w:rsidRPr="00F505DC" w:rsidRDefault="00FE18F6" w:rsidP="00427D57">
            <w:pPr>
              <w:rPr>
                <w:lang w:val="fr-SN"/>
              </w:rPr>
            </w:pPr>
            <w:r w:rsidRPr="00F505DC">
              <w:rPr>
                <w:lang w:val="fr-SN"/>
              </w:rPr>
              <w:t>0,</w:t>
            </w:r>
            <w:r w:rsidR="00902B11">
              <w:rPr>
                <w:lang w:val="fr-SN"/>
              </w:rPr>
              <w:t>09</w:t>
            </w:r>
            <w:r w:rsidRPr="00F505DC">
              <w:rPr>
                <w:lang w:val="fr-SN"/>
              </w:rPr>
              <w:t>%</w:t>
            </w:r>
          </w:p>
        </w:tc>
        <w:tc>
          <w:tcPr>
            <w:tcW w:w="1300" w:type="dxa"/>
            <w:tcBorders>
              <w:top w:val="nil"/>
              <w:left w:val="nil"/>
              <w:bottom w:val="single" w:sz="4" w:space="0" w:color="auto"/>
              <w:right w:val="single" w:sz="4" w:space="0" w:color="auto"/>
            </w:tcBorders>
            <w:noWrap/>
            <w:vAlign w:val="bottom"/>
            <w:hideMark/>
          </w:tcPr>
          <w:p w14:paraId="15C7E44B" w14:textId="77777777" w:rsidR="00FE18F6" w:rsidRPr="00F505DC" w:rsidRDefault="00FE18F6" w:rsidP="00427D57">
            <w:pPr>
              <w:rPr>
                <w:lang w:val="fr-SN"/>
              </w:rPr>
            </w:pPr>
            <w:r w:rsidRPr="00F505DC">
              <w:rPr>
                <w:lang w:val="fr-SN"/>
              </w:rPr>
              <w:t>0,01%</w:t>
            </w:r>
          </w:p>
        </w:tc>
        <w:tc>
          <w:tcPr>
            <w:tcW w:w="1313" w:type="dxa"/>
            <w:tcBorders>
              <w:top w:val="nil"/>
              <w:left w:val="nil"/>
              <w:bottom w:val="single" w:sz="4" w:space="0" w:color="auto"/>
              <w:right w:val="single" w:sz="4" w:space="0" w:color="auto"/>
            </w:tcBorders>
            <w:noWrap/>
            <w:vAlign w:val="bottom"/>
            <w:hideMark/>
          </w:tcPr>
          <w:p w14:paraId="308DD74E" w14:textId="77777777" w:rsidR="00FE18F6" w:rsidRPr="00F505DC" w:rsidRDefault="00FE18F6" w:rsidP="00427D57">
            <w:pPr>
              <w:rPr>
                <w:lang w:val="fr-SN"/>
              </w:rPr>
            </w:pPr>
            <w:r w:rsidRPr="00F505DC">
              <w:rPr>
                <w:lang w:val="fr-SN"/>
              </w:rPr>
              <w:t>-0,09%</w:t>
            </w:r>
          </w:p>
        </w:tc>
      </w:tr>
      <w:tr w:rsidR="00FE18F6" w:rsidRPr="00F505DC" w14:paraId="49F5EC83"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569E2C03" w14:textId="77777777" w:rsidR="00FE18F6" w:rsidRPr="00F505DC" w:rsidRDefault="00FE18F6" w:rsidP="00427D57">
            <w:pPr>
              <w:rPr>
                <w:lang w:val="fr-SN"/>
              </w:rPr>
            </w:pPr>
            <w:r w:rsidRPr="00F505DC">
              <w:rPr>
                <w:lang w:val="fr-SN"/>
              </w:rPr>
              <w:t> </w:t>
            </w:r>
          </w:p>
        </w:tc>
        <w:tc>
          <w:tcPr>
            <w:tcW w:w="1958" w:type="dxa"/>
            <w:tcBorders>
              <w:top w:val="nil"/>
              <w:left w:val="nil"/>
              <w:bottom w:val="single" w:sz="4" w:space="0" w:color="auto"/>
              <w:right w:val="single" w:sz="4" w:space="0" w:color="auto"/>
            </w:tcBorders>
            <w:noWrap/>
            <w:vAlign w:val="bottom"/>
            <w:hideMark/>
          </w:tcPr>
          <w:p w14:paraId="0D0B4D81" w14:textId="77777777" w:rsidR="00FE18F6" w:rsidRPr="00F505DC" w:rsidRDefault="00FE18F6" w:rsidP="00427D57">
            <w:pPr>
              <w:rPr>
                <w:lang w:val="fr-SN"/>
              </w:rPr>
            </w:pPr>
            <w:r w:rsidRPr="00F505DC">
              <w:rPr>
                <w:lang w:val="fr-SN"/>
              </w:rPr>
              <w:t xml:space="preserve">Autres services </w:t>
            </w:r>
            <w:proofErr w:type="spellStart"/>
            <w:r w:rsidRPr="00F505DC">
              <w:rPr>
                <w:lang w:val="fr-SN"/>
              </w:rPr>
              <w:t>n.</w:t>
            </w:r>
            <w:proofErr w:type="gramStart"/>
            <w:r w:rsidRPr="00F505DC">
              <w:rPr>
                <w:lang w:val="fr-SN"/>
              </w:rPr>
              <w:t>c.a</w:t>
            </w:r>
            <w:proofErr w:type="spellEnd"/>
            <w:proofErr w:type="gramEnd"/>
          </w:p>
        </w:tc>
        <w:tc>
          <w:tcPr>
            <w:tcW w:w="1300" w:type="dxa"/>
            <w:tcBorders>
              <w:top w:val="nil"/>
              <w:left w:val="nil"/>
              <w:bottom w:val="single" w:sz="4" w:space="0" w:color="auto"/>
              <w:right w:val="single" w:sz="4" w:space="0" w:color="auto"/>
            </w:tcBorders>
            <w:noWrap/>
            <w:vAlign w:val="bottom"/>
            <w:hideMark/>
          </w:tcPr>
          <w:p w14:paraId="05A8FC3F" w14:textId="35012456" w:rsidR="00FE18F6" w:rsidRPr="00F505DC" w:rsidRDefault="00FE18F6" w:rsidP="00427D57">
            <w:pPr>
              <w:rPr>
                <w:lang w:val="fr-SN"/>
              </w:rPr>
            </w:pPr>
            <w:r w:rsidRPr="00F505DC">
              <w:rPr>
                <w:lang w:val="fr-SN"/>
              </w:rPr>
              <w:t>0,4</w:t>
            </w:r>
            <w:r w:rsidR="00902B11">
              <w:rPr>
                <w:lang w:val="fr-SN"/>
              </w:rPr>
              <w:t>1</w:t>
            </w:r>
            <w:r w:rsidRPr="00F505DC">
              <w:rPr>
                <w:lang w:val="fr-SN"/>
              </w:rPr>
              <w:t>%</w:t>
            </w:r>
          </w:p>
        </w:tc>
        <w:tc>
          <w:tcPr>
            <w:tcW w:w="1300" w:type="dxa"/>
            <w:tcBorders>
              <w:top w:val="nil"/>
              <w:left w:val="nil"/>
              <w:bottom w:val="single" w:sz="4" w:space="0" w:color="auto"/>
              <w:right w:val="single" w:sz="4" w:space="0" w:color="auto"/>
            </w:tcBorders>
            <w:shd w:val="clear" w:color="auto" w:fill="FFFF00"/>
            <w:noWrap/>
            <w:vAlign w:val="bottom"/>
          </w:tcPr>
          <w:p w14:paraId="3EE1C112" w14:textId="77777777" w:rsidR="00FE18F6" w:rsidRPr="00F505DC" w:rsidRDefault="00FE18F6" w:rsidP="00427D57">
            <w:pPr>
              <w:rPr>
                <w:lang w:val="fr-SN"/>
              </w:rPr>
            </w:pPr>
          </w:p>
        </w:tc>
        <w:tc>
          <w:tcPr>
            <w:tcW w:w="1313" w:type="dxa"/>
            <w:tcBorders>
              <w:top w:val="nil"/>
              <w:left w:val="nil"/>
              <w:bottom w:val="single" w:sz="4" w:space="0" w:color="auto"/>
              <w:right w:val="single" w:sz="4" w:space="0" w:color="auto"/>
            </w:tcBorders>
            <w:shd w:val="clear" w:color="auto" w:fill="FFFF00"/>
            <w:noWrap/>
            <w:vAlign w:val="bottom"/>
          </w:tcPr>
          <w:p w14:paraId="75B8B49D" w14:textId="77777777" w:rsidR="00FE18F6" w:rsidRPr="00F505DC" w:rsidRDefault="00FE18F6" w:rsidP="00427D57">
            <w:pPr>
              <w:rPr>
                <w:lang w:val="fr-SN"/>
              </w:rPr>
            </w:pPr>
          </w:p>
        </w:tc>
      </w:tr>
      <w:tr w:rsidR="00FE18F6" w:rsidRPr="00F505DC" w14:paraId="27E95E20"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7A7F32A1" w14:textId="77777777" w:rsidR="00FE18F6" w:rsidRPr="00F505DC" w:rsidRDefault="00FE18F6" w:rsidP="00427D57">
            <w:pPr>
              <w:rPr>
                <w:b/>
                <w:bCs/>
                <w:lang w:val="fr-SN"/>
              </w:rPr>
            </w:pPr>
            <w:r w:rsidRPr="00F505DC">
              <w:rPr>
                <w:b/>
                <w:bCs/>
                <w:lang w:val="fr-SN"/>
              </w:rPr>
              <w:t>13.SOINS PERSONNELS, PROTECTION SOCIALE ET BIENS DIVERS</w:t>
            </w:r>
          </w:p>
        </w:tc>
        <w:tc>
          <w:tcPr>
            <w:tcW w:w="1958" w:type="dxa"/>
            <w:tcBorders>
              <w:top w:val="nil"/>
              <w:left w:val="nil"/>
              <w:bottom w:val="single" w:sz="4" w:space="0" w:color="auto"/>
              <w:right w:val="single" w:sz="4" w:space="0" w:color="auto"/>
            </w:tcBorders>
            <w:shd w:val="clear" w:color="auto" w:fill="FFFF00"/>
            <w:noWrap/>
            <w:vAlign w:val="bottom"/>
            <w:hideMark/>
          </w:tcPr>
          <w:p w14:paraId="7CC650E8" w14:textId="77777777" w:rsidR="00FE18F6" w:rsidRPr="00F505DC" w:rsidRDefault="00FE18F6" w:rsidP="00427D57">
            <w:pPr>
              <w:rPr>
                <w:b/>
                <w:bCs/>
                <w:lang w:val="fr-SN"/>
              </w:rPr>
            </w:pPr>
            <w:r w:rsidRPr="00F505DC">
              <w:rPr>
                <w:b/>
                <w:bCs/>
                <w:lang w:val="fr-SN"/>
              </w:rPr>
              <w:t> </w:t>
            </w:r>
          </w:p>
        </w:tc>
        <w:tc>
          <w:tcPr>
            <w:tcW w:w="1300" w:type="dxa"/>
            <w:tcBorders>
              <w:top w:val="nil"/>
              <w:left w:val="nil"/>
              <w:bottom w:val="single" w:sz="4" w:space="0" w:color="auto"/>
              <w:right w:val="single" w:sz="4" w:space="0" w:color="auto"/>
            </w:tcBorders>
            <w:shd w:val="clear" w:color="auto" w:fill="FFFF00"/>
            <w:noWrap/>
            <w:vAlign w:val="bottom"/>
            <w:hideMark/>
          </w:tcPr>
          <w:p w14:paraId="5F1ACF63" w14:textId="77777777" w:rsidR="00FE18F6" w:rsidRPr="00F505DC" w:rsidRDefault="00FE18F6" w:rsidP="00427D57">
            <w:pPr>
              <w:rPr>
                <w:b/>
                <w:bCs/>
                <w:lang w:val="fr-SN"/>
              </w:rPr>
            </w:pPr>
          </w:p>
        </w:tc>
        <w:tc>
          <w:tcPr>
            <w:tcW w:w="1300" w:type="dxa"/>
            <w:tcBorders>
              <w:top w:val="nil"/>
              <w:left w:val="nil"/>
              <w:bottom w:val="single" w:sz="4" w:space="0" w:color="auto"/>
              <w:right w:val="single" w:sz="4" w:space="0" w:color="auto"/>
            </w:tcBorders>
            <w:noWrap/>
            <w:vAlign w:val="bottom"/>
            <w:hideMark/>
          </w:tcPr>
          <w:p w14:paraId="2292F397" w14:textId="646B8FE5" w:rsidR="00FE18F6" w:rsidRPr="00F505DC" w:rsidRDefault="00FE18F6" w:rsidP="00427D57">
            <w:pPr>
              <w:rPr>
                <w:b/>
                <w:bCs/>
                <w:lang w:val="fr-SN"/>
              </w:rPr>
            </w:pPr>
            <w:r w:rsidRPr="00F505DC">
              <w:rPr>
                <w:lang w:val="fr-SN"/>
              </w:rPr>
              <w:t>4,8</w:t>
            </w:r>
            <w:r w:rsidR="00145662">
              <w:rPr>
                <w:lang w:val="fr-SN"/>
              </w:rPr>
              <w:t>8</w:t>
            </w:r>
            <w:r w:rsidRPr="00F505DC">
              <w:rPr>
                <w:lang w:val="fr-SN"/>
              </w:rPr>
              <w:t>%</w:t>
            </w:r>
          </w:p>
        </w:tc>
        <w:tc>
          <w:tcPr>
            <w:tcW w:w="1313" w:type="dxa"/>
            <w:tcBorders>
              <w:top w:val="nil"/>
              <w:left w:val="nil"/>
              <w:bottom w:val="single" w:sz="4" w:space="0" w:color="auto"/>
              <w:right w:val="single" w:sz="4" w:space="0" w:color="auto"/>
            </w:tcBorders>
            <w:shd w:val="clear" w:color="auto" w:fill="FFFF00"/>
            <w:noWrap/>
            <w:vAlign w:val="bottom"/>
            <w:hideMark/>
          </w:tcPr>
          <w:p w14:paraId="7A97AD89" w14:textId="2F86FBBE" w:rsidR="00FE18F6" w:rsidRPr="00F505DC" w:rsidRDefault="00FE18F6" w:rsidP="00427D57">
            <w:pPr>
              <w:rPr>
                <w:b/>
                <w:bCs/>
                <w:lang w:val="fr-SN"/>
              </w:rPr>
            </w:pPr>
          </w:p>
        </w:tc>
      </w:tr>
      <w:tr w:rsidR="00FE18F6" w:rsidRPr="00F505DC" w14:paraId="011C4D58"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3ECCC71E" w14:textId="77777777" w:rsidR="00FE18F6" w:rsidRPr="00F505DC" w:rsidRDefault="00FE18F6" w:rsidP="00427D57">
            <w:pPr>
              <w:rPr>
                <w:lang w:val="fr-SN"/>
              </w:rPr>
            </w:pPr>
            <w:r w:rsidRPr="00F505DC">
              <w:rPr>
                <w:lang w:val="fr-SN"/>
              </w:rPr>
              <w:t>1301.BIENS ET SERVICES POUR SOINS PERSONNELS</w:t>
            </w:r>
          </w:p>
        </w:tc>
        <w:tc>
          <w:tcPr>
            <w:tcW w:w="1958" w:type="dxa"/>
            <w:tcBorders>
              <w:top w:val="nil"/>
              <w:left w:val="nil"/>
              <w:bottom w:val="single" w:sz="4" w:space="0" w:color="auto"/>
              <w:right w:val="single" w:sz="4" w:space="0" w:color="auto"/>
            </w:tcBorders>
            <w:noWrap/>
            <w:vAlign w:val="bottom"/>
            <w:hideMark/>
          </w:tcPr>
          <w:p w14:paraId="50FFAD67" w14:textId="77777777" w:rsidR="00FE18F6" w:rsidRPr="00F505DC" w:rsidRDefault="00FE18F6" w:rsidP="00427D57">
            <w:pPr>
              <w:rPr>
                <w:lang w:val="fr-SN"/>
              </w:rPr>
            </w:pPr>
            <w:r w:rsidRPr="00F505DC">
              <w:rPr>
                <w:lang w:val="fr-SN"/>
              </w:rPr>
              <w:t>Soins corporels</w:t>
            </w:r>
          </w:p>
        </w:tc>
        <w:tc>
          <w:tcPr>
            <w:tcW w:w="1300" w:type="dxa"/>
            <w:tcBorders>
              <w:top w:val="nil"/>
              <w:left w:val="nil"/>
              <w:bottom w:val="single" w:sz="4" w:space="0" w:color="auto"/>
              <w:right w:val="single" w:sz="4" w:space="0" w:color="auto"/>
            </w:tcBorders>
            <w:noWrap/>
            <w:vAlign w:val="bottom"/>
            <w:hideMark/>
          </w:tcPr>
          <w:p w14:paraId="7BAC2AA5" w14:textId="77777777" w:rsidR="00FE18F6" w:rsidRPr="00F505DC" w:rsidRDefault="00FE18F6" w:rsidP="00427D57">
            <w:pPr>
              <w:rPr>
                <w:lang w:val="fr-SN"/>
              </w:rPr>
            </w:pPr>
            <w:r w:rsidRPr="00F505DC">
              <w:rPr>
                <w:lang w:val="fr-SN"/>
              </w:rPr>
              <w:t>2,41%</w:t>
            </w:r>
          </w:p>
        </w:tc>
        <w:tc>
          <w:tcPr>
            <w:tcW w:w="1300" w:type="dxa"/>
            <w:tcBorders>
              <w:top w:val="nil"/>
              <w:left w:val="nil"/>
              <w:bottom w:val="single" w:sz="4" w:space="0" w:color="auto"/>
              <w:right w:val="single" w:sz="4" w:space="0" w:color="auto"/>
            </w:tcBorders>
            <w:noWrap/>
            <w:vAlign w:val="bottom"/>
            <w:hideMark/>
          </w:tcPr>
          <w:p w14:paraId="16ED012B" w14:textId="77777777" w:rsidR="00FE18F6" w:rsidRPr="00F505DC" w:rsidRDefault="00FE18F6" w:rsidP="00427D57">
            <w:pPr>
              <w:rPr>
                <w:lang w:val="fr-SN"/>
              </w:rPr>
            </w:pPr>
            <w:r w:rsidRPr="00F505DC">
              <w:rPr>
                <w:lang w:val="fr-SN"/>
              </w:rPr>
              <w:t>4,50%</w:t>
            </w:r>
          </w:p>
        </w:tc>
        <w:tc>
          <w:tcPr>
            <w:tcW w:w="1313" w:type="dxa"/>
            <w:tcBorders>
              <w:top w:val="nil"/>
              <w:left w:val="nil"/>
              <w:bottom w:val="single" w:sz="4" w:space="0" w:color="auto"/>
              <w:right w:val="single" w:sz="4" w:space="0" w:color="auto"/>
            </w:tcBorders>
            <w:noWrap/>
            <w:vAlign w:val="bottom"/>
            <w:hideMark/>
          </w:tcPr>
          <w:p w14:paraId="1D52809A" w14:textId="77777777" w:rsidR="00FE18F6" w:rsidRPr="00F505DC" w:rsidRDefault="00FE18F6" w:rsidP="00427D57">
            <w:pPr>
              <w:rPr>
                <w:lang w:val="fr-SN"/>
              </w:rPr>
            </w:pPr>
            <w:r w:rsidRPr="00F505DC">
              <w:rPr>
                <w:lang w:val="fr-SN"/>
              </w:rPr>
              <w:t>2,09%</w:t>
            </w:r>
          </w:p>
        </w:tc>
      </w:tr>
      <w:tr w:rsidR="00FE18F6" w:rsidRPr="00F505DC" w14:paraId="642F7550"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35CFE1B1" w14:textId="77777777" w:rsidR="00FE18F6" w:rsidRPr="00F505DC" w:rsidRDefault="00FE18F6" w:rsidP="00427D57">
            <w:pPr>
              <w:rPr>
                <w:lang w:val="fr-SN"/>
              </w:rPr>
            </w:pPr>
            <w:r w:rsidRPr="00F505DC">
              <w:rPr>
                <w:lang w:val="fr-SN"/>
              </w:rPr>
              <w:t>1302.EFFETS PERSONNELS NCA</w:t>
            </w:r>
          </w:p>
        </w:tc>
        <w:tc>
          <w:tcPr>
            <w:tcW w:w="1958" w:type="dxa"/>
            <w:tcBorders>
              <w:top w:val="nil"/>
              <w:left w:val="nil"/>
              <w:bottom w:val="single" w:sz="4" w:space="0" w:color="auto"/>
              <w:right w:val="single" w:sz="4" w:space="0" w:color="auto"/>
            </w:tcBorders>
            <w:noWrap/>
            <w:vAlign w:val="bottom"/>
            <w:hideMark/>
          </w:tcPr>
          <w:p w14:paraId="03120A0A" w14:textId="77777777" w:rsidR="00FE18F6" w:rsidRPr="00F505DC" w:rsidRDefault="00FE18F6" w:rsidP="00427D57">
            <w:pPr>
              <w:rPr>
                <w:lang w:val="fr-SN"/>
              </w:rPr>
            </w:pPr>
            <w:r w:rsidRPr="00F505DC">
              <w:rPr>
                <w:lang w:val="fr-SN"/>
              </w:rPr>
              <w:t xml:space="preserve">Effets personnels </w:t>
            </w:r>
            <w:proofErr w:type="spellStart"/>
            <w:r w:rsidRPr="00F505DC">
              <w:rPr>
                <w:lang w:val="fr-SN"/>
              </w:rPr>
              <w:t>n.</w:t>
            </w:r>
            <w:proofErr w:type="gramStart"/>
            <w:r w:rsidRPr="00F505DC">
              <w:rPr>
                <w:lang w:val="fr-SN"/>
              </w:rPr>
              <w:t>c.a</w:t>
            </w:r>
            <w:proofErr w:type="spellEnd"/>
            <w:proofErr w:type="gramEnd"/>
          </w:p>
        </w:tc>
        <w:tc>
          <w:tcPr>
            <w:tcW w:w="1300" w:type="dxa"/>
            <w:tcBorders>
              <w:top w:val="nil"/>
              <w:left w:val="nil"/>
              <w:bottom w:val="single" w:sz="4" w:space="0" w:color="auto"/>
              <w:right w:val="single" w:sz="4" w:space="0" w:color="auto"/>
            </w:tcBorders>
            <w:noWrap/>
            <w:vAlign w:val="bottom"/>
            <w:hideMark/>
          </w:tcPr>
          <w:p w14:paraId="6617CC31" w14:textId="77777777" w:rsidR="00FE18F6" w:rsidRPr="00F505DC" w:rsidRDefault="00FE18F6" w:rsidP="00427D57">
            <w:pPr>
              <w:rPr>
                <w:lang w:val="fr-SN"/>
              </w:rPr>
            </w:pPr>
            <w:r w:rsidRPr="00F505DC">
              <w:rPr>
                <w:lang w:val="fr-SN"/>
              </w:rPr>
              <w:t>0,73%</w:t>
            </w:r>
          </w:p>
        </w:tc>
        <w:tc>
          <w:tcPr>
            <w:tcW w:w="1300" w:type="dxa"/>
            <w:tcBorders>
              <w:top w:val="nil"/>
              <w:left w:val="nil"/>
              <w:bottom w:val="single" w:sz="4" w:space="0" w:color="auto"/>
              <w:right w:val="single" w:sz="4" w:space="0" w:color="auto"/>
            </w:tcBorders>
            <w:noWrap/>
            <w:vAlign w:val="bottom"/>
            <w:hideMark/>
          </w:tcPr>
          <w:p w14:paraId="3A01543D" w14:textId="77777777" w:rsidR="00FE18F6" w:rsidRPr="00F505DC" w:rsidRDefault="00FE18F6" w:rsidP="00427D57">
            <w:pPr>
              <w:rPr>
                <w:lang w:val="fr-SN"/>
              </w:rPr>
            </w:pPr>
            <w:r w:rsidRPr="00F505DC">
              <w:rPr>
                <w:lang w:val="fr-SN"/>
              </w:rPr>
              <w:t>0,34%</w:t>
            </w:r>
          </w:p>
        </w:tc>
        <w:tc>
          <w:tcPr>
            <w:tcW w:w="1313" w:type="dxa"/>
            <w:tcBorders>
              <w:top w:val="nil"/>
              <w:left w:val="nil"/>
              <w:bottom w:val="single" w:sz="4" w:space="0" w:color="auto"/>
              <w:right w:val="single" w:sz="4" w:space="0" w:color="auto"/>
            </w:tcBorders>
            <w:noWrap/>
            <w:vAlign w:val="bottom"/>
            <w:hideMark/>
          </w:tcPr>
          <w:p w14:paraId="600969DF" w14:textId="77777777" w:rsidR="00FE18F6" w:rsidRPr="00F505DC" w:rsidRDefault="00FE18F6" w:rsidP="00427D57">
            <w:pPr>
              <w:rPr>
                <w:lang w:val="fr-SN"/>
              </w:rPr>
            </w:pPr>
            <w:r w:rsidRPr="00F505DC">
              <w:rPr>
                <w:lang w:val="fr-SN"/>
              </w:rPr>
              <w:t>-0,39%</w:t>
            </w:r>
          </w:p>
        </w:tc>
      </w:tr>
      <w:tr w:rsidR="00FE18F6" w:rsidRPr="00F505DC" w14:paraId="401E562B" w14:textId="77777777" w:rsidTr="005558FD">
        <w:trPr>
          <w:trHeight w:val="285"/>
        </w:trPr>
        <w:tc>
          <w:tcPr>
            <w:tcW w:w="3880" w:type="dxa"/>
            <w:tcBorders>
              <w:top w:val="nil"/>
              <w:left w:val="single" w:sz="4" w:space="0" w:color="auto"/>
              <w:bottom w:val="single" w:sz="4" w:space="0" w:color="auto"/>
              <w:right w:val="single" w:sz="4" w:space="0" w:color="auto"/>
            </w:tcBorders>
            <w:noWrap/>
            <w:vAlign w:val="bottom"/>
            <w:hideMark/>
          </w:tcPr>
          <w:p w14:paraId="0BB46E15" w14:textId="77777777" w:rsidR="00FE18F6" w:rsidRPr="00F505DC" w:rsidRDefault="00FE18F6" w:rsidP="00427D57">
            <w:pPr>
              <w:rPr>
                <w:lang w:val="fr-SN"/>
              </w:rPr>
            </w:pPr>
            <w:r w:rsidRPr="00F505DC">
              <w:rPr>
                <w:lang w:val="fr-SN"/>
              </w:rPr>
              <w:t>1303.PROTECTION SOCIALE</w:t>
            </w:r>
          </w:p>
        </w:tc>
        <w:tc>
          <w:tcPr>
            <w:tcW w:w="1958" w:type="dxa"/>
            <w:tcBorders>
              <w:top w:val="nil"/>
              <w:left w:val="nil"/>
              <w:bottom w:val="single" w:sz="4" w:space="0" w:color="auto"/>
              <w:right w:val="single" w:sz="4" w:space="0" w:color="auto"/>
            </w:tcBorders>
            <w:noWrap/>
            <w:vAlign w:val="bottom"/>
            <w:hideMark/>
          </w:tcPr>
          <w:p w14:paraId="23EFE450" w14:textId="77777777" w:rsidR="00FE18F6" w:rsidRPr="00F505DC" w:rsidRDefault="00FE18F6" w:rsidP="00427D57">
            <w:pPr>
              <w:rPr>
                <w:lang w:val="fr-SN"/>
              </w:rPr>
            </w:pPr>
            <w:r w:rsidRPr="00F505DC">
              <w:rPr>
                <w:lang w:val="fr-SN"/>
              </w:rPr>
              <w:t>Protection sociale et assurance</w:t>
            </w:r>
          </w:p>
        </w:tc>
        <w:tc>
          <w:tcPr>
            <w:tcW w:w="1300" w:type="dxa"/>
            <w:tcBorders>
              <w:top w:val="nil"/>
              <w:left w:val="nil"/>
              <w:bottom w:val="single" w:sz="4" w:space="0" w:color="auto"/>
              <w:right w:val="single" w:sz="4" w:space="0" w:color="auto"/>
            </w:tcBorders>
            <w:noWrap/>
            <w:vAlign w:val="bottom"/>
            <w:hideMark/>
          </w:tcPr>
          <w:p w14:paraId="45168BE2" w14:textId="77777777" w:rsidR="00FE18F6" w:rsidRPr="00F505DC" w:rsidRDefault="00FE18F6" w:rsidP="00427D57">
            <w:pPr>
              <w:rPr>
                <w:lang w:val="fr-SN"/>
              </w:rPr>
            </w:pPr>
            <w:r w:rsidRPr="00F505DC">
              <w:rPr>
                <w:lang w:val="fr-SN"/>
              </w:rPr>
              <w:t>0,09%</w:t>
            </w:r>
          </w:p>
        </w:tc>
        <w:tc>
          <w:tcPr>
            <w:tcW w:w="1300" w:type="dxa"/>
            <w:tcBorders>
              <w:top w:val="nil"/>
              <w:left w:val="nil"/>
              <w:bottom w:val="single" w:sz="4" w:space="0" w:color="auto"/>
              <w:right w:val="single" w:sz="4" w:space="0" w:color="auto"/>
            </w:tcBorders>
            <w:noWrap/>
            <w:vAlign w:val="bottom"/>
            <w:hideMark/>
          </w:tcPr>
          <w:p w14:paraId="0D012722" w14:textId="77777777" w:rsidR="00FE18F6" w:rsidRPr="00F505DC" w:rsidRDefault="00FE18F6" w:rsidP="00427D57">
            <w:pPr>
              <w:rPr>
                <w:lang w:val="fr-SN"/>
              </w:rPr>
            </w:pPr>
            <w:r w:rsidRPr="00F505DC">
              <w:rPr>
                <w:lang w:val="fr-SN"/>
              </w:rPr>
              <w:t>0,01%</w:t>
            </w:r>
          </w:p>
        </w:tc>
        <w:tc>
          <w:tcPr>
            <w:tcW w:w="1313" w:type="dxa"/>
            <w:tcBorders>
              <w:top w:val="nil"/>
              <w:left w:val="nil"/>
              <w:bottom w:val="single" w:sz="4" w:space="0" w:color="auto"/>
              <w:right w:val="single" w:sz="4" w:space="0" w:color="auto"/>
            </w:tcBorders>
            <w:noWrap/>
            <w:vAlign w:val="bottom"/>
            <w:hideMark/>
          </w:tcPr>
          <w:p w14:paraId="00470884" w14:textId="77777777" w:rsidR="00FE18F6" w:rsidRPr="00F505DC" w:rsidRDefault="00FE18F6" w:rsidP="00427D57">
            <w:pPr>
              <w:rPr>
                <w:lang w:val="fr-SN"/>
              </w:rPr>
            </w:pPr>
            <w:r w:rsidRPr="00F505DC">
              <w:rPr>
                <w:lang w:val="fr-SN"/>
              </w:rPr>
              <w:t>-0,09%</w:t>
            </w:r>
          </w:p>
        </w:tc>
      </w:tr>
    </w:tbl>
    <w:p w14:paraId="66DC7B86" w14:textId="283F4243" w:rsidR="00FE18F6" w:rsidRPr="00747953" w:rsidRDefault="00FE18F6" w:rsidP="00FE18F6">
      <w:pPr>
        <w:rPr>
          <w:i/>
          <w:iCs/>
          <w:lang w:val="fr-SN"/>
        </w:rPr>
      </w:pPr>
      <w:r w:rsidRPr="00747953">
        <w:rPr>
          <w:i/>
          <w:iCs/>
          <w:lang w:val="fr-SN"/>
        </w:rPr>
        <w:t>Source : ANSD, pondération IHPC 2014 et 202</w:t>
      </w:r>
      <w:r w:rsidR="0022769D">
        <w:rPr>
          <w:i/>
          <w:iCs/>
          <w:lang w:val="fr-SN"/>
        </w:rPr>
        <w:t>1</w:t>
      </w:r>
      <w:r w:rsidRPr="00747953">
        <w:rPr>
          <w:i/>
          <w:iCs/>
          <w:lang w:val="fr-SN"/>
        </w:rPr>
        <w:t>.</w:t>
      </w:r>
    </w:p>
    <w:p w14:paraId="337BABFB" w14:textId="77777777" w:rsidR="00FE18F6" w:rsidRDefault="00FE18F6" w:rsidP="00FE18F6">
      <w:pPr>
        <w:rPr>
          <w:lang w:val="fr-SN"/>
        </w:rPr>
      </w:pPr>
    </w:p>
    <w:p w14:paraId="2A819008" w14:textId="77777777" w:rsidR="00FE18F6" w:rsidRDefault="00FE18F6" w:rsidP="00FE18F6">
      <w:pPr>
        <w:rPr>
          <w:rFonts w:eastAsiaTheme="majorEastAsia" w:cstheme="majorBidi"/>
          <w:bCs/>
          <w:color w:val="365F91" w:themeColor="accent1" w:themeShade="BF"/>
          <w:sz w:val="32"/>
          <w:szCs w:val="28"/>
        </w:rPr>
      </w:pPr>
      <w:r>
        <w:br w:type="page"/>
      </w:r>
    </w:p>
    <w:p w14:paraId="477F4033" w14:textId="11AB4D3E" w:rsidR="00FE18F6" w:rsidRDefault="00FE18F6" w:rsidP="00FE18F6">
      <w:pPr>
        <w:pStyle w:val="Titre1"/>
      </w:pPr>
      <w:bookmarkStart w:id="78" w:name="_Toc180927854"/>
      <w:bookmarkStart w:id="79" w:name="_Toc182735156"/>
      <w:bookmarkStart w:id="80" w:name="_Toc182822573"/>
      <w:r>
        <w:t xml:space="preserve">Chapitre 4 : </w:t>
      </w:r>
      <w:bookmarkEnd w:id="78"/>
      <w:bookmarkEnd w:id="79"/>
      <w:bookmarkEnd w:id="80"/>
      <w:r w:rsidR="00BD376D" w:rsidRPr="00BD376D">
        <w:t xml:space="preserve">Rôle des pondérations dans les </w:t>
      </w:r>
      <w:r w:rsidR="00BD376D">
        <w:t>variations</w:t>
      </w:r>
      <w:r w:rsidR="00BD376D" w:rsidRPr="00BD376D">
        <w:t xml:space="preserve"> de l’IHPC</w:t>
      </w:r>
    </w:p>
    <w:p w14:paraId="21E3F3E2" w14:textId="77777777" w:rsidR="000A49AF" w:rsidRDefault="000A49AF" w:rsidP="000A49AF"/>
    <w:p w14:paraId="77CEAE54" w14:textId="415602C5" w:rsidR="00FE18F6" w:rsidRPr="000A49AF" w:rsidRDefault="000A49AF" w:rsidP="00FE18F6">
      <w:r w:rsidRPr="000A49AF">
        <w:t>Ce chapitre explore l'i</w:t>
      </w:r>
      <w:r w:rsidR="00BD376D">
        <w:t>nfluence</w:t>
      </w:r>
      <w:r w:rsidRPr="000A49AF">
        <w:t xml:space="preserve"> des pondérations sur l’IHPC, en analysant leur rôle dans la structure de consommation, la transmission des chocs économiques et la mesure de l’inflation.</w:t>
      </w:r>
    </w:p>
    <w:p w14:paraId="4F02C97F" w14:textId="33B366B4" w:rsidR="00FE18F6" w:rsidRPr="000771E2" w:rsidRDefault="00FE18F6" w:rsidP="0003278A">
      <w:pPr>
        <w:pStyle w:val="Titre2"/>
      </w:pPr>
      <w:bookmarkStart w:id="81" w:name="_Toc182822574"/>
      <w:r w:rsidRPr="000771E2">
        <w:t>Pondérations et structure de la consommation</w:t>
      </w:r>
      <w:bookmarkEnd w:id="81"/>
    </w:p>
    <w:p w14:paraId="38F8E614" w14:textId="77777777" w:rsidR="00FE18F6" w:rsidRDefault="00FE18F6" w:rsidP="00FE18F6">
      <w:r>
        <w:t>L'IHPC repose sur un panier de biens et services représentatif des dépenses des ménages. Chaque catégorie de produit se voit attribuer une pondération qui reflète sa part relative dans la consommation globale des ménages. Ces pondérations jouent un rôle crucial dans la manière dont les variations de prix dans une catégorie influencent l'inflation mesurée.</w:t>
      </w:r>
    </w:p>
    <w:p w14:paraId="3F9F580B" w14:textId="24BE36E4" w:rsidR="00FE18F6" w:rsidRDefault="00FE18F6" w:rsidP="00FE18F6">
      <w:r>
        <w:t xml:space="preserve">Par exemple, les produits alimentaires, représentant 45,7 % des dépenses totales en </w:t>
      </w:r>
      <w:r w:rsidR="00023158">
        <w:t>2021</w:t>
      </w:r>
      <w:r>
        <w:t>, ont une forte pondération dans l'IHPC. Une variation des prix dans cette catégorie, qu'elle soit due à des facteurs externes comme des conditions climatiques ou à des perturbations de l'offre mondiale, a un impact direct et important sur l'inflation globale. Une augmentation des prix alimentaires se traduit ainsi par une hausse immédiate et proportionnée de l'IHPC, reflétant le poids significatif de ces biens dans la structure de consommation des ménages.</w:t>
      </w:r>
    </w:p>
    <w:p w14:paraId="5F018279" w14:textId="77777777" w:rsidR="00FE18F6" w:rsidRDefault="00FE18F6" w:rsidP="00FE18F6">
      <w:r>
        <w:t>En revanche, une catégorie comme les assurances, ne représentant que 0,1 % des dépenses, a un effet marginal sur l'inflation, même en cas d'augmentation significative des prix dans ce secteur. Cela illustre l'idée que plus une catégorie est pondérée, plus elle influence l'inflation, qu'il s'agisse d'une hausse ou d'une baisse des prix</w:t>
      </w:r>
    </w:p>
    <w:p w14:paraId="57F74C0C" w14:textId="08D0F50F" w:rsidR="00FE18F6" w:rsidRDefault="00FE18F6" w:rsidP="00FE18F6">
      <w:r>
        <w:t>Une mauvaise estimation des pondérations peut</w:t>
      </w:r>
      <w:r w:rsidR="00BD376D">
        <w:t xml:space="preserve"> donc</w:t>
      </w:r>
      <w:r>
        <w:t xml:space="preserve"> fausser l'évaluation de l'inflation réelle, et c’est pourquoi il est essentiel de réévaluer régulièrement ces pondérations pour refléter les changements dans les habitudes de consommation.</w:t>
      </w:r>
    </w:p>
    <w:p w14:paraId="452D5E5F" w14:textId="12B6003F" w:rsidR="00FE18F6" w:rsidRPr="000771E2" w:rsidRDefault="00FE18F6" w:rsidP="0003278A">
      <w:pPr>
        <w:pStyle w:val="Titre2"/>
      </w:pPr>
      <w:r w:rsidRPr="000771E2">
        <w:t xml:space="preserve"> </w:t>
      </w:r>
      <w:bookmarkStart w:id="82" w:name="_Toc182822575"/>
      <w:r w:rsidRPr="000771E2">
        <w:t>Transmission des chocs sectoriels</w:t>
      </w:r>
      <w:bookmarkEnd w:id="82"/>
    </w:p>
    <w:p w14:paraId="788A3F92" w14:textId="05F1F535" w:rsidR="00FE18F6" w:rsidRDefault="00FE18F6" w:rsidP="00FE18F6">
      <w:r>
        <w:t>Les pondérations servent également à analyser la transmission des chocs économiques au sein de l'économie. Lorsqu'un secteur à forte pondération, comme l'énergie ou les transports, subit une hausse de prix, l'impact est amplifié à travers l'ensemble de l'économie, déclenchant parfois une inflation généralisée.</w:t>
      </w:r>
      <w:r w:rsidR="00BD376D">
        <w:t xml:space="preserve"> Cet effet est également lié à la nature de ces biens et services.</w:t>
      </w:r>
    </w:p>
    <w:p w14:paraId="6AB5B4CE" w14:textId="038B5404" w:rsidR="00FE18F6" w:rsidRDefault="00FE18F6" w:rsidP="00FE18F6">
      <w:r>
        <w:t xml:space="preserve">Prenons l'exemple des chocs énergétiques. En </w:t>
      </w:r>
      <w:r w:rsidR="00023158">
        <w:t>2021</w:t>
      </w:r>
      <w:r>
        <w:t>, les produits énergétiques (électricité, gaz et autres combustibles) représentaient environ 4,4 % des dépenses des ménages. Une hausse des prix dans ce secteur augmente directement les coûts pour les ménages, mais elle affecte aussi indirectement l'ensemble des secteurs économiques via une augmentation des coûts de production des entreprises. En réaction, les entreprises répercutent souvent ces hausses sur les prix des biens et services, amplifiant l'effet inflationniste.</w:t>
      </w:r>
    </w:p>
    <w:p w14:paraId="57E62AE9" w14:textId="33299D45" w:rsidR="00FE18F6" w:rsidRPr="000771E2" w:rsidRDefault="00FE18F6" w:rsidP="0003278A">
      <w:pPr>
        <w:pStyle w:val="Titre2"/>
      </w:pPr>
      <w:bookmarkStart w:id="83" w:name="_Toc182822576"/>
      <w:r w:rsidRPr="000771E2">
        <w:t xml:space="preserve">Rigidité des prix et </w:t>
      </w:r>
      <w:r w:rsidR="00BD376D">
        <w:t>influence</w:t>
      </w:r>
      <w:r w:rsidRPr="000771E2">
        <w:t xml:space="preserve"> sur l'IHPC</w:t>
      </w:r>
      <w:bookmarkEnd w:id="83"/>
    </w:p>
    <w:p w14:paraId="340911F3" w14:textId="77777777" w:rsidR="00FE18F6" w:rsidRDefault="00FE18F6" w:rsidP="00FE18F6">
      <w:r>
        <w:t>La rigidité des prix désigne la tendance de certains prix à varier moins fréquemment que d'autres. Les biens dont les prix sont rigides ont un impact plus durable sur l'inflation. En revanche, les prix plus flexibles, tels que ceux des produits alimentaires, peuvent fluctuer rapidement, en fonction de facteurs saisonniers ou de la volatilité des marchés mondiaux.</w:t>
      </w:r>
    </w:p>
    <w:p w14:paraId="5B0260EE" w14:textId="77777777" w:rsidR="00FE18F6" w:rsidRDefault="00FE18F6" w:rsidP="00FE18F6">
      <w:r>
        <w:t>Dans la catégorie des biens à prix rigide, les tarifs ont tendance à être stables à court terme. Cependant, lorsqu'ils augmentent, ces hausses se prolongent sur une longue période, ayant un effet durable sur l'inflation. Par contraste, les prix des biens alimentaires sont plus volatils, et bien que leur impact immédiat puisse être important, ils sont susceptibles de redescendre rapidement selon l'évolution des conditions de marché.</w:t>
      </w:r>
    </w:p>
    <w:p w14:paraId="054D7982" w14:textId="77777777" w:rsidR="00FE18F6" w:rsidRDefault="00FE18F6" w:rsidP="00FE18F6">
      <w:r>
        <w:t>Cette dynamique des prix met en évidence la nécessité de distinguer entre les catégories à effet inflationniste de long terme et celles qui influencent l'inflation à court terme.</w:t>
      </w:r>
    </w:p>
    <w:p w14:paraId="083B2B0D" w14:textId="77777777" w:rsidR="00FE18F6" w:rsidRDefault="00FE18F6" w:rsidP="00FE18F6">
      <w:r>
        <w:t xml:space="preserve"> Ainsi, a</w:t>
      </w:r>
      <w:r w:rsidRPr="006C542F">
        <w:t>fin d’éliminer l’effet des fluctuations transitoires de l’inflation, l’intérêt porte de plus en plus sur des mesures d’inflation sous-jacente. Celles-ci sont censées représenter uniquement la tendance de fond que suit l’évolution des prix. La stabilité des prix étant l’objectif primordial de la politique monétaire, une mesure d’inflation sous-jacente peut compléter et faciliter l’interprétation des chiffres de l’inflation globale. Au niveau de l’Union économique et monétaire Ouest africaine (l’UEMOA), la mesure de l’inflation sous-jacente est définie par les dispositions du règlement N°08/2006/CM/UEMOA, portant adoption des modalités de calcul de l’inflation sous-jacente dans les Etats membres de l’UEMOA. L’inflation sous-jacente est mesurée par la variation de l’Indice harmonisé des Prix à la consommation (IHPC) hors « produit frais et énergie ». L’inflation sous-jacente est ainsi obtenue après l’élimination des postes les plus volatils des composantes « Produits alimentaires et boissons non alcoolisées », « Logement, eau, gaz, électricité et autres combustibles » et « Transports » du panier suivi dans le cadre de l’IHPC.</w:t>
      </w:r>
    </w:p>
    <w:p w14:paraId="60EF3563" w14:textId="3F4E1936" w:rsidR="00FE18F6" w:rsidRPr="000771E2" w:rsidRDefault="00FE18F6" w:rsidP="0003278A">
      <w:pPr>
        <w:pStyle w:val="Titre2"/>
      </w:pPr>
      <w:bookmarkStart w:id="84" w:name="_Toc182822577"/>
      <w:r w:rsidRPr="000771E2">
        <w:t>Catégories à faible pondération</w:t>
      </w:r>
      <w:bookmarkEnd w:id="84"/>
      <w:r w:rsidRPr="000771E2">
        <w:t xml:space="preserve"> </w:t>
      </w:r>
    </w:p>
    <w:p w14:paraId="53E0027C" w14:textId="10F4B364" w:rsidR="00FE18F6" w:rsidRDefault="00FE18F6" w:rsidP="00FE18F6">
      <w:r>
        <w:t xml:space="preserve">Bien que certaines catégories, telles que les assurances et les services financiers, aient </w:t>
      </w:r>
      <w:r w:rsidR="00BF0678">
        <w:t>un poids</w:t>
      </w:r>
      <w:r>
        <w:t xml:space="preserve"> très faible dans l'IHPC (0,1 % en </w:t>
      </w:r>
      <w:r w:rsidR="00023158">
        <w:t>2021</w:t>
      </w:r>
      <w:r>
        <w:t>), il serait imprudent de sous-estimer leur importance. Même si ces catégories ont un impact limité sur l'inflation globale, elles peuvent représenter une part importante des dépenses pour certains ménages.</w:t>
      </w:r>
    </w:p>
    <w:p w14:paraId="53CC41FC" w14:textId="77777777" w:rsidR="00FE18F6" w:rsidRDefault="00FE18F6" w:rsidP="00FE18F6">
      <w:r>
        <w:t>Par exemple, une augmentation soudaine des primes d'assurance peut significativement affecter le budget des ménages concernés, même si cela ne se traduit pas par une hausse notable de l'IHPC. Cela illustre l'importance de ne pas négliger les catégories à faible pondération dans l'analyse de l'inflation. Leur influence peut être faible en termes agrégés, mais elles sont essentielles pour analyser les disparités économiques au sein de la population et comprendre comment certains ménages peuvent être plus affectés que d'autres par des hausses de prix ciblées.</w:t>
      </w:r>
    </w:p>
    <w:p w14:paraId="1E808025" w14:textId="42C0DE3D" w:rsidR="00E20544" w:rsidRDefault="00E20544">
      <w:pPr>
        <w:spacing w:after="200" w:line="276" w:lineRule="auto"/>
      </w:pPr>
      <w:r>
        <w:br w:type="page"/>
      </w:r>
    </w:p>
    <w:p w14:paraId="7C1A98FB" w14:textId="7180FA5A" w:rsidR="00E20544" w:rsidRPr="000771E2" w:rsidRDefault="00E20544" w:rsidP="00E20544">
      <w:pPr>
        <w:pStyle w:val="Titre1"/>
      </w:pPr>
      <w:bookmarkStart w:id="85" w:name="_Toc182822578"/>
      <w:r>
        <w:t>Conclusion</w:t>
      </w:r>
      <w:bookmarkEnd w:id="85"/>
    </w:p>
    <w:p w14:paraId="3D26F950" w14:textId="62C2D969" w:rsidR="00BC3AD7" w:rsidRDefault="008B527A" w:rsidP="00BC3AD7">
      <w:pPr>
        <w:rPr>
          <w:lang w:eastAsia="fr-SN"/>
        </w:rPr>
      </w:pPr>
      <w:r w:rsidRPr="008B527A">
        <w:rPr>
          <w:lang w:eastAsia="fr-SN"/>
        </w:rPr>
        <w:t xml:space="preserve">L’analyse de l’évolution des pondérations de l’IHPC au Sénégal entre 2014 et </w:t>
      </w:r>
      <w:r w:rsidR="00023158">
        <w:rPr>
          <w:lang w:eastAsia="fr-SN"/>
        </w:rPr>
        <w:t>2021</w:t>
      </w:r>
      <w:r w:rsidRPr="008B527A">
        <w:rPr>
          <w:lang w:eastAsia="fr-SN"/>
        </w:rPr>
        <w:t xml:space="preserve"> met en lumière des changements significatifs dans les habitudes de consommation des ménages</w:t>
      </w:r>
      <w:r>
        <w:rPr>
          <w:lang w:eastAsia="fr-SN"/>
        </w:rPr>
        <w:t xml:space="preserve">. </w:t>
      </w:r>
      <w:r w:rsidR="00BC3AD7" w:rsidRPr="00BC3AD7">
        <w:rPr>
          <w:lang w:eastAsia="fr-SN"/>
        </w:rPr>
        <w:t>Ces transformations reflètent les mutations socio-économiques du pays et soulignent leur impact direct sur la mesure de l’inflation.</w:t>
      </w:r>
    </w:p>
    <w:p w14:paraId="4AFC635C" w14:textId="1795B6B5" w:rsidR="00B44C0B" w:rsidRPr="00B44C0B" w:rsidRDefault="00B44C0B" w:rsidP="00B44C0B">
      <w:pPr>
        <w:rPr>
          <w:lang w:val="fr-SN" w:eastAsia="fr-SN"/>
        </w:rPr>
      </w:pPr>
      <w:r w:rsidRPr="00B44C0B">
        <w:rPr>
          <w:lang w:val="fr-SN" w:eastAsia="fr-SN"/>
        </w:rPr>
        <w:t>Les résultats obtenus montrent une baisse notable des pondérations des produits alimentaires, passant de 49,64 % à 45,</w:t>
      </w:r>
      <w:r w:rsidR="007D4E32">
        <w:rPr>
          <w:lang w:val="fr-SN" w:eastAsia="fr-SN"/>
        </w:rPr>
        <w:t>47</w:t>
      </w:r>
      <w:r w:rsidRPr="00B44C0B">
        <w:rPr>
          <w:lang w:val="fr-SN" w:eastAsia="fr-SN"/>
        </w:rPr>
        <w:t>%, et une augmentation marquée dans les secteurs de la restauration, des services de communication et des loisirs. Ces évolutions traduisent des changements dans les modes de vie, l’urbanisation croissante et l’amélioration du pouvoir d’achat. L’étude a également révélé que ces ajustements impactent directement la mesure de l’inflation, en rendant l’IHPC plus représentatif des réalités économiques actuelles et en permettant une meilleure prise en compte des dynamiques des secteurs émergents. Par ailleurs, les secteurs à forte pondération, tels que les produits alimentaires, influencent fortement l’IHPC, car toute variation de leurs prix se reflète directement et significativement sur l’inflation globale.</w:t>
      </w:r>
      <w:r>
        <w:rPr>
          <w:lang w:val="fr-SN" w:eastAsia="fr-SN"/>
        </w:rPr>
        <w:t xml:space="preserve"> A l’inverse, les secteurs à faible pondération comme les assurances on</w:t>
      </w:r>
      <w:r w:rsidR="00C63B27">
        <w:rPr>
          <w:lang w:val="fr-SN" w:eastAsia="fr-SN"/>
        </w:rPr>
        <w:t>t</w:t>
      </w:r>
      <w:r>
        <w:rPr>
          <w:lang w:val="fr-SN" w:eastAsia="fr-SN"/>
        </w:rPr>
        <w:t xml:space="preserve"> un impact moindre sur l’inflation.</w:t>
      </w:r>
    </w:p>
    <w:p w14:paraId="29B6B206" w14:textId="74C2D800" w:rsidR="0003278A" w:rsidRDefault="00B44C0B" w:rsidP="00B44C0B">
      <w:pPr>
        <w:rPr>
          <w:lang w:eastAsia="fr-SN"/>
        </w:rPr>
        <w:sectPr w:rsidR="0003278A" w:rsidSect="003F3638">
          <w:pgSz w:w="12240" w:h="15840"/>
          <w:pgMar w:top="1440" w:right="1440" w:bottom="1440" w:left="1440" w:header="720" w:footer="720" w:gutter="0"/>
          <w:pgNumType w:start="1"/>
          <w:cols w:space="720"/>
          <w:docGrid w:linePitch="360"/>
        </w:sectPr>
      </w:pPr>
      <w:r w:rsidRPr="00B44C0B">
        <w:rPr>
          <w:lang w:eastAsia="fr-SN"/>
        </w:rPr>
        <w:t xml:space="preserve">Au </w:t>
      </w:r>
      <w:r>
        <w:rPr>
          <w:lang w:eastAsia="fr-SN"/>
        </w:rPr>
        <w:t>terme de cette étude</w:t>
      </w:r>
      <w:r w:rsidRPr="00B44C0B">
        <w:rPr>
          <w:lang w:eastAsia="fr-SN"/>
        </w:rPr>
        <w:t>, il est essentiel d’instaurer une révision régulière des pondérations de l’IHPC pour refléter fidèlement les évolutions des comportements de consommation. Ces mises à jour doivent s’appuyer sur des enquêtes fréquentes et des données actualisées afin de garantir une représentation précise et pertinente. Par ailleurs, des actions ciblées doivent être entreprises dans les secteurs à forte pondération, tels que l’énergie et les services</w:t>
      </w:r>
      <w:r>
        <w:rPr>
          <w:lang w:eastAsia="fr-SN"/>
        </w:rPr>
        <w:t xml:space="preserve"> pour</w:t>
      </w:r>
      <w:r w:rsidRPr="00B44C0B">
        <w:rPr>
          <w:lang w:eastAsia="fr-SN"/>
        </w:rPr>
        <w:t xml:space="preserve"> stabiliser les coûts et de limiter les hausses de prix. </w:t>
      </w:r>
      <w:r w:rsidR="00863501" w:rsidRPr="00863501">
        <w:rPr>
          <w:lang w:eastAsia="fr-SN"/>
        </w:rPr>
        <w:t xml:space="preserve">Enfin, il serait pertinent de moderniser les outils de collecte des données </w:t>
      </w:r>
      <w:r w:rsidR="00C63B27">
        <w:rPr>
          <w:lang w:eastAsia="fr-SN"/>
        </w:rPr>
        <w:t xml:space="preserve">sur les prix </w:t>
      </w:r>
      <w:r w:rsidR="00863501" w:rsidRPr="00863501">
        <w:rPr>
          <w:lang w:eastAsia="fr-SN"/>
        </w:rPr>
        <w:t>en remplaçant les méthodes traditionnelles sur papier par des solutions numériques, telles que les applications mobiles et les bases de données centralisées. Cette transition permettra d’accroître la rapidité et la fiabilité des informations</w:t>
      </w:r>
      <w:r w:rsidR="00863501">
        <w:rPr>
          <w:lang w:eastAsia="fr-SN"/>
        </w:rPr>
        <w:t xml:space="preserve"> tout en facilitant le processus de collecte.</w:t>
      </w:r>
    </w:p>
    <w:p w14:paraId="52441697" w14:textId="7A6741F7" w:rsidR="00863501" w:rsidRDefault="00863501" w:rsidP="00B44C0B">
      <w:pPr>
        <w:rPr>
          <w:lang w:eastAsia="fr-SN"/>
        </w:rPr>
      </w:pPr>
    </w:p>
    <w:p w14:paraId="6C1B9D1D" w14:textId="76D7A647" w:rsidR="00F974FD" w:rsidRPr="0003278A" w:rsidRDefault="00863501" w:rsidP="0003278A">
      <w:pPr>
        <w:pStyle w:val="Titre1"/>
        <w:rPr>
          <w:lang w:eastAsia="fr-SN"/>
        </w:rPr>
      </w:pPr>
      <w:bookmarkStart w:id="86" w:name="_Toc182822579"/>
      <w:r>
        <w:rPr>
          <w:lang w:val="fr-SN"/>
        </w:rPr>
        <w:t>Bibliographie</w:t>
      </w:r>
      <w:bookmarkEnd w:id="86"/>
    </w:p>
    <w:p w14:paraId="3C61CCF5" w14:textId="77777777" w:rsidR="007D5CA3" w:rsidRDefault="007D5CA3" w:rsidP="002761B5">
      <w:pPr>
        <w:rPr>
          <w:lang w:val="fr-SN"/>
        </w:rPr>
      </w:pPr>
    </w:p>
    <w:p w14:paraId="07F75DEE" w14:textId="35CB1525" w:rsidR="002761B5" w:rsidRPr="007D5CA3" w:rsidRDefault="00F54B7F">
      <w:pPr>
        <w:pStyle w:val="Paragraphedeliste"/>
        <w:numPr>
          <w:ilvl w:val="0"/>
          <w:numId w:val="26"/>
        </w:numPr>
        <w:rPr>
          <w:lang w:val="fr-SN"/>
        </w:rPr>
      </w:pPr>
      <w:r w:rsidRPr="00F54B7F">
        <w:rPr>
          <w:b/>
          <w:bCs/>
          <w:lang w:val="fr-SN"/>
        </w:rPr>
        <w:t>UEMOA</w:t>
      </w:r>
      <w:r>
        <w:rPr>
          <w:lang w:val="fr-SN"/>
        </w:rPr>
        <w:t xml:space="preserve">. </w:t>
      </w:r>
      <w:r w:rsidR="007D5CA3" w:rsidRPr="007D5CA3">
        <w:rPr>
          <w:lang w:val="fr-SN"/>
        </w:rPr>
        <w:t>G</w:t>
      </w:r>
      <w:r w:rsidR="007D5CA3">
        <w:rPr>
          <w:lang w:val="fr-SN"/>
        </w:rPr>
        <w:t>ui</w:t>
      </w:r>
      <w:r w:rsidR="007D5CA3" w:rsidRPr="007D5CA3">
        <w:t>de m</w:t>
      </w:r>
      <w:r w:rsidR="007D5CA3">
        <w:t>é</w:t>
      </w:r>
      <w:r w:rsidR="007D5CA3" w:rsidRPr="007D5CA3">
        <w:t xml:space="preserve">thodologique de l’indice harmonise des prix </w:t>
      </w:r>
      <w:r w:rsidR="007D5CA3">
        <w:t>à</w:t>
      </w:r>
      <w:r w:rsidR="007D5CA3" w:rsidRPr="007D5CA3">
        <w:t xml:space="preserve"> la consommation dans la zone </w:t>
      </w:r>
      <w:r w:rsidR="007D5CA3">
        <w:t>UEMOA</w:t>
      </w:r>
    </w:p>
    <w:p w14:paraId="348E8CEB" w14:textId="3F45C316" w:rsidR="007D5CA3" w:rsidRPr="00F54B7F" w:rsidRDefault="00F54B7F">
      <w:pPr>
        <w:pStyle w:val="Paragraphedeliste"/>
        <w:numPr>
          <w:ilvl w:val="0"/>
          <w:numId w:val="26"/>
        </w:numPr>
        <w:rPr>
          <w:lang w:val="fr-SN"/>
        </w:rPr>
      </w:pPr>
      <w:r w:rsidRPr="00F54B7F">
        <w:rPr>
          <w:b/>
          <w:bCs/>
        </w:rPr>
        <w:t>Banque Mondiale</w:t>
      </w:r>
      <w:r w:rsidRPr="00F54B7F">
        <w:t xml:space="preserve">. </w:t>
      </w:r>
      <w:r w:rsidRPr="00F54B7F">
        <w:rPr>
          <w:i/>
          <w:iCs/>
        </w:rPr>
        <w:t>PIB par habitant (dollars US courants) - Sénégal</w:t>
      </w:r>
      <w:r w:rsidRPr="00F54B7F">
        <w:t>.</w:t>
      </w:r>
    </w:p>
    <w:p w14:paraId="0D318BC3" w14:textId="603BF516" w:rsidR="00F54B7F" w:rsidRPr="00F54B7F" w:rsidRDefault="00F54B7F">
      <w:pPr>
        <w:pStyle w:val="Paragraphedeliste"/>
        <w:numPr>
          <w:ilvl w:val="0"/>
          <w:numId w:val="26"/>
        </w:numPr>
        <w:rPr>
          <w:lang w:val="fr-SN"/>
        </w:rPr>
      </w:pPr>
      <w:r w:rsidRPr="00F54B7F">
        <w:rPr>
          <w:b/>
          <w:bCs/>
        </w:rPr>
        <w:t>Banque Mondiale</w:t>
      </w:r>
      <w:r w:rsidRPr="00F54B7F">
        <w:t xml:space="preserve">. </w:t>
      </w:r>
      <w:r w:rsidRPr="00F54B7F">
        <w:rPr>
          <w:i/>
          <w:iCs/>
        </w:rPr>
        <w:t xml:space="preserve">Population urbaine (% de la population totale) </w:t>
      </w:r>
      <w:r>
        <w:rPr>
          <w:i/>
          <w:iCs/>
        </w:rPr>
        <w:t>–</w:t>
      </w:r>
      <w:r w:rsidRPr="00F54B7F">
        <w:rPr>
          <w:i/>
          <w:iCs/>
        </w:rPr>
        <w:t xml:space="preserve"> Sénégal</w:t>
      </w:r>
    </w:p>
    <w:p w14:paraId="6F991733" w14:textId="60FC6657" w:rsidR="00F54B7F" w:rsidRPr="00F54B7F" w:rsidRDefault="00F54B7F">
      <w:pPr>
        <w:pStyle w:val="Paragraphedeliste"/>
        <w:numPr>
          <w:ilvl w:val="0"/>
          <w:numId w:val="26"/>
        </w:numPr>
        <w:rPr>
          <w:lang w:val="fr-SN"/>
        </w:rPr>
      </w:pPr>
      <w:r>
        <w:rPr>
          <w:b/>
          <w:bCs/>
        </w:rPr>
        <w:t>ANSD.</w:t>
      </w:r>
      <w:r>
        <w:rPr>
          <w:lang w:val="fr-SN"/>
        </w:rPr>
        <w:t xml:space="preserve"> </w:t>
      </w:r>
      <w:r w:rsidRPr="00F54B7F">
        <w:rPr>
          <w:i/>
          <w:iCs/>
        </w:rPr>
        <w:t>Note d'Analyse du Commerce Extérieur (NACE) 2021</w:t>
      </w:r>
      <w:r w:rsidRPr="00F54B7F">
        <w:t>. Rapport, décembre 2022.</w:t>
      </w:r>
    </w:p>
    <w:p w14:paraId="43A665BC" w14:textId="2007C59C" w:rsidR="00F54B7F" w:rsidRPr="00F54B7F" w:rsidRDefault="00F54B7F">
      <w:pPr>
        <w:pStyle w:val="Paragraphedeliste"/>
        <w:numPr>
          <w:ilvl w:val="0"/>
          <w:numId w:val="26"/>
        </w:numPr>
        <w:rPr>
          <w:lang w:val="fr-SN"/>
        </w:rPr>
      </w:pPr>
      <w:r w:rsidRPr="00F54B7F">
        <w:rPr>
          <w:b/>
          <w:bCs/>
        </w:rPr>
        <w:t>Ministère du Commerce du Sénégal</w:t>
      </w:r>
      <w:r w:rsidRPr="00F54B7F">
        <w:t xml:space="preserve">. </w:t>
      </w:r>
      <w:r w:rsidRPr="00F54B7F">
        <w:rPr>
          <w:i/>
          <w:iCs/>
        </w:rPr>
        <w:t>Statistiques des importations de tissus et de vêtements, 2021</w:t>
      </w:r>
      <w:r w:rsidRPr="00F54B7F">
        <w:t>.</w:t>
      </w:r>
    </w:p>
    <w:p w14:paraId="5C163F7F" w14:textId="535A85EE" w:rsidR="00F54B7F" w:rsidRPr="001E54C1" w:rsidRDefault="00F54B7F">
      <w:pPr>
        <w:pStyle w:val="Paragraphedeliste"/>
        <w:numPr>
          <w:ilvl w:val="0"/>
          <w:numId w:val="26"/>
        </w:numPr>
        <w:rPr>
          <w:lang w:val="fr-SN"/>
        </w:rPr>
      </w:pPr>
      <w:r>
        <w:rPr>
          <w:b/>
          <w:bCs/>
        </w:rPr>
        <w:t>ANSD</w:t>
      </w:r>
      <w:r>
        <w:t xml:space="preserve">. </w:t>
      </w:r>
      <w:r w:rsidRPr="00F54B7F">
        <w:rPr>
          <w:i/>
          <w:iCs/>
        </w:rPr>
        <w:t>Enquête Harmonisée sur les Conditions de Vie des Ménages (EHCVM) 2021-2022</w:t>
      </w:r>
      <w:r w:rsidRPr="00F54B7F">
        <w:t>. Rapport final, juillet 2024.</w:t>
      </w:r>
    </w:p>
    <w:p w14:paraId="696D0497" w14:textId="6D52E279" w:rsidR="001E54C1" w:rsidRPr="002077D1" w:rsidRDefault="002077D1">
      <w:pPr>
        <w:pStyle w:val="Paragraphedeliste"/>
        <w:numPr>
          <w:ilvl w:val="0"/>
          <w:numId w:val="26"/>
        </w:numPr>
        <w:rPr>
          <w:b/>
          <w:bCs/>
          <w:lang w:val="fr-SN"/>
        </w:rPr>
      </w:pPr>
      <w:r w:rsidRPr="002077D1">
        <w:rPr>
          <w:b/>
          <w:bCs/>
        </w:rPr>
        <w:t>Ministère de la Santé et de l'Action Sociale</w:t>
      </w:r>
      <w:r>
        <w:rPr>
          <w:b/>
          <w:bCs/>
        </w:rPr>
        <w:t>.</w:t>
      </w:r>
      <w:r w:rsidRPr="002077D1">
        <w:rPr>
          <w:i/>
          <w:iCs/>
        </w:rPr>
        <w:t xml:space="preserve"> Rapport des Comptes de la Santé 2014-2016</w:t>
      </w:r>
      <w:r w:rsidRPr="002077D1">
        <w:t>.</w:t>
      </w:r>
    </w:p>
    <w:p w14:paraId="25A3708C" w14:textId="682FB5C0" w:rsidR="002077D1" w:rsidRPr="002077D1" w:rsidRDefault="002077D1">
      <w:pPr>
        <w:pStyle w:val="Paragraphedeliste"/>
        <w:numPr>
          <w:ilvl w:val="0"/>
          <w:numId w:val="26"/>
        </w:numPr>
        <w:rPr>
          <w:lang w:val="fr-SN"/>
        </w:rPr>
      </w:pPr>
      <w:r w:rsidRPr="002077D1">
        <w:rPr>
          <w:b/>
          <w:bCs/>
        </w:rPr>
        <w:t xml:space="preserve">Direction Générale des Douanes du Sénégal. </w:t>
      </w:r>
      <w:r w:rsidRPr="002077D1">
        <w:rPr>
          <w:i/>
          <w:iCs/>
        </w:rPr>
        <w:t>Statistiques des importations de véhicules 2013-2014</w:t>
      </w:r>
      <w:r w:rsidRPr="002077D1">
        <w:t>.</w:t>
      </w:r>
    </w:p>
    <w:p w14:paraId="4718F9F8" w14:textId="71A177F4" w:rsidR="002077D1" w:rsidRPr="002077D1" w:rsidRDefault="002077D1">
      <w:pPr>
        <w:pStyle w:val="Paragraphedeliste"/>
        <w:numPr>
          <w:ilvl w:val="0"/>
          <w:numId w:val="26"/>
        </w:numPr>
        <w:rPr>
          <w:lang w:val="fr-SN"/>
        </w:rPr>
      </w:pPr>
      <w:r w:rsidRPr="002077D1">
        <w:rPr>
          <w:b/>
          <w:bCs/>
        </w:rPr>
        <w:t>Autorité de Régulation des Télécommunications et des Postes (ARTP)</w:t>
      </w:r>
      <w:r w:rsidRPr="002077D1">
        <w:t xml:space="preserve">. </w:t>
      </w:r>
      <w:r w:rsidRPr="002077D1">
        <w:rPr>
          <w:i/>
          <w:iCs/>
        </w:rPr>
        <w:t>Rapport sur le marché des communications électroniques 2022</w:t>
      </w:r>
      <w:r w:rsidRPr="002077D1">
        <w:t>. ARTP, Dakar, 2023.</w:t>
      </w:r>
    </w:p>
    <w:p w14:paraId="4B05C0CB" w14:textId="77777777" w:rsidR="0023656B" w:rsidRDefault="002077D1">
      <w:pPr>
        <w:pStyle w:val="Paragraphedeliste"/>
        <w:numPr>
          <w:ilvl w:val="0"/>
          <w:numId w:val="26"/>
        </w:numPr>
      </w:pPr>
      <w:r w:rsidRPr="002077D1">
        <w:rPr>
          <w:b/>
          <w:bCs/>
        </w:rPr>
        <w:t>Ministère de l'Enseignement Supérieur, de la Recherche et de l'Innovation (MESRI)</w:t>
      </w:r>
      <w:r w:rsidRPr="002077D1">
        <w:t xml:space="preserve">. </w:t>
      </w:r>
      <w:r w:rsidRPr="002077D1">
        <w:rPr>
          <w:i/>
          <w:iCs/>
        </w:rPr>
        <w:t>Rapport sur la situation de l'enseignement supérieur au Sénégal</w:t>
      </w:r>
      <w:r w:rsidRPr="002077D1">
        <w:t>.</w:t>
      </w:r>
    </w:p>
    <w:p w14:paraId="268A7F4C" w14:textId="77777777" w:rsidR="0023656B" w:rsidRDefault="0023656B" w:rsidP="0023656B">
      <w:pPr>
        <w:sectPr w:rsidR="0023656B" w:rsidSect="0003278A">
          <w:pgSz w:w="12240" w:h="15840"/>
          <w:pgMar w:top="1440" w:right="1440" w:bottom="1440" w:left="1440" w:header="720" w:footer="720" w:gutter="0"/>
          <w:pgNumType w:fmt="lowerLetter" w:start="1"/>
          <w:cols w:space="720"/>
          <w:docGrid w:linePitch="360"/>
        </w:sectPr>
      </w:pPr>
    </w:p>
    <w:p w14:paraId="17DFB658" w14:textId="218F308B" w:rsidR="00D60FD8" w:rsidRDefault="00D60FD8" w:rsidP="00D60FD8">
      <w:pPr>
        <w:pStyle w:val="Titre1"/>
      </w:pPr>
      <w:bookmarkStart w:id="87" w:name="_Toc182822580"/>
      <w:r>
        <w:t>Table des matières</w:t>
      </w:r>
      <w:bookmarkEnd w:id="87"/>
    </w:p>
    <w:p w14:paraId="7E943490" w14:textId="77777777" w:rsidR="00D60FD8" w:rsidRDefault="00D60FD8">
      <w:pPr>
        <w:pStyle w:val="TM1"/>
        <w:tabs>
          <w:tab w:val="right" w:leader="dot" w:pos="9350"/>
        </w:tabs>
      </w:pPr>
    </w:p>
    <w:p w14:paraId="363A8AB0" w14:textId="6958BFEF" w:rsidR="004203A2" w:rsidRPr="002516B1" w:rsidRDefault="00D60FD8">
      <w:pPr>
        <w:pStyle w:val="TM1"/>
        <w:tabs>
          <w:tab w:val="right" w:leader="dot" w:pos="9350"/>
        </w:tabs>
        <w:rPr>
          <w:rFonts w:eastAsiaTheme="minorEastAsia" w:cstheme="minorBidi"/>
          <w:i w:val="0"/>
          <w:iCs w:val="0"/>
          <w:noProof/>
          <w:lang w:val="fr-SN" w:eastAsia="fr-SN"/>
        </w:rPr>
      </w:pPr>
      <w:r w:rsidRPr="002516B1">
        <w:fldChar w:fldCharType="begin"/>
      </w:r>
      <w:r w:rsidRPr="002516B1">
        <w:instrText xml:space="preserve"> TOC \o "1-3" \h \z \u </w:instrText>
      </w:r>
      <w:r w:rsidRPr="002516B1">
        <w:fldChar w:fldCharType="separate"/>
      </w:r>
      <w:hyperlink w:anchor="_Toc182822548" w:history="1">
        <w:r w:rsidR="004203A2" w:rsidRPr="002516B1">
          <w:rPr>
            <w:rStyle w:val="Hyperlien"/>
            <w:noProof/>
          </w:rPr>
          <w:t>Décharge</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_Toc182822548 \h </w:instrText>
        </w:r>
        <w:r w:rsidR="004203A2" w:rsidRPr="002516B1">
          <w:rPr>
            <w:noProof/>
            <w:webHidden/>
          </w:rPr>
        </w:r>
        <w:r w:rsidR="004203A2" w:rsidRPr="002516B1">
          <w:rPr>
            <w:noProof/>
            <w:webHidden/>
          </w:rPr>
          <w:fldChar w:fldCharType="separate"/>
        </w:r>
        <w:r w:rsidR="00427D57">
          <w:rPr>
            <w:noProof/>
            <w:webHidden/>
          </w:rPr>
          <w:t>i</w:t>
        </w:r>
        <w:r w:rsidR="004203A2" w:rsidRPr="002516B1">
          <w:rPr>
            <w:noProof/>
            <w:webHidden/>
          </w:rPr>
          <w:fldChar w:fldCharType="end"/>
        </w:r>
      </w:hyperlink>
    </w:p>
    <w:p w14:paraId="7EE7448C" w14:textId="7295BADB" w:rsidR="004203A2" w:rsidRPr="002516B1" w:rsidRDefault="00000000">
      <w:pPr>
        <w:pStyle w:val="TM1"/>
        <w:tabs>
          <w:tab w:val="right" w:leader="dot" w:pos="9350"/>
        </w:tabs>
        <w:rPr>
          <w:rFonts w:eastAsiaTheme="minorEastAsia" w:cstheme="minorBidi"/>
          <w:i w:val="0"/>
          <w:iCs w:val="0"/>
          <w:noProof/>
          <w:lang w:val="fr-SN" w:eastAsia="fr-SN"/>
        </w:rPr>
      </w:pPr>
      <w:hyperlink w:anchor="_Toc182822549" w:history="1">
        <w:r w:rsidR="004203A2" w:rsidRPr="002516B1">
          <w:rPr>
            <w:rStyle w:val="Hyperlien"/>
            <w:noProof/>
          </w:rPr>
          <w:t>Remerciement</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_Toc182822549 \h </w:instrText>
        </w:r>
        <w:r w:rsidR="004203A2" w:rsidRPr="002516B1">
          <w:rPr>
            <w:noProof/>
            <w:webHidden/>
          </w:rPr>
        </w:r>
        <w:r w:rsidR="004203A2" w:rsidRPr="002516B1">
          <w:rPr>
            <w:noProof/>
            <w:webHidden/>
          </w:rPr>
          <w:fldChar w:fldCharType="separate"/>
        </w:r>
        <w:r w:rsidR="00427D57">
          <w:rPr>
            <w:noProof/>
            <w:webHidden/>
          </w:rPr>
          <w:t>ii</w:t>
        </w:r>
        <w:r w:rsidR="004203A2" w:rsidRPr="002516B1">
          <w:rPr>
            <w:noProof/>
            <w:webHidden/>
          </w:rPr>
          <w:fldChar w:fldCharType="end"/>
        </w:r>
      </w:hyperlink>
    </w:p>
    <w:p w14:paraId="093D9B0F" w14:textId="0FEF7F01"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0" w:history="1">
        <w:r w:rsidR="004203A2" w:rsidRPr="002516B1">
          <w:rPr>
            <w:rStyle w:val="Hyperlien"/>
            <w:noProof/>
          </w:rPr>
          <w:t>Avant-propos</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_Toc182822550 \h </w:instrText>
        </w:r>
        <w:r w:rsidR="004203A2" w:rsidRPr="002516B1">
          <w:rPr>
            <w:noProof/>
            <w:webHidden/>
          </w:rPr>
        </w:r>
        <w:r w:rsidR="004203A2" w:rsidRPr="002516B1">
          <w:rPr>
            <w:noProof/>
            <w:webHidden/>
          </w:rPr>
          <w:fldChar w:fldCharType="separate"/>
        </w:r>
        <w:r w:rsidR="00427D57">
          <w:rPr>
            <w:noProof/>
            <w:webHidden/>
          </w:rPr>
          <w:t>iii</w:t>
        </w:r>
        <w:r w:rsidR="004203A2" w:rsidRPr="002516B1">
          <w:rPr>
            <w:noProof/>
            <w:webHidden/>
          </w:rPr>
          <w:fldChar w:fldCharType="end"/>
        </w:r>
      </w:hyperlink>
    </w:p>
    <w:p w14:paraId="1B724D04" w14:textId="6BFE1439"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1" w:history="1">
        <w:r w:rsidR="004203A2" w:rsidRPr="002516B1">
          <w:rPr>
            <w:rStyle w:val="Hyperlien"/>
            <w:noProof/>
          </w:rPr>
          <w:t>Sommaire</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_Toc182822551 \h </w:instrText>
        </w:r>
        <w:r w:rsidR="004203A2" w:rsidRPr="002516B1">
          <w:rPr>
            <w:noProof/>
            <w:webHidden/>
          </w:rPr>
        </w:r>
        <w:r w:rsidR="004203A2" w:rsidRPr="002516B1">
          <w:rPr>
            <w:noProof/>
            <w:webHidden/>
          </w:rPr>
          <w:fldChar w:fldCharType="separate"/>
        </w:r>
        <w:r w:rsidR="00427D57">
          <w:rPr>
            <w:noProof/>
            <w:webHidden/>
          </w:rPr>
          <w:t>iv</w:t>
        </w:r>
        <w:r w:rsidR="004203A2" w:rsidRPr="002516B1">
          <w:rPr>
            <w:noProof/>
            <w:webHidden/>
          </w:rPr>
          <w:fldChar w:fldCharType="end"/>
        </w:r>
      </w:hyperlink>
    </w:p>
    <w:p w14:paraId="0B015FA2" w14:textId="6E0BA60C"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2" w:history="1">
        <w:r w:rsidR="004203A2" w:rsidRPr="002516B1">
          <w:rPr>
            <w:rStyle w:val="Hyperlien"/>
            <w:noProof/>
          </w:rPr>
          <w:t>Sigles et abréviations</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_Toc182822552 \h </w:instrText>
        </w:r>
        <w:r w:rsidR="004203A2" w:rsidRPr="002516B1">
          <w:rPr>
            <w:noProof/>
            <w:webHidden/>
          </w:rPr>
        </w:r>
        <w:r w:rsidR="004203A2" w:rsidRPr="002516B1">
          <w:rPr>
            <w:noProof/>
            <w:webHidden/>
          </w:rPr>
          <w:fldChar w:fldCharType="separate"/>
        </w:r>
        <w:r w:rsidR="00427D57">
          <w:rPr>
            <w:noProof/>
            <w:webHidden/>
          </w:rPr>
          <w:t>v</w:t>
        </w:r>
        <w:r w:rsidR="004203A2" w:rsidRPr="002516B1">
          <w:rPr>
            <w:noProof/>
            <w:webHidden/>
          </w:rPr>
          <w:fldChar w:fldCharType="end"/>
        </w:r>
      </w:hyperlink>
    </w:p>
    <w:p w14:paraId="4EBE80C6" w14:textId="799B195E"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3" w:history="1">
        <w:r w:rsidR="004203A2" w:rsidRPr="002516B1">
          <w:rPr>
            <w:rStyle w:val="Hyperlien"/>
            <w:noProof/>
          </w:rPr>
          <w:t>Liste des tableaux</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_Toc182822553 \h </w:instrText>
        </w:r>
        <w:r w:rsidR="004203A2" w:rsidRPr="002516B1">
          <w:rPr>
            <w:noProof/>
            <w:webHidden/>
          </w:rPr>
        </w:r>
        <w:r w:rsidR="004203A2" w:rsidRPr="002516B1">
          <w:rPr>
            <w:noProof/>
            <w:webHidden/>
          </w:rPr>
          <w:fldChar w:fldCharType="separate"/>
        </w:r>
        <w:r w:rsidR="00427D57">
          <w:rPr>
            <w:noProof/>
            <w:webHidden/>
          </w:rPr>
          <w:t>vi</w:t>
        </w:r>
        <w:r w:rsidR="004203A2" w:rsidRPr="002516B1">
          <w:rPr>
            <w:noProof/>
            <w:webHidden/>
          </w:rPr>
          <w:fldChar w:fldCharType="end"/>
        </w:r>
      </w:hyperlink>
    </w:p>
    <w:p w14:paraId="7D5F0B3C" w14:textId="1C34903C"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4" w:history="1">
        <w:r w:rsidR="004203A2" w:rsidRPr="002516B1">
          <w:rPr>
            <w:rStyle w:val="Hyperlien"/>
            <w:noProof/>
          </w:rPr>
          <w:t>Liste des Graphiques</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_Toc182822554 \h </w:instrText>
        </w:r>
        <w:r w:rsidR="004203A2" w:rsidRPr="002516B1">
          <w:rPr>
            <w:noProof/>
            <w:webHidden/>
          </w:rPr>
        </w:r>
        <w:r w:rsidR="004203A2" w:rsidRPr="002516B1">
          <w:rPr>
            <w:noProof/>
            <w:webHidden/>
          </w:rPr>
          <w:fldChar w:fldCharType="separate"/>
        </w:r>
        <w:r w:rsidR="00427D57">
          <w:rPr>
            <w:noProof/>
            <w:webHidden/>
          </w:rPr>
          <w:t>vii</w:t>
        </w:r>
        <w:r w:rsidR="004203A2" w:rsidRPr="002516B1">
          <w:rPr>
            <w:noProof/>
            <w:webHidden/>
          </w:rPr>
          <w:fldChar w:fldCharType="end"/>
        </w:r>
      </w:hyperlink>
    </w:p>
    <w:p w14:paraId="423EFECC" w14:textId="1151A3E2"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5" w:history="1">
        <w:r w:rsidR="004203A2" w:rsidRPr="002516B1">
          <w:rPr>
            <w:rStyle w:val="Hyperlien"/>
            <w:noProof/>
          </w:rPr>
          <w:t>Résumé</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_Toc182822555 \h </w:instrText>
        </w:r>
        <w:r w:rsidR="004203A2" w:rsidRPr="002516B1">
          <w:rPr>
            <w:noProof/>
            <w:webHidden/>
          </w:rPr>
        </w:r>
        <w:r w:rsidR="004203A2" w:rsidRPr="002516B1">
          <w:rPr>
            <w:noProof/>
            <w:webHidden/>
          </w:rPr>
          <w:fldChar w:fldCharType="separate"/>
        </w:r>
        <w:r w:rsidR="00427D57">
          <w:rPr>
            <w:noProof/>
            <w:webHidden/>
          </w:rPr>
          <w:t>viii</w:t>
        </w:r>
        <w:r w:rsidR="004203A2" w:rsidRPr="002516B1">
          <w:rPr>
            <w:noProof/>
            <w:webHidden/>
          </w:rPr>
          <w:fldChar w:fldCharType="end"/>
        </w:r>
      </w:hyperlink>
    </w:p>
    <w:p w14:paraId="05C1B7A6" w14:textId="63596107"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6" w:history="1">
        <w:r w:rsidR="004203A2" w:rsidRPr="002516B1">
          <w:rPr>
            <w:rStyle w:val="Hyperlien"/>
            <w:noProof/>
          </w:rPr>
          <w:t>Introduction</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_Toc182822556 \h </w:instrText>
        </w:r>
        <w:r w:rsidR="004203A2" w:rsidRPr="002516B1">
          <w:rPr>
            <w:noProof/>
            <w:webHidden/>
          </w:rPr>
        </w:r>
        <w:r w:rsidR="004203A2" w:rsidRPr="002516B1">
          <w:rPr>
            <w:noProof/>
            <w:webHidden/>
          </w:rPr>
          <w:fldChar w:fldCharType="separate"/>
        </w:r>
        <w:r w:rsidR="00427D57">
          <w:rPr>
            <w:noProof/>
            <w:webHidden/>
          </w:rPr>
          <w:t>1</w:t>
        </w:r>
        <w:r w:rsidR="004203A2" w:rsidRPr="002516B1">
          <w:rPr>
            <w:noProof/>
            <w:webHidden/>
          </w:rPr>
          <w:fldChar w:fldCharType="end"/>
        </w:r>
      </w:hyperlink>
    </w:p>
    <w:p w14:paraId="73AEFF1E" w14:textId="5C91D2B6" w:rsidR="004203A2" w:rsidRPr="002516B1" w:rsidRDefault="00000000">
      <w:pPr>
        <w:pStyle w:val="TM1"/>
        <w:tabs>
          <w:tab w:val="right" w:leader="dot" w:pos="9350"/>
        </w:tabs>
        <w:rPr>
          <w:rFonts w:eastAsiaTheme="minorEastAsia" w:cstheme="minorBidi"/>
          <w:i w:val="0"/>
          <w:iCs w:val="0"/>
          <w:noProof/>
          <w:lang w:val="fr-SN" w:eastAsia="fr-SN"/>
        </w:rPr>
      </w:pPr>
      <w:hyperlink w:anchor="_Toc182822557" w:history="1">
        <w:r w:rsidR="004203A2" w:rsidRPr="002516B1">
          <w:rPr>
            <w:rStyle w:val="Hyperlien"/>
            <w:noProof/>
          </w:rPr>
          <w:t>Chapitre 1 : Présentation de la structure d’accueil</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_Toc182822557 \h </w:instrText>
        </w:r>
        <w:r w:rsidR="004203A2" w:rsidRPr="002516B1">
          <w:rPr>
            <w:noProof/>
            <w:webHidden/>
          </w:rPr>
        </w:r>
        <w:r w:rsidR="004203A2" w:rsidRPr="002516B1">
          <w:rPr>
            <w:noProof/>
            <w:webHidden/>
          </w:rPr>
          <w:fldChar w:fldCharType="separate"/>
        </w:r>
        <w:r w:rsidR="00427D57">
          <w:rPr>
            <w:noProof/>
            <w:webHidden/>
          </w:rPr>
          <w:t>3</w:t>
        </w:r>
        <w:r w:rsidR="004203A2" w:rsidRPr="002516B1">
          <w:rPr>
            <w:noProof/>
            <w:webHidden/>
          </w:rPr>
          <w:fldChar w:fldCharType="end"/>
        </w:r>
      </w:hyperlink>
    </w:p>
    <w:p w14:paraId="1B7E1B5C" w14:textId="7408D51A" w:rsidR="004203A2" w:rsidRPr="002516B1" w:rsidRDefault="00000000">
      <w:pPr>
        <w:pStyle w:val="TM2"/>
        <w:tabs>
          <w:tab w:val="right" w:leader="dot" w:pos="9350"/>
        </w:tabs>
        <w:rPr>
          <w:rFonts w:eastAsiaTheme="minorEastAsia" w:cstheme="minorBidi"/>
          <w:noProof/>
          <w:sz w:val="24"/>
          <w:szCs w:val="24"/>
          <w:lang w:val="fr-SN" w:eastAsia="fr-SN"/>
        </w:rPr>
      </w:pPr>
      <w:hyperlink w:anchor="_Toc182822558" w:history="1">
        <w:r w:rsidR="004203A2" w:rsidRPr="002516B1">
          <w:rPr>
            <w:rStyle w:val="Hyperlien"/>
            <w:noProof/>
          </w:rPr>
          <w:t>1. Historique de l’ANSD</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_Toc182822558 \h </w:instrText>
        </w:r>
        <w:r w:rsidR="004203A2" w:rsidRPr="002516B1">
          <w:rPr>
            <w:noProof/>
            <w:webHidden/>
          </w:rPr>
        </w:r>
        <w:r w:rsidR="004203A2" w:rsidRPr="002516B1">
          <w:rPr>
            <w:noProof/>
            <w:webHidden/>
          </w:rPr>
          <w:fldChar w:fldCharType="separate"/>
        </w:r>
        <w:r w:rsidR="00427D57">
          <w:rPr>
            <w:noProof/>
            <w:webHidden/>
          </w:rPr>
          <w:t>3</w:t>
        </w:r>
        <w:r w:rsidR="004203A2" w:rsidRPr="002516B1">
          <w:rPr>
            <w:noProof/>
            <w:webHidden/>
          </w:rPr>
          <w:fldChar w:fldCharType="end"/>
        </w:r>
      </w:hyperlink>
    </w:p>
    <w:p w14:paraId="4FEC5CD5" w14:textId="7B0A3BFC" w:rsidR="004203A2" w:rsidRPr="002516B1" w:rsidRDefault="00000000">
      <w:pPr>
        <w:pStyle w:val="TM2"/>
        <w:tabs>
          <w:tab w:val="right" w:leader="dot" w:pos="9350"/>
        </w:tabs>
        <w:rPr>
          <w:rFonts w:eastAsiaTheme="minorEastAsia" w:cstheme="minorBidi"/>
          <w:i/>
          <w:iCs/>
          <w:noProof/>
          <w:sz w:val="24"/>
          <w:szCs w:val="24"/>
          <w:lang w:val="fr-SN" w:eastAsia="fr-SN"/>
        </w:rPr>
      </w:pPr>
      <w:hyperlink w:anchor="_Toc182822559" w:history="1">
        <w:r w:rsidR="004203A2" w:rsidRPr="002516B1">
          <w:rPr>
            <w:rStyle w:val="Hyperlien"/>
            <w:i/>
            <w:iCs/>
            <w:noProof/>
          </w:rPr>
          <w:t>2. Missions de l’ANSD</w:t>
        </w:r>
        <w:r w:rsidR="004203A2" w:rsidRPr="002516B1">
          <w:rPr>
            <w:i/>
            <w:iCs/>
            <w:noProof/>
            <w:webHidden/>
          </w:rPr>
          <w:tab/>
        </w:r>
        <w:r w:rsidR="004203A2" w:rsidRPr="002516B1">
          <w:rPr>
            <w:i/>
            <w:iCs/>
            <w:noProof/>
            <w:webHidden/>
          </w:rPr>
          <w:fldChar w:fldCharType="begin"/>
        </w:r>
        <w:r w:rsidR="004203A2" w:rsidRPr="002516B1">
          <w:rPr>
            <w:i/>
            <w:iCs/>
            <w:noProof/>
            <w:webHidden/>
          </w:rPr>
          <w:instrText xml:space="preserve"> PAGEREF _Toc182822559 \h </w:instrText>
        </w:r>
        <w:r w:rsidR="004203A2" w:rsidRPr="002516B1">
          <w:rPr>
            <w:i/>
            <w:iCs/>
            <w:noProof/>
            <w:webHidden/>
          </w:rPr>
        </w:r>
        <w:r w:rsidR="004203A2" w:rsidRPr="002516B1">
          <w:rPr>
            <w:i/>
            <w:iCs/>
            <w:noProof/>
            <w:webHidden/>
          </w:rPr>
          <w:fldChar w:fldCharType="separate"/>
        </w:r>
        <w:r w:rsidR="00427D57">
          <w:rPr>
            <w:i/>
            <w:iCs/>
            <w:noProof/>
            <w:webHidden/>
          </w:rPr>
          <w:t>4</w:t>
        </w:r>
        <w:r w:rsidR="004203A2" w:rsidRPr="002516B1">
          <w:rPr>
            <w:i/>
            <w:iCs/>
            <w:noProof/>
            <w:webHidden/>
          </w:rPr>
          <w:fldChar w:fldCharType="end"/>
        </w:r>
      </w:hyperlink>
    </w:p>
    <w:p w14:paraId="39B22B00" w14:textId="2F890B16" w:rsidR="004203A2" w:rsidRPr="002516B1" w:rsidRDefault="00000000">
      <w:pPr>
        <w:pStyle w:val="TM2"/>
        <w:tabs>
          <w:tab w:val="right" w:leader="dot" w:pos="9350"/>
        </w:tabs>
        <w:rPr>
          <w:rFonts w:eastAsiaTheme="minorEastAsia" w:cstheme="minorBidi"/>
          <w:i/>
          <w:iCs/>
          <w:noProof/>
          <w:sz w:val="24"/>
          <w:szCs w:val="24"/>
          <w:lang w:val="fr-SN" w:eastAsia="fr-SN"/>
        </w:rPr>
      </w:pPr>
      <w:hyperlink w:anchor="_Toc182822560" w:history="1">
        <w:r w:rsidR="004203A2" w:rsidRPr="002516B1">
          <w:rPr>
            <w:rStyle w:val="Hyperlien"/>
            <w:i/>
            <w:iCs/>
            <w:noProof/>
          </w:rPr>
          <w:t>3. Organisation de l’ANSD</w:t>
        </w:r>
        <w:r w:rsidR="004203A2" w:rsidRPr="002516B1">
          <w:rPr>
            <w:i/>
            <w:iCs/>
            <w:noProof/>
            <w:webHidden/>
          </w:rPr>
          <w:tab/>
        </w:r>
        <w:r w:rsidR="004203A2" w:rsidRPr="002516B1">
          <w:rPr>
            <w:i/>
            <w:iCs/>
            <w:noProof/>
            <w:webHidden/>
          </w:rPr>
          <w:fldChar w:fldCharType="begin"/>
        </w:r>
        <w:r w:rsidR="004203A2" w:rsidRPr="002516B1">
          <w:rPr>
            <w:i/>
            <w:iCs/>
            <w:noProof/>
            <w:webHidden/>
          </w:rPr>
          <w:instrText xml:space="preserve"> PAGEREF _Toc182822560 \h </w:instrText>
        </w:r>
        <w:r w:rsidR="004203A2" w:rsidRPr="002516B1">
          <w:rPr>
            <w:i/>
            <w:iCs/>
            <w:noProof/>
            <w:webHidden/>
          </w:rPr>
        </w:r>
        <w:r w:rsidR="004203A2" w:rsidRPr="002516B1">
          <w:rPr>
            <w:i/>
            <w:iCs/>
            <w:noProof/>
            <w:webHidden/>
          </w:rPr>
          <w:fldChar w:fldCharType="separate"/>
        </w:r>
        <w:r w:rsidR="00427D57">
          <w:rPr>
            <w:i/>
            <w:iCs/>
            <w:noProof/>
            <w:webHidden/>
          </w:rPr>
          <w:t>5</w:t>
        </w:r>
        <w:r w:rsidR="004203A2" w:rsidRPr="002516B1">
          <w:rPr>
            <w:i/>
            <w:iCs/>
            <w:noProof/>
            <w:webHidden/>
          </w:rPr>
          <w:fldChar w:fldCharType="end"/>
        </w:r>
      </w:hyperlink>
    </w:p>
    <w:p w14:paraId="03286DC1" w14:textId="094C7C0C" w:rsidR="004203A2" w:rsidRPr="002516B1" w:rsidRDefault="00000000">
      <w:pPr>
        <w:pStyle w:val="TM3"/>
        <w:tabs>
          <w:tab w:val="left" w:pos="1200"/>
          <w:tab w:val="right" w:leader="dot" w:pos="9350"/>
        </w:tabs>
        <w:rPr>
          <w:rFonts w:eastAsiaTheme="minorEastAsia" w:cstheme="minorBidi"/>
          <w:b/>
          <w:bCs/>
          <w:i/>
          <w:iCs/>
          <w:noProof/>
          <w:sz w:val="24"/>
          <w:szCs w:val="24"/>
          <w:lang w:val="fr-SN" w:eastAsia="fr-SN"/>
        </w:rPr>
      </w:pPr>
      <w:hyperlink w:anchor="_Toc182822561" w:history="1">
        <w:r w:rsidR="004203A2" w:rsidRPr="002516B1">
          <w:rPr>
            <w:rStyle w:val="Hyperlien"/>
            <w:b/>
            <w:bCs/>
            <w:i/>
            <w:iCs/>
            <w:noProof/>
          </w:rPr>
          <w:t>3.1</w:t>
        </w:r>
        <w:r w:rsidR="004203A2" w:rsidRPr="002516B1">
          <w:rPr>
            <w:rFonts w:eastAsiaTheme="minorEastAsia" w:cstheme="minorBidi"/>
            <w:b/>
            <w:bCs/>
            <w:i/>
            <w:iCs/>
            <w:noProof/>
            <w:sz w:val="24"/>
            <w:szCs w:val="24"/>
            <w:lang w:val="fr-SN" w:eastAsia="fr-SN"/>
          </w:rPr>
          <w:tab/>
        </w:r>
        <w:r w:rsidR="004203A2" w:rsidRPr="002516B1">
          <w:rPr>
            <w:rStyle w:val="Hyperlien"/>
            <w:b/>
            <w:bCs/>
            <w:i/>
            <w:iCs/>
            <w:noProof/>
          </w:rPr>
          <w:t>Présentation des directions</w:t>
        </w:r>
        <w:r w:rsidR="004203A2" w:rsidRPr="002516B1">
          <w:rPr>
            <w:b/>
            <w:bCs/>
            <w:i/>
            <w:iCs/>
            <w:noProof/>
            <w:webHidden/>
          </w:rPr>
          <w:tab/>
        </w:r>
        <w:r w:rsidR="004203A2" w:rsidRPr="002516B1">
          <w:rPr>
            <w:b/>
            <w:bCs/>
            <w:i/>
            <w:iCs/>
            <w:noProof/>
            <w:webHidden/>
          </w:rPr>
          <w:fldChar w:fldCharType="begin"/>
        </w:r>
        <w:r w:rsidR="004203A2" w:rsidRPr="002516B1">
          <w:rPr>
            <w:b/>
            <w:bCs/>
            <w:i/>
            <w:iCs/>
            <w:noProof/>
            <w:webHidden/>
          </w:rPr>
          <w:instrText xml:space="preserve"> PAGEREF _Toc182822561 \h </w:instrText>
        </w:r>
        <w:r w:rsidR="004203A2" w:rsidRPr="002516B1">
          <w:rPr>
            <w:b/>
            <w:bCs/>
            <w:i/>
            <w:iCs/>
            <w:noProof/>
            <w:webHidden/>
          </w:rPr>
        </w:r>
        <w:r w:rsidR="004203A2" w:rsidRPr="002516B1">
          <w:rPr>
            <w:b/>
            <w:bCs/>
            <w:i/>
            <w:iCs/>
            <w:noProof/>
            <w:webHidden/>
          </w:rPr>
          <w:fldChar w:fldCharType="separate"/>
        </w:r>
        <w:r w:rsidR="00427D57">
          <w:rPr>
            <w:b/>
            <w:bCs/>
            <w:i/>
            <w:iCs/>
            <w:noProof/>
            <w:webHidden/>
          </w:rPr>
          <w:t>5</w:t>
        </w:r>
        <w:r w:rsidR="004203A2" w:rsidRPr="002516B1">
          <w:rPr>
            <w:b/>
            <w:bCs/>
            <w:i/>
            <w:iCs/>
            <w:noProof/>
            <w:webHidden/>
          </w:rPr>
          <w:fldChar w:fldCharType="end"/>
        </w:r>
      </w:hyperlink>
    </w:p>
    <w:p w14:paraId="410734EB" w14:textId="5F93BA86" w:rsidR="004203A2" w:rsidRPr="002516B1" w:rsidRDefault="00000000">
      <w:pPr>
        <w:pStyle w:val="TM3"/>
        <w:tabs>
          <w:tab w:val="left" w:pos="1200"/>
          <w:tab w:val="right" w:leader="dot" w:pos="9350"/>
        </w:tabs>
        <w:rPr>
          <w:rFonts w:eastAsiaTheme="minorEastAsia" w:cstheme="minorBidi"/>
          <w:b/>
          <w:bCs/>
          <w:i/>
          <w:iCs/>
          <w:noProof/>
          <w:sz w:val="24"/>
          <w:szCs w:val="24"/>
          <w:lang w:val="fr-SN" w:eastAsia="fr-SN"/>
        </w:rPr>
      </w:pPr>
      <w:hyperlink w:anchor="_Toc182822562" w:history="1">
        <w:r w:rsidR="004203A2" w:rsidRPr="002516B1">
          <w:rPr>
            <w:rStyle w:val="Hyperlien"/>
            <w:b/>
            <w:bCs/>
            <w:i/>
            <w:iCs/>
            <w:noProof/>
          </w:rPr>
          <w:t>3.2</w:t>
        </w:r>
        <w:r w:rsidR="004203A2" w:rsidRPr="002516B1">
          <w:rPr>
            <w:rFonts w:eastAsiaTheme="minorEastAsia" w:cstheme="minorBidi"/>
            <w:b/>
            <w:bCs/>
            <w:i/>
            <w:iCs/>
            <w:noProof/>
            <w:sz w:val="24"/>
            <w:szCs w:val="24"/>
            <w:lang w:val="fr-SN" w:eastAsia="fr-SN"/>
          </w:rPr>
          <w:tab/>
        </w:r>
        <w:r w:rsidR="004203A2" w:rsidRPr="002516B1">
          <w:rPr>
            <w:rStyle w:val="Hyperlien"/>
            <w:b/>
            <w:bCs/>
            <w:i/>
            <w:iCs/>
            <w:noProof/>
          </w:rPr>
          <w:t>Services régionaux</w:t>
        </w:r>
        <w:r w:rsidR="004203A2" w:rsidRPr="002516B1">
          <w:rPr>
            <w:b/>
            <w:bCs/>
            <w:i/>
            <w:iCs/>
            <w:noProof/>
            <w:webHidden/>
          </w:rPr>
          <w:tab/>
        </w:r>
        <w:r w:rsidR="004203A2" w:rsidRPr="002516B1">
          <w:rPr>
            <w:b/>
            <w:bCs/>
            <w:i/>
            <w:iCs/>
            <w:noProof/>
            <w:webHidden/>
          </w:rPr>
          <w:fldChar w:fldCharType="begin"/>
        </w:r>
        <w:r w:rsidR="004203A2" w:rsidRPr="002516B1">
          <w:rPr>
            <w:b/>
            <w:bCs/>
            <w:i/>
            <w:iCs/>
            <w:noProof/>
            <w:webHidden/>
          </w:rPr>
          <w:instrText xml:space="preserve"> PAGEREF _Toc182822562 \h </w:instrText>
        </w:r>
        <w:r w:rsidR="004203A2" w:rsidRPr="002516B1">
          <w:rPr>
            <w:b/>
            <w:bCs/>
            <w:i/>
            <w:iCs/>
            <w:noProof/>
            <w:webHidden/>
          </w:rPr>
        </w:r>
        <w:r w:rsidR="004203A2" w:rsidRPr="002516B1">
          <w:rPr>
            <w:b/>
            <w:bCs/>
            <w:i/>
            <w:iCs/>
            <w:noProof/>
            <w:webHidden/>
          </w:rPr>
          <w:fldChar w:fldCharType="separate"/>
        </w:r>
        <w:r w:rsidR="00427D57">
          <w:rPr>
            <w:b/>
            <w:bCs/>
            <w:i/>
            <w:iCs/>
            <w:noProof/>
            <w:webHidden/>
          </w:rPr>
          <w:t>5</w:t>
        </w:r>
        <w:r w:rsidR="004203A2" w:rsidRPr="002516B1">
          <w:rPr>
            <w:b/>
            <w:bCs/>
            <w:i/>
            <w:iCs/>
            <w:noProof/>
            <w:webHidden/>
          </w:rPr>
          <w:fldChar w:fldCharType="end"/>
        </w:r>
      </w:hyperlink>
    </w:p>
    <w:p w14:paraId="4C85F0DE" w14:textId="3D3B4326" w:rsidR="004203A2" w:rsidRPr="002516B1" w:rsidRDefault="00000000">
      <w:pPr>
        <w:pStyle w:val="TM3"/>
        <w:tabs>
          <w:tab w:val="left" w:pos="1200"/>
          <w:tab w:val="right" w:leader="dot" w:pos="9350"/>
        </w:tabs>
        <w:rPr>
          <w:rFonts w:eastAsiaTheme="minorEastAsia" w:cstheme="minorBidi"/>
          <w:b/>
          <w:bCs/>
          <w:i/>
          <w:iCs/>
          <w:noProof/>
          <w:sz w:val="24"/>
          <w:szCs w:val="24"/>
          <w:lang w:val="fr-SN" w:eastAsia="fr-SN"/>
        </w:rPr>
      </w:pPr>
      <w:hyperlink w:anchor="_Toc182822563" w:history="1">
        <w:r w:rsidR="004203A2" w:rsidRPr="002516B1">
          <w:rPr>
            <w:rStyle w:val="Hyperlien"/>
            <w:b/>
            <w:bCs/>
            <w:i/>
            <w:iCs/>
            <w:noProof/>
          </w:rPr>
          <w:t>3.3</w:t>
        </w:r>
        <w:r w:rsidR="004203A2" w:rsidRPr="002516B1">
          <w:rPr>
            <w:rFonts w:eastAsiaTheme="minorEastAsia" w:cstheme="minorBidi"/>
            <w:b/>
            <w:bCs/>
            <w:i/>
            <w:iCs/>
            <w:noProof/>
            <w:sz w:val="24"/>
            <w:szCs w:val="24"/>
            <w:lang w:val="fr-SN" w:eastAsia="fr-SN"/>
          </w:rPr>
          <w:tab/>
        </w:r>
        <w:r w:rsidR="004203A2" w:rsidRPr="002516B1">
          <w:rPr>
            <w:rStyle w:val="Hyperlien"/>
            <w:b/>
            <w:bCs/>
            <w:i/>
            <w:iCs/>
            <w:noProof/>
          </w:rPr>
          <w:t>Services centraux</w:t>
        </w:r>
        <w:r w:rsidR="004203A2" w:rsidRPr="002516B1">
          <w:rPr>
            <w:b/>
            <w:bCs/>
            <w:i/>
            <w:iCs/>
            <w:noProof/>
            <w:webHidden/>
          </w:rPr>
          <w:tab/>
        </w:r>
        <w:r w:rsidR="004203A2" w:rsidRPr="002516B1">
          <w:rPr>
            <w:b/>
            <w:bCs/>
            <w:i/>
            <w:iCs/>
            <w:noProof/>
            <w:webHidden/>
          </w:rPr>
          <w:fldChar w:fldCharType="begin"/>
        </w:r>
        <w:r w:rsidR="004203A2" w:rsidRPr="002516B1">
          <w:rPr>
            <w:b/>
            <w:bCs/>
            <w:i/>
            <w:iCs/>
            <w:noProof/>
            <w:webHidden/>
          </w:rPr>
          <w:instrText xml:space="preserve"> PAGEREF _Toc182822563 \h </w:instrText>
        </w:r>
        <w:r w:rsidR="004203A2" w:rsidRPr="002516B1">
          <w:rPr>
            <w:b/>
            <w:bCs/>
            <w:i/>
            <w:iCs/>
            <w:noProof/>
            <w:webHidden/>
          </w:rPr>
        </w:r>
        <w:r w:rsidR="004203A2" w:rsidRPr="002516B1">
          <w:rPr>
            <w:b/>
            <w:bCs/>
            <w:i/>
            <w:iCs/>
            <w:noProof/>
            <w:webHidden/>
          </w:rPr>
          <w:fldChar w:fldCharType="separate"/>
        </w:r>
        <w:r w:rsidR="00427D57">
          <w:rPr>
            <w:b/>
            <w:bCs/>
            <w:i/>
            <w:iCs/>
            <w:noProof/>
            <w:webHidden/>
          </w:rPr>
          <w:t>6</w:t>
        </w:r>
        <w:r w:rsidR="004203A2" w:rsidRPr="002516B1">
          <w:rPr>
            <w:b/>
            <w:bCs/>
            <w:i/>
            <w:iCs/>
            <w:noProof/>
            <w:webHidden/>
          </w:rPr>
          <w:fldChar w:fldCharType="end"/>
        </w:r>
      </w:hyperlink>
    </w:p>
    <w:p w14:paraId="497648CB" w14:textId="02B3836B" w:rsidR="004203A2" w:rsidRPr="002516B1" w:rsidRDefault="00000000">
      <w:pPr>
        <w:pStyle w:val="TM3"/>
        <w:tabs>
          <w:tab w:val="left" w:pos="1200"/>
          <w:tab w:val="right" w:leader="dot" w:pos="9350"/>
        </w:tabs>
        <w:rPr>
          <w:rFonts w:eastAsiaTheme="minorEastAsia" w:cstheme="minorBidi"/>
          <w:b/>
          <w:bCs/>
          <w:i/>
          <w:iCs/>
          <w:noProof/>
          <w:sz w:val="24"/>
          <w:szCs w:val="24"/>
          <w:lang w:val="fr-SN" w:eastAsia="fr-SN"/>
        </w:rPr>
      </w:pPr>
      <w:hyperlink w:anchor="_Toc182822564" w:history="1">
        <w:r w:rsidR="004203A2" w:rsidRPr="002516B1">
          <w:rPr>
            <w:rStyle w:val="Hyperlien"/>
            <w:b/>
            <w:bCs/>
            <w:i/>
            <w:iCs/>
            <w:noProof/>
          </w:rPr>
          <w:t>3.4</w:t>
        </w:r>
        <w:r w:rsidR="004203A2" w:rsidRPr="002516B1">
          <w:rPr>
            <w:rFonts w:eastAsiaTheme="minorEastAsia" w:cstheme="minorBidi"/>
            <w:b/>
            <w:bCs/>
            <w:i/>
            <w:iCs/>
            <w:noProof/>
            <w:sz w:val="24"/>
            <w:szCs w:val="24"/>
            <w:lang w:val="fr-SN" w:eastAsia="fr-SN"/>
          </w:rPr>
          <w:tab/>
        </w:r>
        <w:r w:rsidR="004203A2" w:rsidRPr="002516B1">
          <w:rPr>
            <w:rStyle w:val="Hyperlien"/>
            <w:b/>
            <w:bCs/>
            <w:i/>
            <w:iCs/>
            <w:noProof/>
          </w:rPr>
          <w:t>Présentation du Bureau des Prix</w:t>
        </w:r>
        <w:r w:rsidR="004203A2" w:rsidRPr="002516B1">
          <w:rPr>
            <w:b/>
            <w:bCs/>
            <w:i/>
            <w:iCs/>
            <w:noProof/>
            <w:webHidden/>
          </w:rPr>
          <w:tab/>
        </w:r>
        <w:r w:rsidR="004203A2" w:rsidRPr="002516B1">
          <w:rPr>
            <w:b/>
            <w:bCs/>
            <w:i/>
            <w:iCs/>
            <w:noProof/>
            <w:webHidden/>
          </w:rPr>
          <w:fldChar w:fldCharType="begin"/>
        </w:r>
        <w:r w:rsidR="004203A2" w:rsidRPr="002516B1">
          <w:rPr>
            <w:b/>
            <w:bCs/>
            <w:i/>
            <w:iCs/>
            <w:noProof/>
            <w:webHidden/>
          </w:rPr>
          <w:instrText xml:space="preserve"> PAGEREF _Toc182822564 \h </w:instrText>
        </w:r>
        <w:r w:rsidR="004203A2" w:rsidRPr="002516B1">
          <w:rPr>
            <w:b/>
            <w:bCs/>
            <w:i/>
            <w:iCs/>
            <w:noProof/>
            <w:webHidden/>
          </w:rPr>
        </w:r>
        <w:r w:rsidR="004203A2" w:rsidRPr="002516B1">
          <w:rPr>
            <w:b/>
            <w:bCs/>
            <w:i/>
            <w:iCs/>
            <w:noProof/>
            <w:webHidden/>
          </w:rPr>
          <w:fldChar w:fldCharType="separate"/>
        </w:r>
        <w:r w:rsidR="00427D57">
          <w:rPr>
            <w:b/>
            <w:bCs/>
            <w:i/>
            <w:iCs/>
            <w:noProof/>
            <w:webHidden/>
          </w:rPr>
          <w:t>10</w:t>
        </w:r>
        <w:r w:rsidR="004203A2" w:rsidRPr="002516B1">
          <w:rPr>
            <w:b/>
            <w:bCs/>
            <w:i/>
            <w:iCs/>
            <w:noProof/>
            <w:webHidden/>
          </w:rPr>
          <w:fldChar w:fldCharType="end"/>
        </w:r>
      </w:hyperlink>
    </w:p>
    <w:p w14:paraId="59D36CE9" w14:textId="1D09E446" w:rsidR="004203A2" w:rsidRPr="002516B1" w:rsidRDefault="00000000">
      <w:pPr>
        <w:pStyle w:val="TM1"/>
        <w:tabs>
          <w:tab w:val="right" w:leader="dot" w:pos="9350"/>
        </w:tabs>
        <w:rPr>
          <w:rFonts w:eastAsiaTheme="minorEastAsia" w:cstheme="minorBidi"/>
          <w:i w:val="0"/>
          <w:iCs w:val="0"/>
          <w:noProof/>
          <w:lang w:val="fr-SN" w:eastAsia="fr-SN"/>
        </w:rPr>
      </w:pPr>
      <w:hyperlink w:anchor="_Toc182822565" w:history="1">
        <w:r w:rsidR="004203A2" w:rsidRPr="002516B1">
          <w:rPr>
            <w:rStyle w:val="Hyperlien"/>
            <w:noProof/>
          </w:rPr>
          <w:t>Chapitre 2 : Cadre conceptuel</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_Toc182822565 \h </w:instrText>
        </w:r>
        <w:r w:rsidR="004203A2" w:rsidRPr="002516B1">
          <w:rPr>
            <w:noProof/>
            <w:webHidden/>
          </w:rPr>
        </w:r>
        <w:r w:rsidR="004203A2" w:rsidRPr="002516B1">
          <w:rPr>
            <w:noProof/>
            <w:webHidden/>
          </w:rPr>
          <w:fldChar w:fldCharType="separate"/>
        </w:r>
        <w:r w:rsidR="00427D57">
          <w:rPr>
            <w:noProof/>
            <w:webHidden/>
          </w:rPr>
          <w:t>13</w:t>
        </w:r>
        <w:r w:rsidR="004203A2" w:rsidRPr="002516B1">
          <w:rPr>
            <w:noProof/>
            <w:webHidden/>
          </w:rPr>
          <w:fldChar w:fldCharType="end"/>
        </w:r>
      </w:hyperlink>
    </w:p>
    <w:p w14:paraId="1F060655" w14:textId="1DB0DD78"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66" w:history="1">
        <w:r w:rsidR="004203A2" w:rsidRPr="002516B1">
          <w:rPr>
            <w:rStyle w:val="Hyperlien"/>
            <w:noProof/>
          </w:rPr>
          <w:t>1.</w:t>
        </w:r>
        <w:r w:rsidR="004203A2" w:rsidRPr="002516B1">
          <w:rPr>
            <w:rFonts w:eastAsiaTheme="minorEastAsia" w:cstheme="minorBidi"/>
            <w:noProof/>
            <w:sz w:val="24"/>
            <w:szCs w:val="24"/>
            <w:lang w:val="fr-SN" w:eastAsia="fr-SN"/>
          </w:rPr>
          <w:tab/>
        </w:r>
        <w:r w:rsidR="004203A2" w:rsidRPr="002516B1">
          <w:rPr>
            <w:rStyle w:val="Hyperlien"/>
            <w:noProof/>
          </w:rPr>
          <w:t>Introduction générale à l’IPC et à l’IHPC</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_Toc182822566 \h </w:instrText>
        </w:r>
        <w:r w:rsidR="004203A2" w:rsidRPr="002516B1">
          <w:rPr>
            <w:noProof/>
            <w:webHidden/>
          </w:rPr>
        </w:r>
        <w:r w:rsidR="004203A2" w:rsidRPr="002516B1">
          <w:rPr>
            <w:noProof/>
            <w:webHidden/>
          </w:rPr>
          <w:fldChar w:fldCharType="separate"/>
        </w:r>
        <w:r w:rsidR="00427D57">
          <w:rPr>
            <w:noProof/>
            <w:webHidden/>
          </w:rPr>
          <w:t>13</w:t>
        </w:r>
        <w:r w:rsidR="004203A2" w:rsidRPr="002516B1">
          <w:rPr>
            <w:noProof/>
            <w:webHidden/>
          </w:rPr>
          <w:fldChar w:fldCharType="end"/>
        </w:r>
      </w:hyperlink>
    </w:p>
    <w:p w14:paraId="452D9CA2" w14:textId="496959E2"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67" w:history="1">
        <w:r w:rsidR="004203A2" w:rsidRPr="002516B1">
          <w:rPr>
            <w:rStyle w:val="Hyperlien"/>
            <w:noProof/>
          </w:rPr>
          <w:t>2.</w:t>
        </w:r>
        <w:r w:rsidR="004203A2" w:rsidRPr="002516B1">
          <w:rPr>
            <w:rFonts w:eastAsiaTheme="minorEastAsia" w:cstheme="minorBidi"/>
            <w:noProof/>
            <w:sz w:val="24"/>
            <w:szCs w:val="24"/>
            <w:lang w:val="fr-SN" w:eastAsia="fr-SN"/>
          </w:rPr>
          <w:tab/>
        </w:r>
        <w:r w:rsidR="004203A2" w:rsidRPr="002516B1">
          <w:rPr>
            <w:rStyle w:val="Hyperlien"/>
            <w:noProof/>
          </w:rPr>
          <w:t>Objectifs de l’IPC et de l’IHPC</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_Toc182822567 \h </w:instrText>
        </w:r>
        <w:r w:rsidR="004203A2" w:rsidRPr="002516B1">
          <w:rPr>
            <w:noProof/>
            <w:webHidden/>
          </w:rPr>
        </w:r>
        <w:r w:rsidR="004203A2" w:rsidRPr="002516B1">
          <w:rPr>
            <w:noProof/>
            <w:webHidden/>
          </w:rPr>
          <w:fldChar w:fldCharType="separate"/>
        </w:r>
        <w:r w:rsidR="00427D57">
          <w:rPr>
            <w:noProof/>
            <w:webHidden/>
          </w:rPr>
          <w:t>13</w:t>
        </w:r>
        <w:r w:rsidR="004203A2" w:rsidRPr="002516B1">
          <w:rPr>
            <w:noProof/>
            <w:webHidden/>
          </w:rPr>
          <w:fldChar w:fldCharType="end"/>
        </w:r>
      </w:hyperlink>
    </w:p>
    <w:p w14:paraId="01DEBDB6" w14:textId="3C0FC79A"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68" w:history="1">
        <w:r w:rsidR="004203A2" w:rsidRPr="002516B1">
          <w:rPr>
            <w:rStyle w:val="Hyperlien"/>
            <w:noProof/>
          </w:rPr>
          <w:t>3.</w:t>
        </w:r>
        <w:r w:rsidR="004203A2" w:rsidRPr="002516B1">
          <w:rPr>
            <w:rFonts w:eastAsiaTheme="minorEastAsia" w:cstheme="minorBidi"/>
            <w:noProof/>
            <w:sz w:val="24"/>
            <w:szCs w:val="24"/>
            <w:lang w:val="fr-SN" w:eastAsia="fr-SN"/>
          </w:rPr>
          <w:tab/>
        </w:r>
        <w:r w:rsidR="004203A2" w:rsidRPr="002516B1">
          <w:rPr>
            <w:rStyle w:val="Hyperlien"/>
            <w:noProof/>
          </w:rPr>
          <w:t>Méthodologie de calcul</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_Toc182822568 \h </w:instrText>
        </w:r>
        <w:r w:rsidR="004203A2" w:rsidRPr="002516B1">
          <w:rPr>
            <w:noProof/>
            <w:webHidden/>
          </w:rPr>
        </w:r>
        <w:r w:rsidR="004203A2" w:rsidRPr="002516B1">
          <w:rPr>
            <w:noProof/>
            <w:webHidden/>
          </w:rPr>
          <w:fldChar w:fldCharType="separate"/>
        </w:r>
        <w:r w:rsidR="00427D57">
          <w:rPr>
            <w:noProof/>
            <w:webHidden/>
          </w:rPr>
          <w:t>14</w:t>
        </w:r>
        <w:r w:rsidR="004203A2" w:rsidRPr="002516B1">
          <w:rPr>
            <w:noProof/>
            <w:webHidden/>
          </w:rPr>
          <w:fldChar w:fldCharType="end"/>
        </w:r>
      </w:hyperlink>
    </w:p>
    <w:p w14:paraId="59208DD6" w14:textId="139789FD" w:rsidR="004203A2" w:rsidRPr="002516B1" w:rsidRDefault="00000000">
      <w:pPr>
        <w:pStyle w:val="TM1"/>
        <w:tabs>
          <w:tab w:val="right" w:leader="dot" w:pos="9350"/>
        </w:tabs>
        <w:rPr>
          <w:rFonts w:eastAsiaTheme="minorEastAsia" w:cstheme="minorBidi"/>
          <w:i w:val="0"/>
          <w:iCs w:val="0"/>
          <w:noProof/>
          <w:lang w:val="fr-SN" w:eastAsia="fr-SN"/>
        </w:rPr>
      </w:pPr>
      <w:hyperlink w:anchor="_Toc182822569" w:history="1">
        <w:r w:rsidR="004203A2" w:rsidRPr="002516B1">
          <w:rPr>
            <w:rStyle w:val="Hyperlien"/>
            <w:noProof/>
          </w:rPr>
          <w:t>Chapitre 3 : Analyse de l’évolution des pondérations de 2014 et de 202</w:t>
        </w:r>
        <w:r w:rsidR="00023158" w:rsidRPr="002516B1">
          <w:rPr>
            <w:rStyle w:val="Hyperlien"/>
            <w:noProof/>
          </w:rPr>
          <w:t>1</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_Toc182822569 \h </w:instrText>
        </w:r>
        <w:r w:rsidR="004203A2" w:rsidRPr="002516B1">
          <w:rPr>
            <w:noProof/>
            <w:webHidden/>
          </w:rPr>
        </w:r>
        <w:r w:rsidR="004203A2" w:rsidRPr="002516B1">
          <w:rPr>
            <w:noProof/>
            <w:webHidden/>
          </w:rPr>
          <w:fldChar w:fldCharType="separate"/>
        </w:r>
        <w:r w:rsidR="00427D57">
          <w:rPr>
            <w:noProof/>
            <w:webHidden/>
          </w:rPr>
          <w:t>19</w:t>
        </w:r>
        <w:r w:rsidR="004203A2" w:rsidRPr="002516B1">
          <w:rPr>
            <w:noProof/>
            <w:webHidden/>
          </w:rPr>
          <w:fldChar w:fldCharType="end"/>
        </w:r>
      </w:hyperlink>
    </w:p>
    <w:p w14:paraId="50EE36B7" w14:textId="79483D7F"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70" w:history="1">
        <w:r w:rsidR="004203A2" w:rsidRPr="002516B1">
          <w:rPr>
            <w:rStyle w:val="Hyperlien"/>
            <w:noProof/>
          </w:rPr>
          <w:t>1.</w:t>
        </w:r>
        <w:r w:rsidR="004203A2" w:rsidRPr="002516B1">
          <w:rPr>
            <w:rFonts w:eastAsiaTheme="minorEastAsia" w:cstheme="minorBidi"/>
            <w:noProof/>
            <w:sz w:val="24"/>
            <w:szCs w:val="24"/>
            <w:lang w:val="fr-SN" w:eastAsia="fr-SN"/>
          </w:rPr>
          <w:tab/>
        </w:r>
        <w:r w:rsidR="004203A2" w:rsidRPr="002516B1">
          <w:rPr>
            <w:rStyle w:val="Hyperlien"/>
            <w:noProof/>
          </w:rPr>
          <w:t>Pondération 2014</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_Toc182822570 \h </w:instrText>
        </w:r>
        <w:r w:rsidR="004203A2" w:rsidRPr="002516B1">
          <w:rPr>
            <w:noProof/>
            <w:webHidden/>
          </w:rPr>
        </w:r>
        <w:r w:rsidR="004203A2" w:rsidRPr="002516B1">
          <w:rPr>
            <w:noProof/>
            <w:webHidden/>
          </w:rPr>
          <w:fldChar w:fldCharType="separate"/>
        </w:r>
        <w:r w:rsidR="00427D57">
          <w:rPr>
            <w:noProof/>
            <w:webHidden/>
          </w:rPr>
          <w:t>19</w:t>
        </w:r>
        <w:r w:rsidR="004203A2" w:rsidRPr="002516B1">
          <w:rPr>
            <w:noProof/>
            <w:webHidden/>
          </w:rPr>
          <w:fldChar w:fldCharType="end"/>
        </w:r>
      </w:hyperlink>
    </w:p>
    <w:p w14:paraId="5DB5F181" w14:textId="46188619"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71" w:history="1">
        <w:r w:rsidR="004203A2" w:rsidRPr="002516B1">
          <w:rPr>
            <w:rStyle w:val="Hyperlien"/>
            <w:noProof/>
            <w:lang w:val="fr-SN"/>
          </w:rPr>
          <w:t>2.</w:t>
        </w:r>
        <w:r w:rsidR="004203A2" w:rsidRPr="002516B1">
          <w:rPr>
            <w:rFonts w:eastAsiaTheme="minorEastAsia" w:cstheme="minorBidi"/>
            <w:noProof/>
            <w:sz w:val="24"/>
            <w:szCs w:val="24"/>
            <w:lang w:val="fr-SN" w:eastAsia="fr-SN"/>
          </w:rPr>
          <w:tab/>
        </w:r>
        <w:r w:rsidR="004203A2" w:rsidRPr="002516B1">
          <w:rPr>
            <w:rStyle w:val="Hyperlien"/>
            <w:noProof/>
            <w:lang w:val="fr-SN"/>
          </w:rPr>
          <w:t>Pondération 202</w:t>
        </w:r>
        <w:r w:rsidR="00023158" w:rsidRPr="002516B1">
          <w:rPr>
            <w:rStyle w:val="Hyperlien"/>
            <w:noProof/>
            <w:lang w:val="fr-SN"/>
          </w:rPr>
          <w:t>1</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_Toc182822571 \h </w:instrText>
        </w:r>
        <w:r w:rsidR="004203A2" w:rsidRPr="002516B1">
          <w:rPr>
            <w:noProof/>
            <w:webHidden/>
          </w:rPr>
        </w:r>
        <w:r w:rsidR="004203A2" w:rsidRPr="002516B1">
          <w:rPr>
            <w:noProof/>
            <w:webHidden/>
          </w:rPr>
          <w:fldChar w:fldCharType="separate"/>
        </w:r>
        <w:r w:rsidR="00427D57">
          <w:rPr>
            <w:noProof/>
            <w:webHidden/>
          </w:rPr>
          <w:t>20</w:t>
        </w:r>
        <w:r w:rsidR="004203A2" w:rsidRPr="002516B1">
          <w:rPr>
            <w:noProof/>
            <w:webHidden/>
          </w:rPr>
          <w:fldChar w:fldCharType="end"/>
        </w:r>
      </w:hyperlink>
    </w:p>
    <w:p w14:paraId="27FED8B4" w14:textId="0441858F"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72" w:history="1">
        <w:r w:rsidR="004203A2" w:rsidRPr="002516B1">
          <w:rPr>
            <w:rStyle w:val="Hyperlien"/>
            <w:noProof/>
            <w:lang w:val="fr-SN"/>
          </w:rPr>
          <w:t>3.</w:t>
        </w:r>
        <w:r w:rsidR="004203A2" w:rsidRPr="002516B1">
          <w:rPr>
            <w:rFonts w:eastAsiaTheme="minorEastAsia" w:cstheme="minorBidi"/>
            <w:noProof/>
            <w:sz w:val="24"/>
            <w:szCs w:val="24"/>
            <w:lang w:val="fr-SN" w:eastAsia="fr-SN"/>
          </w:rPr>
          <w:tab/>
        </w:r>
        <w:r w:rsidR="004203A2" w:rsidRPr="002516B1">
          <w:rPr>
            <w:rStyle w:val="Hyperlien"/>
            <w:noProof/>
            <w:lang w:val="fr-SN"/>
          </w:rPr>
          <w:t>Comparaison pondérations 2014-202</w:t>
        </w:r>
        <w:r w:rsidR="00023158" w:rsidRPr="002516B1">
          <w:rPr>
            <w:rStyle w:val="Hyperlien"/>
            <w:noProof/>
            <w:lang w:val="fr-SN"/>
          </w:rPr>
          <w:t>1</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_Toc182822572 \h </w:instrText>
        </w:r>
        <w:r w:rsidR="004203A2" w:rsidRPr="002516B1">
          <w:rPr>
            <w:noProof/>
            <w:webHidden/>
          </w:rPr>
        </w:r>
        <w:r w:rsidR="004203A2" w:rsidRPr="002516B1">
          <w:rPr>
            <w:noProof/>
            <w:webHidden/>
          </w:rPr>
          <w:fldChar w:fldCharType="separate"/>
        </w:r>
        <w:r w:rsidR="00427D57">
          <w:rPr>
            <w:noProof/>
            <w:webHidden/>
          </w:rPr>
          <w:t>21</w:t>
        </w:r>
        <w:r w:rsidR="004203A2" w:rsidRPr="002516B1">
          <w:rPr>
            <w:noProof/>
            <w:webHidden/>
          </w:rPr>
          <w:fldChar w:fldCharType="end"/>
        </w:r>
      </w:hyperlink>
    </w:p>
    <w:p w14:paraId="76CC2803" w14:textId="787D0904" w:rsidR="004203A2" w:rsidRPr="002516B1" w:rsidRDefault="00000000">
      <w:pPr>
        <w:pStyle w:val="TM1"/>
        <w:tabs>
          <w:tab w:val="right" w:leader="dot" w:pos="9350"/>
        </w:tabs>
        <w:rPr>
          <w:rFonts w:eastAsiaTheme="minorEastAsia" w:cstheme="minorBidi"/>
          <w:i w:val="0"/>
          <w:iCs w:val="0"/>
          <w:noProof/>
          <w:lang w:val="fr-SN" w:eastAsia="fr-SN"/>
        </w:rPr>
      </w:pPr>
      <w:hyperlink w:anchor="_Toc182822573" w:history="1">
        <w:r w:rsidR="004203A2" w:rsidRPr="002516B1">
          <w:rPr>
            <w:rStyle w:val="Hyperlien"/>
            <w:noProof/>
          </w:rPr>
          <w:t>Chapitre 4 :</w:t>
        </w:r>
        <w:r w:rsidR="00A60A0F" w:rsidRPr="00A60A0F">
          <w:t xml:space="preserve"> </w:t>
        </w:r>
        <w:r w:rsidR="00A60A0F" w:rsidRPr="00BD376D">
          <w:t xml:space="preserve">Rôle des pondérations dans les </w:t>
        </w:r>
        <w:r w:rsidR="00A60A0F">
          <w:t>variations</w:t>
        </w:r>
        <w:r w:rsidR="00A60A0F" w:rsidRPr="00BD376D">
          <w:t xml:space="preserve"> de l’IHPC</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_Toc182822573 \h </w:instrText>
        </w:r>
        <w:r w:rsidR="004203A2" w:rsidRPr="002516B1">
          <w:rPr>
            <w:noProof/>
            <w:webHidden/>
          </w:rPr>
        </w:r>
        <w:r w:rsidR="004203A2" w:rsidRPr="002516B1">
          <w:rPr>
            <w:noProof/>
            <w:webHidden/>
          </w:rPr>
          <w:fldChar w:fldCharType="separate"/>
        </w:r>
        <w:r w:rsidR="00427D57">
          <w:rPr>
            <w:noProof/>
            <w:webHidden/>
          </w:rPr>
          <w:t>41</w:t>
        </w:r>
        <w:r w:rsidR="004203A2" w:rsidRPr="002516B1">
          <w:rPr>
            <w:noProof/>
            <w:webHidden/>
          </w:rPr>
          <w:fldChar w:fldCharType="end"/>
        </w:r>
      </w:hyperlink>
    </w:p>
    <w:p w14:paraId="1127E4E4" w14:textId="0A897663"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74" w:history="1">
        <w:r w:rsidR="004203A2" w:rsidRPr="002516B1">
          <w:rPr>
            <w:rStyle w:val="Hyperlien"/>
            <w:noProof/>
          </w:rPr>
          <w:t>1.</w:t>
        </w:r>
        <w:r w:rsidR="004203A2" w:rsidRPr="002516B1">
          <w:rPr>
            <w:rFonts w:eastAsiaTheme="minorEastAsia" w:cstheme="minorBidi"/>
            <w:noProof/>
            <w:sz w:val="24"/>
            <w:szCs w:val="24"/>
            <w:lang w:val="fr-SN" w:eastAsia="fr-SN"/>
          </w:rPr>
          <w:tab/>
        </w:r>
        <w:r w:rsidR="004203A2" w:rsidRPr="002516B1">
          <w:rPr>
            <w:rStyle w:val="Hyperlien"/>
            <w:noProof/>
          </w:rPr>
          <w:t>Pondérations et structure de la consommation</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_Toc182822574 \h </w:instrText>
        </w:r>
        <w:r w:rsidR="004203A2" w:rsidRPr="002516B1">
          <w:rPr>
            <w:noProof/>
            <w:webHidden/>
          </w:rPr>
        </w:r>
        <w:r w:rsidR="004203A2" w:rsidRPr="002516B1">
          <w:rPr>
            <w:noProof/>
            <w:webHidden/>
          </w:rPr>
          <w:fldChar w:fldCharType="separate"/>
        </w:r>
        <w:r w:rsidR="00427D57">
          <w:rPr>
            <w:noProof/>
            <w:webHidden/>
          </w:rPr>
          <w:t>41</w:t>
        </w:r>
        <w:r w:rsidR="004203A2" w:rsidRPr="002516B1">
          <w:rPr>
            <w:noProof/>
            <w:webHidden/>
          </w:rPr>
          <w:fldChar w:fldCharType="end"/>
        </w:r>
      </w:hyperlink>
    </w:p>
    <w:p w14:paraId="4284C496" w14:textId="5721247B"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75" w:history="1">
        <w:r w:rsidR="004203A2" w:rsidRPr="002516B1">
          <w:rPr>
            <w:rStyle w:val="Hyperlien"/>
            <w:noProof/>
          </w:rPr>
          <w:t>2.</w:t>
        </w:r>
        <w:r w:rsidR="004203A2" w:rsidRPr="002516B1">
          <w:rPr>
            <w:rFonts w:eastAsiaTheme="minorEastAsia" w:cstheme="minorBidi"/>
            <w:noProof/>
            <w:sz w:val="24"/>
            <w:szCs w:val="24"/>
            <w:lang w:val="fr-SN" w:eastAsia="fr-SN"/>
          </w:rPr>
          <w:tab/>
        </w:r>
        <w:r w:rsidR="004203A2" w:rsidRPr="002516B1">
          <w:rPr>
            <w:rStyle w:val="Hyperlien"/>
            <w:noProof/>
          </w:rPr>
          <w:t>Transmission des chocs sectoriels</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_Toc182822575 \h </w:instrText>
        </w:r>
        <w:r w:rsidR="004203A2" w:rsidRPr="002516B1">
          <w:rPr>
            <w:noProof/>
            <w:webHidden/>
          </w:rPr>
        </w:r>
        <w:r w:rsidR="004203A2" w:rsidRPr="002516B1">
          <w:rPr>
            <w:noProof/>
            <w:webHidden/>
          </w:rPr>
          <w:fldChar w:fldCharType="separate"/>
        </w:r>
        <w:r w:rsidR="00427D57">
          <w:rPr>
            <w:noProof/>
            <w:webHidden/>
          </w:rPr>
          <w:t>41</w:t>
        </w:r>
        <w:r w:rsidR="004203A2" w:rsidRPr="002516B1">
          <w:rPr>
            <w:noProof/>
            <w:webHidden/>
          </w:rPr>
          <w:fldChar w:fldCharType="end"/>
        </w:r>
      </w:hyperlink>
    </w:p>
    <w:p w14:paraId="7A768C73" w14:textId="569F1429"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76" w:history="1">
        <w:r w:rsidR="004203A2" w:rsidRPr="002516B1">
          <w:rPr>
            <w:rStyle w:val="Hyperlien"/>
            <w:noProof/>
          </w:rPr>
          <w:t>3.</w:t>
        </w:r>
        <w:r w:rsidR="004203A2" w:rsidRPr="002516B1">
          <w:rPr>
            <w:rFonts w:eastAsiaTheme="minorEastAsia" w:cstheme="minorBidi"/>
            <w:noProof/>
            <w:sz w:val="24"/>
            <w:szCs w:val="24"/>
            <w:lang w:val="fr-SN" w:eastAsia="fr-SN"/>
          </w:rPr>
          <w:tab/>
        </w:r>
        <w:r w:rsidR="004203A2" w:rsidRPr="002516B1">
          <w:rPr>
            <w:rStyle w:val="Hyperlien"/>
            <w:noProof/>
          </w:rPr>
          <w:t>Rigidité des prix et impact sur l'IHPC</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_Toc182822576 \h </w:instrText>
        </w:r>
        <w:r w:rsidR="004203A2" w:rsidRPr="002516B1">
          <w:rPr>
            <w:noProof/>
            <w:webHidden/>
          </w:rPr>
        </w:r>
        <w:r w:rsidR="004203A2" w:rsidRPr="002516B1">
          <w:rPr>
            <w:noProof/>
            <w:webHidden/>
          </w:rPr>
          <w:fldChar w:fldCharType="separate"/>
        </w:r>
        <w:r w:rsidR="00427D57">
          <w:rPr>
            <w:noProof/>
            <w:webHidden/>
          </w:rPr>
          <w:t>42</w:t>
        </w:r>
        <w:r w:rsidR="004203A2" w:rsidRPr="002516B1">
          <w:rPr>
            <w:noProof/>
            <w:webHidden/>
          </w:rPr>
          <w:fldChar w:fldCharType="end"/>
        </w:r>
      </w:hyperlink>
    </w:p>
    <w:p w14:paraId="30F70F70" w14:textId="26425761" w:rsidR="004203A2" w:rsidRPr="002516B1" w:rsidRDefault="00000000">
      <w:pPr>
        <w:pStyle w:val="TM2"/>
        <w:tabs>
          <w:tab w:val="left" w:pos="720"/>
          <w:tab w:val="right" w:leader="dot" w:pos="9350"/>
        </w:tabs>
        <w:rPr>
          <w:rFonts w:eastAsiaTheme="minorEastAsia" w:cstheme="minorBidi"/>
          <w:noProof/>
          <w:sz w:val="24"/>
          <w:szCs w:val="24"/>
          <w:lang w:val="fr-SN" w:eastAsia="fr-SN"/>
        </w:rPr>
      </w:pPr>
      <w:hyperlink w:anchor="_Toc182822577" w:history="1">
        <w:r w:rsidR="004203A2" w:rsidRPr="002516B1">
          <w:rPr>
            <w:rStyle w:val="Hyperlien"/>
            <w:noProof/>
          </w:rPr>
          <w:t>4.</w:t>
        </w:r>
        <w:r w:rsidR="004203A2" w:rsidRPr="002516B1">
          <w:rPr>
            <w:rFonts w:eastAsiaTheme="minorEastAsia" w:cstheme="minorBidi"/>
            <w:noProof/>
            <w:sz w:val="24"/>
            <w:szCs w:val="24"/>
            <w:lang w:val="fr-SN" w:eastAsia="fr-SN"/>
          </w:rPr>
          <w:tab/>
        </w:r>
        <w:r w:rsidR="004203A2" w:rsidRPr="002516B1">
          <w:rPr>
            <w:rStyle w:val="Hyperlien"/>
            <w:noProof/>
          </w:rPr>
          <w:t>Catégories à faible pondération</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_Toc182822577 \h </w:instrText>
        </w:r>
        <w:r w:rsidR="004203A2" w:rsidRPr="002516B1">
          <w:rPr>
            <w:noProof/>
            <w:webHidden/>
          </w:rPr>
        </w:r>
        <w:r w:rsidR="004203A2" w:rsidRPr="002516B1">
          <w:rPr>
            <w:noProof/>
            <w:webHidden/>
          </w:rPr>
          <w:fldChar w:fldCharType="separate"/>
        </w:r>
        <w:r w:rsidR="00427D57">
          <w:rPr>
            <w:noProof/>
            <w:webHidden/>
          </w:rPr>
          <w:t>43</w:t>
        </w:r>
        <w:r w:rsidR="004203A2" w:rsidRPr="002516B1">
          <w:rPr>
            <w:noProof/>
            <w:webHidden/>
          </w:rPr>
          <w:fldChar w:fldCharType="end"/>
        </w:r>
      </w:hyperlink>
    </w:p>
    <w:p w14:paraId="111818AD" w14:textId="718D5C5E" w:rsidR="004203A2" w:rsidRPr="002516B1" w:rsidRDefault="00000000">
      <w:pPr>
        <w:pStyle w:val="TM1"/>
        <w:tabs>
          <w:tab w:val="right" w:leader="dot" w:pos="9350"/>
        </w:tabs>
        <w:rPr>
          <w:rFonts w:eastAsiaTheme="minorEastAsia" w:cstheme="minorBidi"/>
          <w:i w:val="0"/>
          <w:iCs w:val="0"/>
          <w:noProof/>
          <w:lang w:val="fr-SN" w:eastAsia="fr-SN"/>
        </w:rPr>
      </w:pPr>
      <w:hyperlink w:anchor="_Toc182822578" w:history="1">
        <w:r w:rsidR="004203A2" w:rsidRPr="002516B1">
          <w:rPr>
            <w:rStyle w:val="Hyperlien"/>
            <w:noProof/>
          </w:rPr>
          <w:t>Conclusion</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_Toc182822578 \h </w:instrText>
        </w:r>
        <w:r w:rsidR="004203A2" w:rsidRPr="002516B1">
          <w:rPr>
            <w:noProof/>
            <w:webHidden/>
          </w:rPr>
        </w:r>
        <w:r w:rsidR="004203A2" w:rsidRPr="002516B1">
          <w:rPr>
            <w:noProof/>
            <w:webHidden/>
          </w:rPr>
          <w:fldChar w:fldCharType="separate"/>
        </w:r>
        <w:r w:rsidR="00427D57">
          <w:rPr>
            <w:noProof/>
            <w:webHidden/>
          </w:rPr>
          <w:t>44</w:t>
        </w:r>
        <w:r w:rsidR="004203A2" w:rsidRPr="002516B1">
          <w:rPr>
            <w:noProof/>
            <w:webHidden/>
          </w:rPr>
          <w:fldChar w:fldCharType="end"/>
        </w:r>
      </w:hyperlink>
    </w:p>
    <w:p w14:paraId="64776848" w14:textId="1F3EA98D" w:rsidR="004203A2" w:rsidRPr="002516B1" w:rsidRDefault="00000000">
      <w:pPr>
        <w:pStyle w:val="TM1"/>
        <w:tabs>
          <w:tab w:val="right" w:leader="dot" w:pos="9350"/>
        </w:tabs>
        <w:rPr>
          <w:rFonts w:eastAsiaTheme="minorEastAsia" w:cstheme="minorBidi"/>
          <w:i w:val="0"/>
          <w:iCs w:val="0"/>
          <w:noProof/>
          <w:lang w:val="fr-SN" w:eastAsia="fr-SN"/>
        </w:rPr>
      </w:pPr>
      <w:hyperlink w:anchor="_Toc182822579" w:history="1">
        <w:r w:rsidR="004203A2" w:rsidRPr="002516B1">
          <w:rPr>
            <w:rStyle w:val="Hyperlien"/>
            <w:noProof/>
            <w:lang w:val="fr-SN"/>
          </w:rPr>
          <w:t>Bibliographie</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_Toc182822579 \h </w:instrText>
        </w:r>
        <w:r w:rsidR="004203A2" w:rsidRPr="002516B1">
          <w:rPr>
            <w:noProof/>
            <w:webHidden/>
          </w:rPr>
        </w:r>
        <w:r w:rsidR="004203A2" w:rsidRPr="002516B1">
          <w:rPr>
            <w:noProof/>
            <w:webHidden/>
          </w:rPr>
          <w:fldChar w:fldCharType="separate"/>
        </w:r>
        <w:r w:rsidR="00427D57">
          <w:rPr>
            <w:noProof/>
            <w:webHidden/>
          </w:rPr>
          <w:t>a</w:t>
        </w:r>
        <w:r w:rsidR="004203A2" w:rsidRPr="002516B1">
          <w:rPr>
            <w:noProof/>
            <w:webHidden/>
          </w:rPr>
          <w:fldChar w:fldCharType="end"/>
        </w:r>
      </w:hyperlink>
    </w:p>
    <w:p w14:paraId="53E87E47" w14:textId="61BB4D57" w:rsidR="004203A2" w:rsidRPr="002516B1" w:rsidRDefault="00000000">
      <w:pPr>
        <w:pStyle w:val="TM1"/>
        <w:tabs>
          <w:tab w:val="right" w:leader="dot" w:pos="9350"/>
        </w:tabs>
        <w:rPr>
          <w:rFonts w:eastAsiaTheme="minorEastAsia" w:cstheme="minorBidi"/>
          <w:i w:val="0"/>
          <w:iCs w:val="0"/>
          <w:noProof/>
          <w:lang w:val="fr-SN" w:eastAsia="fr-SN"/>
        </w:rPr>
      </w:pPr>
      <w:hyperlink w:anchor="_Toc182822580" w:history="1">
        <w:r w:rsidR="004203A2" w:rsidRPr="002516B1">
          <w:rPr>
            <w:rStyle w:val="Hyperlien"/>
            <w:noProof/>
          </w:rPr>
          <w:t>Table des matières</w:t>
        </w:r>
        <w:r w:rsidR="004203A2" w:rsidRPr="002516B1">
          <w:rPr>
            <w:noProof/>
            <w:webHidden/>
          </w:rPr>
          <w:tab/>
        </w:r>
        <w:r w:rsidR="004203A2" w:rsidRPr="002516B1">
          <w:rPr>
            <w:noProof/>
            <w:webHidden/>
          </w:rPr>
          <w:fldChar w:fldCharType="begin"/>
        </w:r>
        <w:r w:rsidR="004203A2" w:rsidRPr="002516B1">
          <w:rPr>
            <w:noProof/>
            <w:webHidden/>
          </w:rPr>
          <w:instrText xml:space="preserve"> PAGEREF _Toc182822580 \h </w:instrText>
        </w:r>
        <w:r w:rsidR="004203A2" w:rsidRPr="002516B1">
          <w:rPr>
            <w:noProof/>
            <w:webHidden/>
          </w:rPr>
        </w:r>
        <w:r w:rsidR="004203A2" w:rsidRPr="002516B1">
          <w:rPr>
            <w:noProof/>
            <w:webHidden/>
          </w:rPr>
          <w:fldChar w:fldCharType="separate"/>
        </w:r>
        <w:r w:rsidR="00427D57">
          <w:rPr>
            <w:noProof/>
            <w:webHidden/>
          </w:rPr>
          <w:t>b</w:t>
        </w:r>
        <w:r w:rsidR="004203A2" w:rsidRPr="002516B1">
          <w:rPr>
            <w:noProof/>
            <w:webHidden/>
          </w:rPr>
          <w:fldChar w:fldCharType="end"/>
        </w:r>
      </w:hyperlink>
    </w:p>
    <w:p w14:paraId="703654FF" w14:textId="07BADC1D" w:rsidR="004203A2" w:rsidRPr="002516B1" w:rsidRDefault="00D60FD8" w:rsidP="004203A2">
      <w:pPr>
        <w:ind w:left="418"/>
        <w:rPr>
          <w:b/>
          <w:bCs/>
          <w:lang w:val="fr-SN"/>
        </w:rPr>
      </w:pPr>
      <w:r w:rsidRPr="002516B1">
        <w:rPr>
          <w:b/>
          <w:bCs/>
        </w:rPr>
        <w:fldChar w:fldCharType="end"/>
      </w:r>
      <w:bookmarkEnd w:id="1"/>
    </w:p>
    <w:sectPr w:rsidR="004203A2" w:rsidRPr="002516B1" w:rsidSect="00D254CC">
      <w:pgSz w:w="12240" w:h="15840"/>
      <w:pgMar w:top="1440" w:right="1440" w:bottom="1440" w:left="1440" w:header="720" w:footer="720" w:gutter="0"/>
      <w:pgNumType w:fmt="lowerLetter"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5ABB" w14:textId="77777777" w:rsidR="007716E6" w:rsidRDefault="007716E6" w:rsidP="00A47DD6">
      <w:pPr>
        <w:spacing w:after="0" w:line="240" w:lineRule="auto"/>
      </w:pPr>
      <w:r>
        <w:separator/>
      </w:r>
    </w:p>
  </w:endnote>
  <w:endnote w:type="continuationSeparator" w:id="0">
    <w:p w14:paraId="37BE65B0" w14:textId="77777777" w:rsidR="007716E6" w:rsidRDefault="007716E6" w:rsidP="00A47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167296"/>
      <w:docPartObj>
        <w:docPartGallery w:val="Page Numbers (Bottom of Page)"/>
        <w:docPartUnique/>
      </w:docPartObj>
    </w:sdtPr>
    <w:sdtContent>
      <w:p w14:paraId="60D6C185" w14:textId="57954325" w:rsidR="002D28BF" w:rsidRDefault="002D28BF">
        <w:pPr>
          <w:pStyle w:val="Pieddepage"/>
          <w:jc w:val="center"/>
        </w:pPr>
        <w:r>
          <w:fldChar w:fldCharType="begin"/>
        </w:r>
        <w:r>
          <w:instrText>PAGE   \* MERGEFORMAT</w:instrText>
        </w:r>
        <w:r>
          <w:fldChar w:fldCharType="separate"/>
        </w:r>
        <w:r>
          <w:rPr>
            <w:lang w:val="fr-CA"/>
          </w:rPr>
          <w:t>2</w:t>
        </w:r>
        <w:r>
          <w:fldChar w:fldCharType="end"/>
        </w:r>
      </w:p>
    </w:sdtContent>
  </w:sdt>
  <w:p w14:paraId="062DD141" w14:textId="77777777" w:rsidR="002D28BF" w:rsidRDefault="002D28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C765" w14:textId="77777777" w:rsidR="007716E6" w:rsidRDefault="007716E6" w:rsidP="00A47DD6">
      <w:pPr>
        <w:spacing w:after="0" w:line="240" w:lineRule="auto"/>
      </w:pPr>
      <w:r>
        <w:separator/>
      </w:r>
    </w:p>
  </w:footnote>
  <w:footnote w:type="continuationSeparator" w:id="0">
    <w:p w14:paraId="5F50D6A6" w14:textId="77777777" w:rsidR="007716E6" w:rsidRDefault="007716E6" w:rsidP="00A47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5E75" w14:textId="77777777" w:rsidR="003F3638" w:rsidRDefault="003F36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02B751F6"/>
    <w:multiLevelType w:val="multilevel"/>
    <w:tmpl w:val="7C7AC4FC"/>
    <w:styleLink w:val="Style1"/>
    <w:lvl w:ilvl="0">
      <w:start w:val="1"/>
      <w:numFmt w:val="none"/>
      <w:lvlText w:val=""/>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7450884"/>
    <w:multiLevelType w:val="hybridMultilevel"/>
    <w:tmpl w:val="D6784C66"/>
    <w:lvl w:ilvl="0" w:tplc="41801540">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07AA45FE"/>
    <w:multiLevelType w:val="hybridMultilevel"/>
    <w:tmpl w:val="7C02DB1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9" w15:restartNumberingAfterBreak="0">
    <w:nsid w:val="0C7B6E87"/>
    <w:multiLevelType w:val="hybridMultilevel"/>
    <w:tmpl w:val="1CC06E12"/>
    <w:lvl w:ilvl="0" w:tplc="41801540">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11BF7C5A"/>
    <w:multiLevelType w:val="hybridMultilevel"/>
    <w:tmpl w:val="E86E7C4A"/>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1" w15:restartNumberingAfterBreak="0">
    <w:nsid w:val="147F7477"/>
    <w:multiLevelType w:val="hybridMultilevel"/>
    <w:tmpl w:val="D890CC1C"/>
    <w:lvl w:ilvl="0" w:tplc="41801540">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1D811956"/>
    <w:multiLevelType w:val="hybridMultilevel"/>
    <w:tmpl w:val="72DCE592"/>
    <w:lvl w:ilvl="0" w:tplc="41801540">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1D35894"/>
    <w:multiLevelType w:val="hybridMultilevel"/>
    <w:tmpl w:val="CA8270B4"/>
    <w:lvl w:ilvl="0" w:tplc="41801540">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31C1EC9"/>
    <w:multiLevelType w:val="hybridMultilevel"/>
    <w:tmpl w:val="6B02C220"/>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5" w15:restartNumberingAfterBreak="0">
    <w:nsid w:val="266A607C"/>
    <w:multiLevelType w:val="hybridMultilevel"/>
    <w:tmpl w:val="2C1A24FE"/>
    <w:lvl w:ilvl="0" w:tplc="280C0001">
      <w:start w:val="1"/>
      <w:numFmt w:val="bullet"/>
      <w:lvlText w:val=""/>
      <w:lvlJc w:val="left"/>
      <w:pPr>
        <w:ind w:left="778" w:hanging="360"/>
      </w:pPr>
      <w:rPr>
        <w:rFonts w:ascii="Symbol" w:hAnsi="Symbol" w:hint="default"/>
      </w:rPr>
    </w:lvl>
    <w:lvl w:ilvl="1" w:tplc="280C0003" w:tentative="1">
      <w:start w:val="1"/>
      <w:numFmt w:val="bullet"/>
      <w:lvlText w:val="o"/>
      <w:lvlJc w:val="left"/>
      <w:pPr>
        <w:ind w:left="1498" w:hanging="360"/>
      </w:pPr>
      <w:rPr>
        <w:rFonts w:ascii="Courier New" w:hAnsi="Courier New" w:cs="Courier New" w:hint="default"/>
      </w:rPr>
    </w:lvl>
    <w:lvl w:ilvl="2" w:tplc="280C0005" w:tentative="1">
      <w:start w:val="1"/>
      <w:numFmt w:val="bullet"/>
      <w:lvlText w:val=""/>
      <w:lvlJc w:val="left"/>
      <w:pPr>
        <w:ind w:left="2218" w:hanging="360"/>
      </w:pPr>
      <w:rPr>
        <w:rFonts w:ascii="Wingdings" w:hAnsi="Wingdings" w:hint="default"/>
      </w:rPr>
    </w:lvl>
    <w:lvl w:ilvl="3" w:tplc="280C0001" w:tentative="1">
      <w:start w:val="1"/>
      <w:numFmt w:val="bullet"/>
      <w:lvlText w:val=""/>
      <w:lvlJc w:val="left"/>
      <w:pPr>
        <w:ind w:left="2938" w:hanging="360"/>
      </w:pPr>
      <w:rPr>
        <w:rFonts w:ascii="Symbol" w:hAnsi="Symbol" w:hint="default"/>
      </w:rPr>
    </w:lvl>
    <w:lvl w:ilvl="4" w:tplc="280C0003" w:tentative="1">
      <w:start w:val="1"/>
      <w:numFmt w:val="bullet"/>
      <w:lvlText w:val="o"/>
      <w:lvlJc w:val="left"/>
      <w:pPr>
        <w:ind w:left="3658" w:hanging="360"/>
      </w:pPr>
      <w:rPr>
        <w:rFonts w:ascii="Courier New" w:hAnsi="Courier New" w:cs="Courier New" w:hint="default"/>
      </w:rPr>
    </w:lvl>
    <w:lvl w:ilvl="5" w:tplc="280C0005" w:tentative="1">
      <w:start w:val="1"/>
      <w:numFmt w:val="bullet"/>
      <w:lvlText w:val=""/>
      <w:lvlJc w:val="left"/>
      <w:pPr>
        <w:ind w:left="4378" w:hanging="360"/>
      </w:pPr>
      <w:rPr>
        <w:rFonts w:ascii="Wingdings" w:hAnsi="Wingdings" w:hint="default"/>
      </w:rPr>
    </w:lvl>
    <w:lvl w:ilvl="6" w:tplc="280C0001" w:tentative="1">
      <w:start w:val="1"/>
      <w:numFmt w:val="bullet"/>
      <w:lvlText w:val=""/>
      <w:lvlJc w:val="left"/>
      <w:pPr>
        <w:ind w:left="5098" w:hanging="360"/>
      </w:pPr>
      <w:rPr>
        <w:rFonts w:ascii="Symbol" w:hAnsi="Symbol" w:hint="default"/>
      </w:rPr>
    </w:lvl>
    <w:lvl w:ilvl="7" w:tplc="280C0003" w:tentative="1">
      <w:start w:val="1"/>
      <w:numFmt w:val="bullet"/>
      <w:lvlText w:val="o"/>
      <w:lvlJc w:val="left"/>
      <w:pPr>
        <w:ind w:left="5818" w:hanging="360"/>
      </w:pPr>
      <w:rPr>
        <w:rFonts w:ascii="Courier New" w:hAnsi="Courier New" w:cs="Courier New" w:hint="default"/>
      </w:rPr>
    </w:lvl>
    <w:lvl w:ilvl="8" w:tplc="280C0005" w:tentative="1">
      <w:start w:val="1"/>
      <w:numFmt w:val="bullet"/>
      <w:lvlText w:val=""/>
      <w:lvlJc w:val="left"/>
      <w:pPr>
        <w:ind w:left="6538" w:hanging="360"/>
      </w:pPr>
      <w:rPr>
        <w:rFonts w:ascii="Wingdings" w:hAnsi="Wingdings" w:hint="default"/>
      </w:rPr>
    </w:lvl>
  </w:abstractNum>
  <w:abstractNum w:abstractNumId="16" w15:restartNumberingAfterBreak="0">
    <w:nsid w:val="31597310"/>
    <w:multiLevelType w:val="hybridMultilevel"/>
    <w:tmpl w:val="D2B02202"/>
    <w:lvl w:ilvl="0" w:tplc="41801540">
      <w:start w:val="1"/>
      <w:numFmt w:val="bullet"/>
      <w:lvlText w:val="•"/>
      <w:lvlJc w:val="left"/>
      <w:pPr>
        <w:ind w:left="775" w:hanging="360"/>
      </w:pPr>
      <w:rPr>
        <w:rFonts w:ascii="Arial" w:hAnsi="Arial" w:cs="Times New Roman" w:hint="default"/>
      </w:rPr>
    </w:lvl>
    <w:lvl w:ilvl="1" w:tplc="040C0003">
      <w:start w:val="1"/>
      <w:numFmt w:val="bullet"/>
      <w:lvlText w:val="o"/>
      <w:lvlJc w:val="left"/>
      <w:pPr>
        <w:ind w:left="1495" w:hanging="360"/>
      </w:pPr>
      <w:rPr>
        <w:rFonts w:ascii="Courier New" w:hAnsi="Courier New" w:cs="Courier New" w:hint="default"/>
      </w:rPr>
    </w:lvl>
    <w:lvl w:ilvl="2" w:tplc="040C0005">
      <w:start w:val="1"/>
      <w:numFmt w:val="bullet"/>
      <w:lvlText w:val=""/>
      <w:lvlJc w:val="left"/>
      <w:pPr>
        <w:ind w:left="2215" w:hanging="360"/>
      </w:pPr>
      <w:rPr>
        <w:rFonts w:ascii="Wingdings" w:hAnsi="Wingdings" w:hint="default"/>
      </w:rPr>
    </w:lvl>
    <w:lvl w:ilvl="3" w:tplc="040C0001">
      <w:start w:val="1"/>
      <w:numFmt w:val="bullet"/>
      <w:lvlText w:val=""/>
      <w:lvlJc w:val="left"/>
      <w:pPr>
        <w:ind w:left="2935" w:hanging="360"/>
      </w:pPr>
      <w:rPr>
        <w:rFonts w:ascii="Symbol" w:hAnsi="Symbol" w:hint="default"/>
      </w:rPr>
    </w:lvl>
    <w:lvl w:ilvl="4" w:tplc="040C0003">
      <w:start w:val="1"/>
      <w:numFmt w:val="bullet"/>
      <w:lvlText w:val="o"/>
      <w:lvlJc w:val="left"/>
      <w:pPr>
        <w:ind w:left="3655" w:hanging="360"/>
      </w:pPr>
      <w:rPr>
        <w:rFonts w:ascii="Courier New" w:hAnsi="Courier New" w:cs="Courier New" w:hint="default"/>
      </w:rPr>
    </w:lvl>
    <w:lvl w:ilvl="5" w:tplc="040C0005">
      <w:start w:val="1"/>
      <w:numFmt w:val="bullet"/>
      <w:lvlText w:val=""/>
      <w:lvlJc w:val="left"/>
      <w:pPr>
        <w:ind w:left="4375" w:hanging="360"/>
      </w:pPr>
      <w:rPr>
        <w:rFonts w:ascii="Wingdings" w:hAnsi="Wingdings" w:hint="default"/>
      </w:rPr>
    </w:lvl>
    <w:lvl w:ilvl="6" w:tplc="040C0001">
      <w:start w:val="1"/>
      <w:numFmt w:val="bullet"/>
      <w:lvlText w:val=""/>
      <w:lvlJc w:val="left"/>
      <w:pPr>
        <w:ind w:left="5095" w:hanging="360"/>
      </w:pPr>
      <w:rPr>
        <w:rFonts w:ascii="Symbol" w:hAnsi="Symbol" w:hint="default"/>
      </w:rPr>
    </w:lvl>
    <w:lvl w:ilvl="7" w:tplc="040C0003">
      <w:start w:val="1"/>
      <w:numFmt w:val="bullet"/>
      <w:lvlText w:val="o"/>
      <w:lvlJc w:val="left"/>
      <w:pPr>
        <w:ind w:left="5815" w:hanging="360"/>
      </w:pPr>
      <w:rPr>
        <w:rFonts w:ascii="Courier New" w:hAnsi="Courier New" w:cs="Courier New" w:hint="default"/>
      </w:rPr>
    </w:lvl>
    <w:lvl w:ilvl="8" w:tplc="040C0005">
      <w:start w:val="1"/>
      <w:numFmt w:val="bullet"/>
      <w:lvlText w:val=""/>
      <w:lvlJc w:val="left"/>
      <w:pPr>
        <w:ind w:left="6535" w:hanging="360"/>
      </w:pPr>
      <w:rPr>
        <w:rFonts w:ascii="Wingdings" w:hAnsi="Wingdings" w:hint="default"/>
      </w:rPr>
    </w:lvl>
  </w:abstractNum>
  <w:abstractNum w:abstractNumId="17" w15:restartNumberingAfterBreak="0">
    <w:nsid w:val="35275068"/>
    <w:multiLevelType w:val="multilevel"/>
    <w:tmpl w:val="E32C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46606"/>
    <w:multiLevelType w:val="hybridMultilevel"/>
    <w:tmpl w:val="2A1E3E52"/>
    <w:lvl w:ilvl="0" w:tplc="280C0001">
      <w:start w:val="1"/>
      <w:numFmt w:val="bullet"/>
      <w:lvlText w:val=""/>
      <w:lvlJc w:val="left"/>
      <w:pPr>
        <w:ind w:left="772" w:hanging="360"/>
      </w:pPr>
      <w:rPr>
        <w:rFonts w:ascii="Symbol" w:hAnsi="Symbol" w:hint="default"/>
      </w:rPr>
    </w:lvl>
    <w:lvl w:ilvl="1" w:tplc="280C0003" w:tentative="1">
      <w:start w:val="1"/>
      <w:numFmt w:val="bullet"/>
      <w:lvlText w:val="o"/>
      <w:lvlJc w:val="left"/>
      <w:pPr>
        <w:ind w:left="1492" w:hanging="360"/>
      </w:pPr>
      <w:rPr>
        <w:rFonts w:ascii="Courier New" w:hAnsi="Courier New" w:cs="Courier New" w:hint="default"/>
      </w:rPr>
    </w:lvl>
    <w:lvl w:ilvl="2" w:tplc="280C0005" w:tentative="1">
      <w:start w:val="1"/>
      <w:numFmt w:val="bullet"/>
      <w:lvlText w:val=""/>
      <w:lvlJc w:val="left"/>
      <w:pPr>
        <w:ind w:left="2212" w:hanging="360"/>
      </w:pPr>
      <w:rPr>
        <w:rFonts w:ascii="Wingdings" w:hAnsi="Wingdings" w:hint="default"/>
      </w:rPr>
    </w:lvl>
    <w:lvl w:ilvl="3" w:tplc="280C0001" w:tentative="1">
      <w:start w:val="1"/>
      <w:numFmt w:val="bullet"/>
      <w:lvlText w:val=""/>
      <w:lvlJc w:val="left"/>
      <w:pPr>
        <w:ind w:left="2932" w:hanging="360"/>
      </w:pPr>
      <w:rPr>
        <w:rFonts w:ascii="Symbol" w:hAnsi="Symbol" w:hint="default"/>
      </w:rPr>
    </w:lvl>
    <w:lvl w:ilvl="4" w:tplc="280C0003" w:tentative="1">
      <w:start w:val="1"/>
      <w:numFmt w:val="bullet"/>
      <w:lvlText w:val="o"/>
      <w:lvlJc w:val="left"/>
      <w:pPr>
        <w:ind w:left="3652" w:hanging="360"/>
      </w:pPr>
      <w:rPr>
        <w:rFonts w:ascii="Courier New" w:hAnsi="Courier New" w:cs="Courier New" w:hint="default"/>
      </w:rPr>
    </w:lvl>
    <w:lvl w:ilvl="5" w:tplc="280C0005" w:tentative="1">
      <w:start w:val="1"/>
      <w:numFmt w:val="bullet"/>
      <w:lvlText w:val=""/>
      <w:lvlJc w:val="left"/>
      <w:pPr>
        <w:ind w:left="4372" w:hanging="360"/>
      </w:pPr>
      <w:rPr>
        <w:rFonts w:ascii="Wingdings" w:hAnsi="Wingdings" w:hint="default"/>
      </w:rPr>
    </w:lvl>
    <w:lvl w:ilvl="6" w:tplc="280C0001" w:tentative="1">
      <w:start w:val="1"/>
      <w:numFmt w:val="bullet"/>
      <w:lvlText w:val=""/>
      <w:lvlJc w:val="left"/>
      <w:pPr>
        <w:ind w:left="5092" w:hanging="360"/>
      </w:pPr>
      <w:rPr>
        <w:rFonts w:ascii="Symbol" w:hAnsi="Symbol" w:hint="default"/>
      </w:rPr>
    </w:lvl>
    <w:lvl w:ilvl="7" w:tplc="280C0003" w:tentative="1">
      <w:start w:val="1"/>
      <w:numFmt w:val="bullet"/>
      <w:lvlText w:val="o"/>
      <w:lvlJc w:val="left"/>
      <w:pPr>
        <w:ind w:left="5812" w:hanging="360"/>
      </w:pPr>
      <w:rPr>
        <w:rFonts w:ascii="Courier New" w:hAnsi="Courier New" w:cs="Courier New" w:hint="default"/>
      </w:rPr>
    </w:lvl>
    <w:lvl w:ilvl="8" w:tplc="280C0005" w:tentative="1">
      <w:start w:val="1"/>
      <w:numFmt w:val="bullet"/>
      <w:lvlText w:val=""/>
      <w:lvlJc w:val="left"/>
      <w:pPr>
        <w:ind w:left="6532" w:hanging="360"/>
      </w:pPr>
      <w:rPr>
        <w:rFonts w:ascii="Wingdings" w:hAnsi="Wingdings" w:hint="default"/>
      </w:rPr>
    </w:lvl>
  </w:abstractNum>
  <w:abstractNum w:abstractNumId="19" w15:restartNumberingAfterBreak="0">
    <w:nsid w:val="47ED03A5"/>
    <w:multiLevelType w:val="multilevel"/>
    <w:tmpl w:val="F1A03B08"/>
    <w:lvl w:ilvl="0">
      <w:start w:val="3"/>
      <w:numFmt w:val="decimal"/>
      <w:lvlText w:val="%1"/>
      <w:lvlJc w:val="left"/>
      <w:pPr>
        <w:ind w:left="360" w:hanging="360"/>
      </w:pPr>
      <w:rPr>
        <w:rFonts w:hint="default"/>
      </w:rPr>
    </w:lvl>
    <w:lvl w:ilvl="1">
      <w:start w:val="1"/>
      <w:numFmt w:val="decimal"/>
      <w:pStyle w:val="Titre3"/>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D0030E9"/>
    <w:multiLevelType w:val="hybridMultilevel"/>
    <w:tmpl w:val="4AFAE4FA"/>
    <w:lvl w:ilvl="0" w:tplc="280C0001">
      <w:start w:val="1"/>
      <w:numFmt w:val="bullet"/>
      <w:lvlText w:val=""/>
      <w:lvlJc w:val="left"/>
      <w:pPr>
        <w:ind w:left="778" w:hanging="360"/>
      </w:pPr>
      <w:rPr>
        <w:rFonts w:ascii="Symbol" w:hAnsi="Symbol" w:hint="default"/>
      </w:rPr>
    </w:lvl>
    <w:lvl w:ilvl="1" w:tplc="280C0003" w:tentative="1">
      <w:start w:val="1"/>
      <w:numFmt w:val="bullet"/>
      <w:lvlText w:val="o"/>
      <w:lvlJc w:val="left"/>
      <w:pPr>
        <w:ind w:left="1498" w:hanging="360"/>
      </w:pPr>
      <w:rPr>
        <w:rFonts w:ascii="Courier New" w:hAnsi="Courier New" w:cs="Courier New" w:hint="default"/>
      </w:rPr>
    </w:lvl>
    <w:lvl w:ilvl="2" w:tplc="280C0005" w:tentative="1">
      <w:start w:val="1"/>
      <w:numFmt w:val="bullet"/>
      <w:lvlText w:val=""/>
      <w:lvlJc w:val="left"/>
      <w:pPr>
        <w:ind w:left="2218" w:hanging="360"/>
      </w:pPr>
      <w:rPr>
        <w:rFonts w:ascii="Wingdings" w:hAnsi="Wingdings" w:hint="default"/>
      </w:rPr>
    </w:lvl>
    <w:lvl w:ilvl="3" w:tplc="280C0001" w:tentative="1">
      <w:start w:val="1"/>
      <w:numFmt w:val="bullet"/>
      <w:lvlText w:val=""/>
      <w:lvlJc w:val="left"/>
      <w:pPr>
        <w:ind w:left="2938" w:hanging="360"/>
      </w:pPr>
      <w:rPr>
        <w:rFonts w:ascii="Symbol" w:hAnsi="Symbol" w:hint="default"/>
      </w:rPr>
    </w:lvl>
    <w:lvl w:ilvl="4" w:tplc="280C0003" w:tentative="1">
      <w:start w:val="1"/>
      <w:numFmt w:val="bullet"/>
      <w:lvlText w:val="o"/>
      <w:lvlJc w:val="left"/>
      <w:pPr>
        <w:ind w:left="3658" w:hanging="360"/>
      </w:pPr>
      <w:rPr>
        <w:rFonts w:ascii="Courier New" w:hAnsi="Courier New" w:cs="Courier New" w:hint="default"/>
      </w:rPr>
    </w:lvl>
    <w:lvl w:ilvl="5" w:tplc="280C0005" w:tentative="1">
      <w:start w:val="1"/>
      <w:numFmt w:val="bullet"/>
      <w:lvlText w:val=""/>
      <w:lvlJc w:val="left"/>
      <w:pPr>
        <w:ind w:left="4378" w:hanging="360"/>
      </w:pPr>
      <w:rPr>
        <w:rFonts w:ascii="Wingdings" w:hAnsi="Wingdings" w:hint="default"/>
      </w:rPr>
    </w:lvl>
    <w:lvl w:ilvl="6" w:tplc="280C0001" w:tentative="1">
      <w:start w:val="1"/>
      <w:numFmt w:val="bullet"/>
      <w:lvlText w:val=""/>
      <w:lvlJc w:val="left"/>
      <w:pPr>
        <w:ind w:left="5098" w:hanging="360"/>
      </w:pPr>
      <w:rPr>
        <w:rFonts w:ascii="Symbol" w:hAnsi="Symbol" w:hint="default"/>
      </w:rPr>
    </w:lvl>
    <w:lvl w:ilvl="7" w:tplc="280C0003" w:tentative="1">
      <w:start w:val="1"/>
      <w:numFmt w:val="bullet"/>
      <w:lvlText w:val="o"/>
      <w:lvlJc w:val="left"/>
      <w:pPr>
        <w:ind w:left="5818" w:hanging="360"/>
      </w:pPr>
      <w:rPr>
        <w:rFonts w:ascii="Courier New" w:hAnsi="Courier New" w:cs="Courier New" w:hint="default"/>
      </w:rPr>
    </w:lvl>
    <w:lvl w:ilvl="8" w:tplc="280C0005" w:tentative="1">
      <w:start w:val="1"/>
      <w:numFmt w:val="bullet"/>
      <w:lvlText w:val=""/>
      <w:lvlJc w:val="left"/>
      <w:pPr>
        <w:ind w:left="6538" w:hanging="360"/>
      </w:pPr>
      <w:rPr>
        <w:rFonts w:ascii="Wingdings" w:hAnsi="Wingdings" w:hint="default"/>
      </w:rPr>
    </w:lvl>
  </w:abstractNum>
  <w:abstractNum w:abstractNumId="21" w15:restartNumberingAfterBreak="0">
    <w:nsid w:val="4DFC0D72"/>
    <w:multiLevelType w:val="hybridMultilevel"/>
    <w:tmpl w:val="E91C5894"/>
    <w:lvl w:ilvl="0" w:tplc="DEF643D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5277698F"/>
    <w:multiLevelType w:val="hybridMultilevel"/>
    <w:tmpl w:val="07D863DC"/>
    <w:lvl w:ilvl="0" w:tplc="41801540">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59DB75EB"/>
    <w:multiLevelType w:val="multilevel"/>
    <w:tmpl w:val="D72E84A8"/>
    <w:lvl w:ilvl="0">
      <w:start w:val="1"/>
      <w:numFmt w:val="none"/>
      <w:pStyle w:val="Titre1"/>
      <w:lvlText w:val=""/>
      <w:lvlJc w:val="left"/>
      <w:pPr>
        <w:ind w:left="432" w:hanging="432"/>
      </w:pPr>
      <w:rPr>
        <w:rFonts w:hint="default"/>
      </w:rPr>
    </w:lvl>
    <w:lvl w:ilvl="1">
      <w:start w:val="1"/>
      <w:numFmt w:val="decimal"/>
      <w:pStyle w:val="Titre2"/>
      <w:isLgl/>
      <w:lvlText w:val="%1%2."/>
      <w:lvlJc w:val="left"/>
      <w:pPr>
        <w:ind w:left="1853" w:hanging="576"/>
      </w:pPr>
      <w:rPr>
        <w:rFonts w:hint="default"/>
      </w:rPr>
    </w:lvl>
    <w:lvl w:ilvl="2">
      <w:start w:val="1"/>
      <w:numFmt w:val="decimal"/>
      <w:lvlText w:val="%2.%3%1."/>
      <w:lvlJc w:val="left"/>
      <w:pPr>
        <w:ind w:left="4690" w:hanging="720"/>
      </w:pPr>
      <w:rPr>
        <w:rFonts w:hint="default"/>
      </w:rPr>
    </w:lvl>
    <w:lvl w:ilvl="3">
      <w:start w:val="1"/>
      <w:numFmt w:val="none"/>
      <w:lvlText w:val="%2.%3.1."/>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36035C"/>
    <w:multiLevelType w:val="hybridMultilevel"/>
    <w:tmpl w:val="61D47034"/>
    <w:lvl w:ilvl="0" w:tplc="28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5C6B50E2"/>
    <w:multiLevelType w:val="hybridMultilevel"/>
    <w:tmpl w:val="EE70E678"/>
    <w:lvl w:ilvl="0" w:tplc="280C0001">
      <w:start w:val="1"/>
      <w:numFmt w:val="bullet"/>
      <w:lvlText w:val=""/>
      <w:lvlJc w:val="left"/>
      <w:pPr>
        <w:ind w:left="775" w:hanging="360"/>
      </w:pPr>
      <w:rPr>
        <w:rFonts w:ascii="Symbol" w:hAnsi="Symbol" w:hint="default"/>
      </w:rPr>
    </w:lvl>
    <w:lvl w:ilvl="1" w:tplc="280C0003" w:tentative="1">
      <w:start w:val="1"/>
      <w:numFmt w:val="bullet"/>
      <w:lvlText w:val="o"/>
      <w:lvlJc w:val="left"/>
      <w:pPr>
        <w:ind w:left="1495" w:hanging="360"/>
      </w:pPr>
      <w:rPr>
        <w:rFonts w:ascii="Courier New" w:hAnsi="Courier New" w:cs="Courier New" w:hint="default"/>
      </w:rPr>
    </w:lvl>
    <w:lvl w:ilvl="2" w:tplc="280C0005" w:tentative="1">
      <w:start w:val="1"/>
      <w:numFmt w:val="bullet"/>
      <w:lvlText w:val=""/>
      <w:lvlJc w:val="left"/>
      <w:pPr>
        <w:ind w:left="2215" w:hanging="360"/>
      </w:pPr>
      <w:rPr>
        <w:rFonts w:ascii="Wingdings" w:hAnsi="Wingdings" w:hint="default"/>
      </w:rPr>
    </w:lvl>
    <w:lvl w:ilvl="3" w:tplc="280C0001" w:tentative="1">
      <w:start w:val="1"/>
      <w:numFmt w:val="bullet"/>
      <w:lvlText w:val=""/>
      <w:lvlJc w:val="left"/>
      <w:pPr>
        <w:ind w:left="2935" w:hanging="360"/>
      </w:pPr>
      <w:rPr>
        <w:rFonts w:ascii="Symbol" w:hAnsi="Symbol" w:hint="default"/>
      </w:rPr>
    </w:lvl>
    <w:lvl w:ilvl="4" w:tplc="280C0003" w:tentative="1">
      <w:start w:val="1"/>
      <w:numFmt w:val="bullet"/>
      <w:lvlText w:val="o"/>
      <w:lvlJc w:val="left"/>
      <w:pPr>
        <w:ind w:left="3655" w:hanging="360"/>
      </w:pPr>
      <w:rPr>
        <w:rFonts w:ascii="Courier New" w:hAnsi="Courier New" w:cs="Courier New" w:hint="default"/>
      </w:rPr>
    </w:lvl>
    <w:lvl w:ilvl="5" w:tplc="280C0005" w:tentative="1">
      <w:start w:val="1"/>
      <w:numFmt w:val="bullet"/>
      <w:lvlText w:val=""/>
      <w:lvlJc w:val="left"/>
      <w:pPr>
        <w:ind w:left="4375" w:hanging="360"/>
      </w:pPr>
      <w:rPr>
        <w:rFonts w:ascii="Wingdings" w:hAnsi="Wingdings" w:hint="default"/>
      </w:rPr>
    </w:lvl>
    <w:lvl w:ilvl="6" w:tplc="280C0001" w:tentative="1">
      <w:start w:val="1"/>
      <w:numFmt w:val="bullet"/>
      <w:lvlText w:val=""/>
      <w:lvlJc w:val="left"/>
      <w:pPr>
        <w:ind w:left="5095" w:hanging="360"/>
      </w:pPr>
      <w:rPr>
        <w:rFonts w:ascii="Symbol" w:hAnsi="Symbol" w:hint="default"/>
      </w:rPr>
    </w:lvl>
    <w:lvl w:ilvl="7" w:tplc="280C0003" w:tentative="1">
      <w:start w:val="1"/>
      <w:numFmt w:val="bullet"/>
      <w:lvlText w:val="o"/>
      <w:lvlJc w:val="left"/>
      <w:pPr>
        <w:ind w:left="5815" w:hanging="360"/>
      </w:pPr>
      <w:rPr>
        <w:rFonts w:ascii="Courier New" w:hAnsi="Courier New" w:cs="Courier New" w:hint="default"/>
      </w:rPr>
    </w:lvl>
    <w:lvl w:ilvl="8" w:tplc="280C0005" w:tentative="1">
      <w:start w:val="1"/>
      <w:numFmt w:val="bullet"/>
      <w:lvlText w:val=""/>
      <w:lvlJc w:val="left"/>
      <w:pPr>
        <w:ind w:left="6535" w:hanging="360"/>
      </w:pPr>
      <w:rPr>
        <w:rFonts w:ascii="Wingdings" w:hAnsi="Wingdings" w:hint="default"/>
      </w:rPr>
    </w:lvl>
  </w:abstractNum>
  <w:abstractNum w:abstractNumId="26" w15:restartNumberingAfterBreak="0">
    <w:nsid w:val="6A4E7B89"/>
    <w:multiLevelType w:val="hybridMultilevel"/>
    <w:tmpl w:val="8EEA34A0"/>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7" w15:restartNumberingAfterBreak="0">
    <w:nsid w:val="6BD357D4"/>
    <w:multiLevelType w:val="hybridMultilevel"/>
    <w:tmpl w:val="99863E6A"/>
    <w:lvl w:ilvl="0" w:tplc="280C0019">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8" w15:restartNumberingAfterBreak="0">
    <w:nsid w:val="71977269"/>
    <w:multiLevelType w:val="multilevel"/>
    <w:tmpl w:val="F4A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A5DD5"/>
    <w:multiLevelType w:val="hybridMultilevel"/>
    <w:tmpl w:val="77EAE7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0" w15:restartNumberingAfterBreak="0">
    <w:nsid w:val="7B7F17C0"/>
    <w:multiLevelType w:val="hybridMultilevel"/>
    <w:tmpl w:val="B1F458E0"/>
    <w:lvl w:ilvl="0" w:tplc="41801540">
      <w:start w:val="1"/>
      <w:numFmt w:val="bullet"/>
      <w:lvlText w:val="•"/>
      <w:lvlJc w:val="left"/>
      <w:pPr>
        <w:ind w:left="720" w:hanging="360"/>
      </w:pPr>
      <w:rPr>
        <w:rFonts w:ascii="Arial" w:hAnsi="Aria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15:restartNumberingAfterBreak="0">
    <w:nsid w:val="7CE372DE"/>
    <w:multiLevelType w:val="hybridMultilevel"/>
    <w:tmpl w:val="C83C20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7CEA6250"/>
    <w:multiLevelType w:val="hybridMultilevel"/>
    <w:tmpl w:val="E75669CA"/>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16cid:durableId="1141845282">
    <w:abstractNumId w:val="5"/>
  </w:num>
  <w:num w:numId="2" w16cid:durableId="383262957">
    <w:abstractNumId w:val="3"/>
  </w:num>
  <w:num w:numId="3" w16cid:durableId="1006516068">
    <w:abstractNumId w:val="2"/>
  </w:num>
  <w:num w:numId="4" w16cid:durableId="980502190">
    <w:abstractNumId w:val="4"/>
  </w:num>
  <w:num w:numId="5" w16cid:durableId="1313631394">
    <w:abstractNumId w:val="1"/>
  </w:num>
  <w:num w:numId="6" w16cid:durableId="391345068">
    <w:abstractNumId w:val="0"/>
  </w:num>
  <w:num w:numId="7" w16cid:durableId="2044165720">
    <w:abstractNumId w:val="31"/>
  </w:num>
  <w:num w:numId="8" w16cid:durableId="1446192710">
    <w:abstractNumId w:val="13"/>
  </w:num>
  <w:num w:numId="9" w16cid:durableId="1494645878">
    <w:abstractNumId w:val="22"/>
  </w:num>
  <w:num w:numId="10" w16cid:durableId="18360084">
    <w:abstractNumId w:val="24"/>
  </w:num>
  <w:num w:numId="11" w16cid:durableId="1792747611">
    <w:abstractNumId w:val="16"/>
  </w:num>
  <w:num w:numId="12" w16cid:durableId="607470228">
    <w:abstractNumId w:val="21"/>
  </w:num>
  <w:num w:numId="13" w16cid:durableId="985544884">
    <w:abstractNumId w:val="9"/>
  </w:num>
  <w:num w:numId="14" w16cid:durableId="897131110">
    <w:abstractNumId w:val="12"/>
  </w:num>
  <w:num w:numId="15" w16cid:durableId="21129916">
    <w:abstractNumId w:val="7"/>
  </w:num>
  <w:num w:numId="16" w16cid:durableId="1084644738">
    <w:abstractNumId w:val="30"/>
  </w:num>
  <w:num w:numId="17" w16cid:durableId="1000111715">
    <w:abstractNumId w:val="11"/>
  </w:num>
  <w:num w:numId="18" w16cid:durableId="951321438">
    <w:abstractNumId w:val="17"/>
  </w:num>
  <w:num w:numId="19" w16cid:durableId="692343100">
    <w:abstractNumId w:val="28"/>
  </w:num>
  <w:num w:numId="20" w16cid:durableId="81728394">
    <w:abstractNumId w:val="27"/>
  </w:num>
  <w:num w:numId="21" w16cid:durableId="166330836">
    <w:abstractNumId w:val="18"/>
  </w:num>
  <w:num w:numId="22" w16cid:durableId="728964410">
    <w:abstractNumId w:val="29"/>
  </w:num>
  <w:num w:numId="23" w16cid:durableId="1396396848">
    <w:abstractNumId w:val="14"/>
  </w:num>
  <w:num w:numId="24" w16cid:durableId="2030328740">
    <w:abstractNumId w:val="26"/>
  </w:num>
  <w:num w:numId="25" w16cid:durableId="2003195147">
    <w:abstractNumId w:val="25"/>
  </w:num>
  <w:num w:numId="26" w16cid:durableId="1743680994">
    <w:abstractNumId w:val="15"/>
  </w:num>
  <w:num w:numId="27" w16cid:durableId="171842920">
    <w:abstractNumId w:val="20"/>
  </w:num>
  <w:num w:numId="28" w16cid:durableId="42991781">
    <w:abstractNumId w:val="6"/>
  </w:num>
  <w:num w:numId="29" w16cid:durableId="1669481044">
    <w:abstractNumId w:val="23"/>
  </w:num>
  <w:num w:numId="30" w16cid:durableId="1706173395">
    <w:abstractNumId w:val="8"/>
  </w:num>
  <w:num w:numId="31" w16cid:durableId="30808508">
    <w:abstractNumId w:val="19"/>
  </w:num>
  <w:num w:numId="32" w16cid:durableId="73866121">
    <w:abstractNumId w:val="10"/>
  </w:num>
  <w:num w:numId="33" w16cid:durableId="295263227">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4DB6"/>
    <w:rsid w:val="00006BFF"/>
    <w:rsid w:val="00010F87"/>
    <w:rsid w:val="00023158"/>
    <w:rsid w:val="0003278A"/>
    <w:rsid w:val="000342B6"/>
    <w:rsid w:val="00034616"/>
    <w:rsid w:val="00037DDF"/>
    <w:rsid w:val="00040E48"/>
    <w:rsid w:val="00050F0D"/>
    <w:rsid w:val="00054903"/>
    <w:rsid w:val="0006063C"/>
    <w:rsid w:val="0007734C"/>
    <w:rsid w:val="0008044B"/>
    <w:rsid w:val="00083613"/>
    <w:rsid w:val="00094077"/>
    <w:rsid w:val="000A020F"/>
    <w:rsid w:val="000A49AF"/>
    <w:rsid w:val="000B3B01"/>
    <w:rsid w:val="000B73CD"/>
    <w:rsid w:val="001217B4"/>
    <w:rsid w:val="001230C7"/>
    <w:rsid w:val="00142226"/>
    <w:rsid w:val="001443D2"/>
    <w:rsid w:val="00145662"/>
    <w:rsid w:val="001500AF"/>
    <w:rsid w:val="0015074B"/>
    <w:rsid w:val="00166B6B"/>
    <w:rsid w:val="0017785E"/>
    <w:rsid w:val="0019380B"/>
    <w:rsid w:val="001A3247"/>
    <w:rsid w:val="001A42AD"/>
    <w:rsid w:val="001B340F"/>
    <w:rsid w:val="001C5DDB"/>
    <w:rsid w:val="001D41BD"/>
    <w:rsid w:val="001E54C1"/>
    <w:rsid w:val="001E7C15"/>
    <w:rsid w:val="001F0A9F"/>
    <w:rsid w:val="001F4B23"/>
    <w:rsid w:val="00200D8A"/>
    <w:rsid w:val="00206444"/>
    <w:rsid w:val="002077D1"/>
    <w:rsid w:val="00210041"/>
    <w:rsid w:val="00216FDC"/>
    <w:rsid w:val="00221676"/>
    <w:rsid w:val="0022769D"/>
    <w:rsid w:val="00230BFF"/>
    <w:rsid w:val="002352AD"/>
    <w:rsid w:val="0023656B"/>
    <w:rsid w:val="002516B1"/>
    <w:rsid w:val="00267EB8"/>
    <w:rsid w:val="00270DBE"/>
    <w:rsid w:val="002761B5"/>
    <w:rsid w:val="00276FE9"/>
    <w:rsid w:val="00284558"/>
    <w:rsid w:val="0029639D"/>
    <w:rsid w:val="00297C08"/>
    <w:rsid w:val="002A040A"/>
    <w:rsid w:val="002A0E44"/>
    <w:rsid w:val="002B0A30"/>
    <w:rsid w:val="002D28BF"/>
    <w:rsid w:val="002D3051"/>
    <w:rsid w:val="002D33D4"/>
    <w:rsid w:val="002D40D7"/>
    <w:rsid w:val="00314121"/>
    <w:rsid w:val="00326F90"/>
    <w:rsid w:val="0035065B"/>
    <w:rsid w:val="0035141D"/>
    <w:rsid w:val="003558B2"/>
    <w:rsid w:val="003742CA"/>
    <w:rsid w:val="0039140F"/>
    <w:rsid w:val="00397035"/>
    <w:rsid w:val="003D01BB"/>
    <w:rsid w:val="003E3057"/>
    <w:rsid w:val="003F3638"/>
    <w:rsid w:val="00404D27"/>
    <w:rsid w:val="00416F9A"/>
    <w:rsid w:val="004203A2"/>
    <w:rsid w:val="00424A32"/>
    <w:rsid w:val="00425B15"/>
    <w:rsid w:val="00427D57"/>
    <w:rsid w:val="00455572"/>
    <w:rsid w:val="0047752C"/>
    <w:rsid w:val="00487BB3"/>
    <w:rsid w:val="004908F7"/>
    <w:rsid w:val="00495242"/>
    <w:rsid w:val="004A1598"/>
    <w:rsid w:val="004A3A28"/>
    <w:rsid w:val="004A5619"/>
    <w:rsid w:val="004A7A46"/>
    <w:rsid w:val="004C3BFE"/>
    <w:rsid w:val="004D0F3D"/>
    <w:rsid w:val="004E3A8D"/>
    <w:rsid w:val="004E657F"/>
    <w:rsid w:val="004F1239"/>
    <w:rsid w:val="004F6E9B"/>
    <w:rsid w:val="00522A6B"/>
    <w:rsid w:val="005401AD"/>
    <w:rsid w:val="00550638"/>
    <w:rsid w:val="00551B2A"/>
    <w:rsid w:val="005558FD"/>
    <w:rsid w:val="0056159E"/>
    <w:rsid w:val="00562A22"/>
    <w:rsid w:val="00564065"/>
    <w:rsid w:val="00567573"/>
    <w:rsid w:val="005675A4"/>
    <w:rsid w:val="005728E5"/>
    <w:rsid w:val="00585C8A"/>
    <w:rsid w:val="00590C92"/>
    <w:rsid w:val="005A7D79"/>
    <w:rsid w:val="005B509C"/>
    <w:rsid w:val="005D1F52"/>
    <w:rsid w:val="005E644B"/>
    <w:rsid w:val="005F2A63"/>
    <w:rsid w:val="00600392"/>
    <w:rsid w:val="00623CA0"/>
    <w:rsid w:val="006320BF"/>
    <w:rsid w:val="00644862"/>
    <w:rsid w:val="006723FF"/>
    <w:rsid w:val="0068113B"/>
    <w:rsid w:val="006A1651"/>
    <w:rsid w:val="006A709F"/>
    <w:rsid w:val="006A7CD4"/>
    <w:rsid w:val="006B1C15"/>
    <w:rsid w:val="006B4FAA"/>
    <w:rsid w:val="006C5166"/>
    <w:rsid w:val="006C542F"/>
    <w:rsid w:val="006C5C80"/>
    <w:rsid w:val="006D0BA4"/>
    <w:rsid w:val="006D3FB2"/>
    <w:rsid w:val="006D76BC"/>
    <w:rsid w:val="006E36F1"/>
    <w:rsid w:val="006F1B33"/>
    <w:rsid w:val="00704ECE"/>
    <w:rsid w:val="007143BE"/>
    <w:rsid w:val="00726096"/>
    <w:rsid w:val="007307B6"/>
    <w:rsid w:val="00731D95"/>
    <w:rsid w:val="00736895"/>
    <w:rsid w:val="00747953"/>
    <w:rsid w:val="00751A2B"/>
    <w:rsid w:val="007606C9"/>
    <w:rsid w:val="0076226E"/>
    <w:rsid w:val="00771360"/>
    <w:rsid w:val="007716E6"/>
    <w:rsid w:val="00771C04"/>
    <w:rsid w:val="00786114"/>
    <w:rsid w:val="00795372"/>
    <w:rsid w:val="00797F2B"/>
    <w:rsid w:val="007A7CF0"/>
    <w:rsid w:val="007D4E32"/>
    <w:rsid w:val="007D5CA3"/>
    <w:rsid w:val="007E1BA0"/>
    <w:rsid w:val="007E7228"/>
    <w:rsid w:val="007F7414"/>
    <w:rsid w:val="0080045B"/>
    <w:rsid w:val="00806AD5"/>
    <w:rsid w:val="00815AF0"/>
    <w:rsid w:val="008312D4"/>
    <w:rsid w:val="00837213"/>
    <w:rsid w:val="008428AD"/>
    <w:rsid w:val="00842DD4"/>
    <w:rsid w:val="008606F9"/>
    <w:rsid w:val="00863501"/>
    <w:rsid w:val="008668D5"/>
    <w:rsid w:val="0086691C"/>
    <w:rsid w:val="00881B1C"/>
    <w:rsid w:val="00885F12"/>
    <w:rsid w:val="008864A3"/>
    <w:rsid w:val="008B527A"/>
    <w:rsid w:val="008C3537"/>
    <w:rsid w:val="008C48EB"/>
    <w:rsid w:val="008F23CE"/>
    <w:rsid w:val="00902B11"/>
    <w:rsid w:val="00904D01"/>
    <w:rsid w:val="0091228F"/>
    <w:rsid w:val="00932516"/>
    <w:rsid w:val="00940CCC"/>
    <w:rsid w:val="00951D72"/>
    <w:rsid w:val="009663CE"/>
    <w:rsid w:val="00974658"/>
    <w:rsid w:val="009766B8"/>
    <w:rsid w:val="00983F4D"/>
    <w:rsid w:val="00990DF4"/>
    <w:rsid w:val="009918C9"/>
    <w:rsid w:val="009A1B41"/>
    <w:rsid w:val="009A2781"/>
    <w:rsid w:val="009A774D"/>
    <w:rsid w:val="009C2AC9"/>
    <w:rsid w:val="009C5813"/>
    <w:rsid w:val="009C674F"/>
    <w:rsid w:val="009D3BEE"/>
    <w:rsid w:val="009F742D"/>
    <w:rsid w:val="00A05744"/>
    <w:rsid w:val="00A13364"/>
    <w:rsid w:val="00A20953"/>
    <w:rsid w:val="00A22427"/>
    <w:rsid w:val="00A2312D"/>
    <w:rsid w:val="00A36687"/>
    <w:rsid w:val="00A40265"/>
    <w:rsid w:val="00A40D7D"/>
    <w:rsid w:val="00A45203"/>
    <w:rsid w:val="00A47DD6"/>
    <w:rsid w:val="00A503D3"/>
    <w:rsid w:val="00A556B2"/>
    <w:rsid w:val="00A60A0F"/>
    <w:rsid w:val="00A82209"/>
    <w:rsid w:val="00A870B4"/>
    <w:rsid w:val="00A9279D"/>
    <w:rsid w:val="00A97D43"/>
    <w:rsid w:val="00AA1D8D"/>
    <w:rsid w:val="00AA62B1"/>
    <w:rsid w:val="00AB0337"/>
    <w:rsid w:val="00AB75DF"/>
    <w:rsid w:val="00AC341A"/>
    <w:rsid w:val="00AC4FC0"/>
    <w:rsid w:val="00AD5B87"/>
    <w:rsid w:val="00AE02A0"/>
    <w:rsid w:val="00AE2BF0"/>
    <w:rsid w:val="00AF4943"/>
    <w:rsid w:val="00B02F70"/>
    <w:rsid w:val="00B055AB"/>
    <w:rsid w:val="00B15ABD"/>
    <w:rsid w:val="00B20B8D"/>
    <w:rsid w:val="00B304C6"/>
    <w:rsid w:val="00B42C1B"/>
    <w:rsid w:val="00B44C0B"/>
    <w:rsid w:val="00B47730"/>
    <w:rsid w:val="00B63A52"/>
    <w:rsid w:val="00B90B43"/>
    <w:rsid w:val="00B97011"/>
    <w:rsid w:val="00BA1CC5"/>
    <w:rsid w:val="00BA5FEC"/>
    <w:rsid w:val="00BB415C"/>
    <w:rsid w:val="00BB77B9"/>
    <w:rsid w:val="00BC3AD7"/>
    <w:rsid w:val="00BD201B"/>
    <w:rsid w:val="00BD376D"/>
    <w:rsid w:val="00BD6EA0"/>
    <w:rsid w:val="00BE7C78"/>
    <w:rsid w:val="00BE7EE5"/>
    <w:rsid w:val="00BF0678"/>
    <w:rsid w:val="00BF7775"/>
    <w:rsid w:val="00C020F4"/>
    <w:rsid w:val="00C039C0"/>
    <w:rsid w:val="00C15862"/>
    <w:rsid w:val="00C25010"/>
    <w:rsid w:val="00C31D6A"/>
    <w:rsid w:val="00C41B5B"/>
    <w:rsid w:val="00C55B58"/>
    <w:rsid w:val="00C57F3A"/>
    <w:rsid w:val="00C63B27"/>
    <w:rsid w:val="00C71FA3"/>
    <w:rsid w:val="00C82A76"/>
    <w:rsid w:val="00C91091"/>
    <w:rsid w:val="00C97F66"/>
    <w:rsid w:val="00CA28C1"/>
    <w:rsid w:val="00CA3089"/>
    <w:rsid w:val="00CA4F0E"/>
    <w:rsid w:val="00CB0664"/>
    <w:rsid w:val="00CF1632"/>
    <w:rsid w:val="00D051AC"/>
    <w:rsid w:val="00D254CC"/>
    <w:rsid w:val="00D350C9"/>
    <w:rsid w:val="00D403C6"/>
    <w:rsid w:val="00D46BD9"/>
    <w:rsid w:val="00D46FEF"/>
    <w:rsid w:val="00D5051D"/>
    <w:rsid w:val="00D60FD8"/>
    <w:rsid w:val="00D615A0"/>
    <w:rsid w:val="00D708D6"/>
    <w:rsid w:val="00D85DA7"/>
    <w:rsid w:val="00D9007D"/>
    <w:rsid w:val="00DA35A3"/>
    <w:rsid w:val="00DB0D4D"/>
    <w:rsid w:val="00DC2831"/>
    <w:rsid w:val="00DC2E33"/>
    <w:rsid w:val="00DC3097"/>
    <w:rsid w:val="00DC62CD"/>
    <w:rsid w:val="00E00F82"/>
    <w:rsid w:val="00E20544"/>
    <w:rsid w:val="00E27BB1"/>
    <w:rsid w:val="00E50F32"/>
    <w:rsid w:val="00E55E72"/>
    <w:rsid w:val="00E62AFE"/>
    <w:rsid w:val="00E76F15"/>
    <w:rsid w:val="00E864DB"/>
    <w:rsid w:val="00E9467E"/>
    <w:rsid w:val="00EA3B3E"/>
    <w:rsid w:val="00EB0160"/>
    <w:rsid w:val="00EB22EE"/>
    <w:rsid w:val="00EC2695"/>
    <w:rsid w:val="00EC3A99"/>
    <w:rsid w:val="00ED1297"/>
    <w:rsid w:val="00ED55D1"/>
    <w:rsid w:val="00ED5B37"/>
    <w:rsid w:val="00EE749F"/>
    <w:rsid w:val="00EF6A9F"/>
    <w:rsid w:val="00F11490"/>
    <w:rsid w:val="00F14B1F"/>
    <w:rsid w:val="00F23A3C"/>
    <w:rsid w:val="00F3405C"/>
    <w:rsid w:val="00F349F0"/>
    <w:rsid w:val="00F4299F"/>
    <w:rsid w:val="00F44E9F"/>
    <w:rsid w:val="00F5015D"/>
    <w:rsid w:val="00F505DC"/>
    <w:rsid w:val="00F54B7F"/>
    <w:rsid w:val="00F55DF8"/>
    <w:rsid w:val="00F56208"/>
    <w:rsid w:val="00F75B20"/>
    <w:rsid w:val="00F973BD"/>
    <w:rsid w:val="00F974FD"/>
    <w:rsid w:val="00FB66B0"/>
    <w:rsid w:val="00FC693F"/>
    <w:rsid w:val="00FD2514"/>
    <w:rsid w:val="00FD41C0"/>
    <w:rsid w:val="00FD68BB"/>
    <w:rsid w:val="00FE18F6"/>
    <w:rsid w:val="00FF4B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C65213"/>
  <w14:defaultImageDpi w14:val="300"/>
  <w15:docId w15:val="{5B5FFC0C-1645-4848-B740-029FF12A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9F"/>
    <w:pPr>
      <w:spacing w:after="160" w:line="360" w:lineRule="auto"/>
      <w:jc w:val="both"/>
    </w:pPr>
    <w:rPr>
      <w:rFonts w:ascii="Times New Roman" w:eastAsiaTheme="minorHAnsi" w:hAnsi="Times New Roman"/>
      <w:kern w:val="2"/>
      <w:sz w:val="24"/>
      <w:lang w:val="fr-FR"/>
      <w14:ligatures w14:val="standardContextual"/>
    </w:rPr>
  </w:style>
  <w:style w:type="paragraph" w:styleId="Titre1">
    <w:name w:val="heading 1"/>
    <w:basedOn w:val="Normal"/>
    <w:next w:val="Normal"/>
    <w:link w:val="Titre1Car"/>
    <w:uiPriority w:val="9"/>
    <w:qFormat/>
    <w:rsid w:val="00054903"/>
    <w:pPr>
      <w:keepNext/>
      <w:keepLines/>
      <w:numPr>
        <w:numId w:val="29"/>
      </w:numPr>
      <w:pBdr>
        <w:top w:val="single" w:sz="36" w:space="5" w:color="548DD4" w:themeColor="text2" w:themeTint="99"/>
        <w:bottom w:val="single" w:sz="8" w:space="5" w:color="548DD4" w:themeColor="text2" w:themeTint="99"/>
      </w:pBdr>
      <w:spacing w:before="240" w:after="120"/>
      <w:jc w:val="center"/>
      <w:outlineLvl w:val="0"/>
    </w:pPr>
    <w:rPr>
      <w:rFonts w:ascii="Constantia" w:eastAsiaTheme="majorEastAsia" w:hAnsi="Constantia" w:cstheme="majorBidi"/>
      <w:b/>
      <w:color w:val="4F81BD" w:themeColor="accent1"/>
      <w:sz w:val="40"/>
      <w:szCs w:val="32"/>
    </w:rPr>
  </w:style>
  <w:style w:type="paragraph" w:styleId="Titre2">
    <w:name w:val="heading 2"/>
    <w:basedOn w:val="Normal"/>
    <w:next w:val="Normal"/>
    <w:link w:val="Titre2Car"/>
    <w:uiPriority w:val="9"/>
    <w:unhideWhenUsed/>
    <w:qFormat/>
    <w:rsid w:val="00D60FD8"/>
    <w:pPr>
      <w:keepNext/>
      <w:keepLines/>
      <w:numPr>
        <w:ilvl w:val="1"/>
        <w:numId w:val="29"/>
      </w:numPr>
      <w:spacing w:before="40" w:after="0"/>
      <w:ind w:left="576"/>
      <w:outlineLvl w:val="1"/>
    </w:pPr>
    <w:rPr>
      <w:rFonts w:eastAsiaTheme="majorEastAsia" w:cstheme="majorBidi"/>
      <w:b/>
      <w:color w:val="000000" w:themeColor="text1"/>
      <w:sz w:val="32"/>
      <w:szCs w:val="26"/>
    </w:rPr>
  </w:style>
  <w:style w:type="paragraph" w:styleId="Titre3">
    <w:name w:val="heading 3"/>
    <w:basedOn w:val="Normal"/>
    <w:next w:val="Normal"/>
    <w:link w:val="Titre3Car"/>
    <w:uiPriority w:val="9"/>
    <w:unhideWhenUsed/>
    <w:qFormat/>
    <w:rsid w:val="0003278A"/>
    <w:pPr>
      <w:keepNext/>
      <w:keepLines/>
      <w:numPr>
        <w:ilvl w:val="1"/>
        <w:numId w:val="31"/>
      </w:numPr>
      <w:spacing w:before="40" w:after="0"/>
      <w:outlineLvl w:val="2"/>
    </w:pPr>
    <w:rPr>
      <w:rFonts w:eastAsiaTheme="majorEastAsia" w:cstheme="majorBidi"/>
      <w:b/>
      <w:sz w:val="28"/>
      <w:szCs w:val="24"/>
    </w:rPr>
  </w:style>
  <w:style w:type="paragraph" w:styleId="Titre4">
    <w:name w:val="heading 4"/>
    <w:next w:val="Normal"/>
    <w:link w:val="Titre4Car"/>
    <w:autoRedefine/>
    <w:uiPriority w:val="9"/>
    <w:unhideWhenUsed/>
    <w:qFormat/>
    <w:rsid w:val="00623CA0"/>
    <w:pPr>
      <w:keepNext/>
      <w:keepLines/>
      <w:spacing w:before="40" w:after="120" w:line="259" w:lineRule="auto"/>
      <w:jc w:val="both"/>
      <w:outlineLvl w:val="3"/>
    </w:pPr>
    <w:rPr>
      <w:rFonts w:ascii="Constantia" w:eastAsiaTheme="majorEastAsia" w:hAnsi="Constantia" w:cstheme="majorBidi"/>
      <w:b/>
      <w:iCs/>
      <w:color w:val="00B0F0"/>
      <w:kern w:val="2"/>
      <w:sz w:val="28"/>
      <w:szCs w:val="26"/>
      <w:lang w:val="fr-FR"/>
      <w14:ligatures w14:val="standardContextual"/>
    </w:rPr>
  </w:style>
  <w:style w:type="paragraph" w:styleId="Titre5">
    <w:name w:val="heading 5"/>
    <w:basedOn w:val="Normal"/>
    <w:next w:val="Normal"/>
    <w:link w:val="Titre5Car"/>
    <w:uiPriority w:val="9"/>
    <w:semiHidden/>
    <w:unhideWhenUsed/>
    <w:qFormat/>
    <w:rsid w:val="00623CA0"/>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3CA0"/>
    <w:pPr>
      <w:tabs>
        <w:tab w:val="center" w:pos="4536"/>
        <w:tab w:val="right" w:pos="9072"/>
      </w:tabs>
      <w:spacing w:after="0" w:line="240" w:lineRule="auto"/>
    </w:pPr>
  </w:style>
  <w:style w:type="character" w:customStyle="1" w:styleId="En-tteCar">
    <w:name w:val="En-tête Car"/>
    <w:basedOn w:val="Policepardfaut"/>
    <w:link w:val="En-tte"/>
    <w:uiPriority w:val="99"/>
    <w:rsid w:val="00623CA0"/>
    <w:rPr>
      <w:rFonts w:ascii="Times New Roman" w:eastAsiaTheme="minorHAnsi" w:hAnsi="Times New Roman"/>
      <w:kern w:val="2"/>
      <w:sz w:val="24"/>
      <w:lang w:val="fr-FR"/>
      <w14:ligatures w14:val="standardContextual"/>
    </w:rPr>
  </w:style>
  <w:style w:type="paragraph" w:styleId="Pieddepage">
    <w:name w:val="footer"/>
    <w:basedOn w:val="Normal"/>
    <w:link w:val="PieddepageCar"/>
    <w:uiPriority w:val="99"/>
    <w:unhideWhenUsed/>
    <w:rsid w:val="00623C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CA0"/>
    <w:rPr>
      <w:rFonts w:ascii="Times New Roman" w:eastAsiaTheme="minorHAnsi" w:hAnsi="Times New Roman"/>
      <w:kern w:val="2"/>
      <w:sz w:val="24"/>
      <w:lang w:val="fr-FR"/>
      <w14:ligatures w14:val="standardContextual"/>
    </w:rPr>
  </w:style>
  <w:style w:type="paragraph" w:styleId="Sansinterligne">
    <w:name w:val="No Spacing"/>
    <w:link w:val="SansinterligneCar"/>
    <w:uiPriority w:val="1"/>
    <w:qFormat/>
    <w:rsid w:val="00623CA0"/>
    <w:pPr>
      <w:spacing w:after="0" w:line="240" w:lineRule="auto"/>
    </w:pPr>
    <w:rPr>
      <w:lang w:val="fr-FR" w:eastAsia="fr-FR"/>
      <w14:ligatures w14:val="standardContextual"/>
    </w:rPr>
  </w:style>
  <w:style w:type="character" w:customStyle="1" w:styleId="Titre1Car">
    <w:name w:val="Titre 1 Car"/>
    <w:basedOn w:val="Policepardfaut"/>
    <w:link w:val="Titre1"/>
    <w:uiPriority w:val="9"/>
    <w:rsid w:val="00054903"/>
    <w:rPr>
      <w:rFonts w:ascii="Constantia" w:eastAsiaTheme="majorEastAsia" w:hAnsi="Constantia" w:cstheme="majorBidi"/>
      <w:b/>
      <w:color w:val="4F81BD" w:themeColor="accent1"/>
      <w:kern w:val="2"/>
      <w:sz w:val="40"/>
      <w:szCs w:val="32"/>
      <w:lang w:val="fr-FR"/>
      <w14:ligatures w14:val="standardContextual"/>
    </w:rPr>
  </w:style>
  <w:style w:type="character" w:customStyle="1" w:styleId="Titre2Car">
    <w:name w:val="Titre 2 Car"/>
    <w:basedOn w:val="Policepardfaut"/>
    <w:link w:val="Titre2"/>
    <w:uiPriority w:val="9"/>
    <w:rsid w:val="00D60FD8"/>
    <w:rPr>
      <w:rFonts w:ascii="Times New Roman" w:eastAsiaTheme="majorEastAsia" w:hAnsi="Times New Roman" w:cstheme="majorBidi"/>
      <w:b/>
      <w:color w:val="000000" w:themeColor="text1"/>
      <w:kern w:val="2"/>
      <w:sz w:val="32"/>
      <w:szCs w:val="26"/>
      <w:lang w:val="fr-FR"/>
      <w14:ligatures w14:val="standardContextual"/>
    </w:rPr>
  </w:style>
  <w:style w:type="character" w:customStyle="1" w:styleId="Titre3Car">
    <w:name w:val="Titre 3 Car"/>
    <w:basedOn w:val="Policepardfaut"/>
    <w:link w:val="Titre3"/>
    <w:uiPriority w:val="9"/>
    <w:rsid w:val="0003278A"/>
    <w:rPr>
      <w:rFonts w:ascii="Times New Roman" w:eastAsiaTheme="majorEastAsia" w:hAnsi="Times New Roman" w:cstheme="majorBidi"/>
      <w:b/>
      <w:kern w:val="2"/>
      <w:sz w:val="28"/>
      <w:szCs w:val="24"/>
      <w:lang w:val="fr-FR"/>
      <w14:ligatures w14:val="standardContextual"/>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aliases w:val="Table/Figure Heading,Paragraphe de liste1,Bullets,References,Numbered List Paragraph,RM1,List Paragraph,Liste couleur - Accent 11,idées clés,Enumération flèches,List1,List Paragraph nowy,List Paragraph (numbered (a)),figure,Liste 1,R"/>
    <w:basedOn w:val="Normal"/>
    <w:link w:val="ParagraphedelisteCar"/>
    <w:uiPriority w:val="34"/>
    <w:qFormat/>
    <w:rsid w:val="00623CA0"/>
    <w:pPr>
      <w:spacing w:line="256" w:lineRule="auto"/>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4"/>
      </w:numPr>
      <w:contextualSpacing/>
    </w:pPr>
  </w:style>
  <w:style w:type="paragraph" w:styleId="Listenumros2">
    <w:name w:val="List Number 2"/>
    <w:basedOn w:val="Normal"/>
    <w:uiPriority w:val="99"/>
    <w:unhideWhenUsed/>
    <w:rsid w:val="0029639D"/>
    <w:pPr>
      <w:numPr>
        <w:numId w:val="5"/>
      </w:numPr>
      <w:contextualSpacing/>
    </w:pPr>
  </w:style>
  <w:style w:type="paragraph" w:styleId="Listenumros3">
    <w:name w:val="List Number 3"/>
    <w:basedOn w:val="Normal"/>
    <w:uiPriority w:val="99"/>
    <w:unhideWhenUsed/>
    <w:rsid w:val="0029639D"/>
    <w:pPr>
      <w:numPr>
        <w:numId w:val="6"/>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rsid w:val="00623CA0"/>
    <w:rPr>
      <w:rFonts w:ascii="Constantia" w:eastAsiaTheme="majorEastAsia" w:hAnsi="Constantia" w:cstheme="majorBidi"/>
      <w:b/>
      <w:iCs/>
      <w:color w:val="00B0F0"/>
      <w:kern w:val="2"/>
      <w:sz w:val="28"/>
      <w:szCs w:val="26"/>
      <w:lang w:val="fr-FR"/>
      <w14:ligatures w14:val="standardContextual"/>
    </w:rPr>
  </w:style>
  <w:style w:type="character" w:customStyle="1" w:styleId="Titre5Car">
    <w:name w:val="Titre 5 Car"/>
    <w:basedOn w:val="Policepardfaut"/>
    <w:link w:val="Titre5"/>
    <w:uiPriority w:val="9"/>
    <w:semiHidden/>
    <w:rsid w:val="00623CA0"/>
    <w:rPr>
      <w:rFonts w:asciiTheme="majorHAnsi" w:eastAsiaTheme="majorEastAsia" w:hAnsiTheme="majorHAnsi" w:cstheme="majorBidi"/>
      <w:color w:val="365F91" w:themeColor="accent1" w:themeShade="BF"/>
      <w:kern w:val="2"/>
      <w:sz w:val="24"/>
      <w:lang w:val="fr-FR"/>
      <w14:ligatures w14:val="standardContextual"/>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23CA0"/>
    <w:pPr>
      <w:spacing w:after="200" w:line="240" w:lineRule="auto"/>
    </w:pPr>
    <w:rPr>
      <w:i/>
      <w:iCs/>
      <w:color w:val="1F497D" w:themeColor="text2"/>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AD5B87"/>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39"/>
    <w:rsid w:val="00623CA0"/>
    <w:pPr>
      <w:spacing w:after="0" w:line="240" w:lineRule="auto"/>
      <w:jc w:val="both"/>
    </w:pPr>
    <w:rPr>
      <w:rFonts w:eastAsiaTheme="minorHAnsi"/>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B66B0"/>
    <w:pPr>
      <w:spacing w:before="100" w:beforeAutospacing="1" w:after="100" w:afterAutospacing="1" w:line="240" w:lineRule="auto"/>
    </w:pPr>
    <w:rPr>
      <w:rFonts w:eastAsia="Times New Roman" w:cs="Times New Roman"/>
      <w:szCs w:val="24"/>
      <w:lang w:val="fr-SN" w:eastAsia="fr-SN"/>
    </w:rPr>
  </w:style>
  <w:style w:type="paragraph" w:customStyle="1" w:styleId="whitespace-pre-wrap">
    <w:name w:val="whitespace-pre-wrap"/>
    <w:basedOn w:val="Normal"/>
    <w:rsid w:val="009C2AC9"/>
    <w:pPr>
      <w:spacing w:before="100" w:beforeAutospacing="1" w:after="100" w:afterAutospacing="1" w:line="240" w:lineRule="auto"/>
    </w:pPr>
    <w:rPr>
      <w:rFonts w:eastAsia="Times New Roman" w:cs="Times New Roman"/>
      <w:szCs w:val="24"/>
      <w:lang w:val="fr-SN" w:eastAsia="fr-SN"/>
    </w:rPr>
  </w:style>
  <w:style w:type="character" w:customStyle="1" w:styleId="texteCar">
    <w:name w:val="texte Car"/>
    <w:basedOn w:val="Policepardfaut"/>
    <w:link w:val="texte"/>
    <w:locked/>
    <w:rsid w:val="00D46BD9"/>
    <w:rPr>
      <w:rFonts w:ascii="Times New Roman" w:hAnsi="Times New Roman" w:cs="Times New Roman"/>
      <w:color w:val="1D1B11" w:themeColor="background2" w:themeShade="1A"/>
      <w:lang w:val="fr-FR"/>
    </w:rPr>
  </w:style>
  <w:style w:type="paragraph" w:customStyle="1" w:styleId="texte">
    <w:name w:val="texte"/>
    <w:link w:val="texteCar"/>
    <w:qFormat/>
    <w:rsid w:val="00D46BD9"/>
    <w:pPr>
      <w:ind w:firstLine="357"/>
      <w:jc w:val="both"/>
    </w:pPr>
    <w:rPr>
      <w:rFonts w:ascii="Times New Roman" w:hAnsi="Times New Roman" w:cs="Times New Roman"/>
      <w:color w:val="1D1B11" w:themeColor="background2" w:themeShade="1A"/>
      <w:lang w:val="fr-FR"/>
    </w:rPr>
  </w:style>
  <w:style w:type="paragraph" w:customStyle="1" w:styleId="whitespace-normal">
    <w:name w:val="whitespace-normal"/>
    <w:basedOn w:val="Normal"/>
    <w:rsid w:val="00885F12"/>
    <w:pPr>
      <w:spacing w:before="100" w:beforeAutospacing="1" w:after="100" w:afterAutospacing="1" w:line="240" w:lineRule="auto"/>
    </w:pPr>
    <w:rPr>
      <w:rFonts w:eastAsia="Times New Roman" w:cs="Times New Roman"/>
      <w:szCs w:val="24"/>
      <w:lang w:val="fr-SN" w:eastAsia="fr-SN"/>
    </w:rPr>
  </w:style>
  <w:style w:type="character" w:customStyle="1" w:styleId="line-clamp-1">
    <w:name w:val="line-clamp-1"/>
    <w:basedOn w:val="Policepardfaut"/>
    <w:rsid w:val="00D615A0"/>
  </w:style>
  <w:style w:type="paragraph" w:styleId="TM1">
    <w:name w:val="toc 1"/>
    <w:basedOn w:val="Normal"/>
    <w:next w:val="Normal"/>
    <w:autoRedefine/>
    <w:uiPriority w:val="39"/>
    <w:unhideWhenUsed/>
    <w:rsid w:val="00623CA0"/>
    <w:pPr>
      <w:spacing w:before="120" w:after="0"/>
    </w:pPr>
    <w:rPr>
      <w:rFonts w:asciiTheme="minorHAnsi" w:hAnsiTheme="minorHAnsi" w:cstheme="minorHAnsi"/>
      <w:b/>
      <w:bCs/>
      <w:i/>
      <w:iCs/>
      <w:szCs w:val="24"/>
    </w:rPr>
  </w:style>
  <w:style w:type="character" w:styleId="Hyperlien">
    <w:name w:val="Hyperlink"/>
    <w:basedOn w:val="Policepardfaut"/>
    <w:uiPriority w:val="99"/>
    <w:unhideWhenUsed/>
    <w:rsid w:val="00623CA0"/>
    <w:rPr>
      <w:color w:val="0000FF" w:themeColor="hyperlink"/>
      <w:u w:val="single"/>
    </w:rPr>
  </w:style>
  <w:style w:type="paragraph" w:styleId="Tabledesillustrations">
    <w:name w:val="table of figures"/>
    <w:basedOn w:val="Normal"/>
    <w:next w:val="Normal"/>
    <w:uiPriority w:val="99"/>
    <w:unhideWhenUsed/>
    <w:rsid w:val="00623CA0"/>
    <w:pPr>
      <w:spacing w:after="0"/>
    </w:pPr>
    <w:rPr>
      <w:rFonts w:asciiTheme="minorHAnsi" w:hAnsiTheme="minorHAnsi" w:cstheme="minorHAnsi"/>
      <w:i/>
      <w:iCs/>
      <w:sz w:val="20"/>
      <w:szCs w:val="20"/>
    </w:rPr>
  </w:style>
  <w:style w:type="character" w:styleId="Marquedecommentaire">
    <w:name w:val="annotation reference"/>
    <w:basedOn w:val="Policepardfaut"/>
    <w:uiPriority w:val="99"/>
    <w:semiHidden/>
    <w:unhideWhenUsed/>
    <w:rsid w:val="00623CA0"/>
    <w:rPr>
      <w:sz w:val="16"/>
      <w:szCs w:val="16"/>
    </w:rPr>
  </w:style>
  <w:style w:type="paragraph" w:styleId="Commentaire">
    <w:name w:val="annotation text"/>
    <w:basedOn w:val="Normal"/>
    <w:link w:val="CommentaireCar"/>
    <w:uiPriority w:val="99"/>
    <w:unhideWhenUsed/>
    <w:rsid w:val="00623CA0"/>
    <w:pPr>
      <w:spacing w:line="240" w:lineRule="auto"/>
    </w:pPr>
    <w:rPr>
      <w:sz w:val="20"/>
      <w:szCs w:val="20"/>
    </w:rPr>
  </w:style>
  <w:style w:type="character" w:customStyle="1" w:styleId="CommentaireCar">
    <w:name w:val="Commentaire Car"/>
    <w:basedOn w:val="Policepardfaut"/>
    <w:link w:val="Commentaire"/>
    <w:uiPriority w:val="99"/>
    <w:rsid w:val="00623CA0"/>
    <w:rPr>
      <w:rFonts w:ascii="Times New Roman" w:eastAsiaTheme="minorHAnsi" w:hAnsi="Times New Roman"/>
      <w:kern w:val="2"/>
      <w:sz w:val="20"/>
      <w:szCs w:val="20"/>
      <w:lang w:val="fr-FR"/>
      <w14:ligatures w14:val="standardContextual"/>
    </w:rPr>
  </w:style>
  <w:style w:type="paragraph" w:styleId="Objetducommentaire">
    <w:name w:val="annotation subject"/>
    <w:basedOn w:val="Commentaire"/>
    <w:next w:val="Commentaire"/>
    <w:link w:val="ObjetducommentaireCar"/>
    <w:uiPriority w:val="99"/>
    <w:semiHidden/>
    <w:unhideWhenUsed/>
    <w:rsid w:val="00AB0337"/>
    <w:pPr>
      <w:spacing w:after="200"/>
    </w:pPr>
    <w:rPr>
      <w:rFonts w:ascii="Aptos" w:eastAsiaTheme="minorEastAsia" w:hAnsi="Aptos"/>
      <w:b/>
      <w:bCs/>
      <w:kern w:val="0"/>
      <w14:ligatures w14:val="none"/>
    </w:rPr>
  </w:style>
  <w:style w:type="character" w:customStyle="1" w:styleId="ObjetducommentaireCar">
    <w:name w:val="Objet du commentaire Car"/>
    <w:basedOn w:val="CommentaireCar"/>
    <w:link w:val="Objetducommentaire"/>
    <w:uiPriority w:val="99"/>
    <w:semiHidden/>
    <w:rsid w:val="00AB0337"/>
    <w:rPr>
      <w:rFonts w:ascii="Aptos" w:eastAsiaTheme="minorHAnsi" w:hAnsi="Aptos"/>
      <w:b/>
      <w:bCs/>
      <w:kern w:val="2"/>
      <w:sz w:val="20"/>
      <w:szCs w:val="20"/>
      <w:lang w:val="fr-FR"/>
      <w14:ligatures w14:val="standardContextual"/>
    </w:rPr>
  </w:style>
  <w:style w:type="character" w:customStyle="1" w:styleId="Mentionnonrsolue1">
    <w:name w:val="Mention non résolue1"/>
    <w:basedOn w:val="Policepardfaut"/>
    <w:uiPriority w:val="99"/>
    <w:semiHidden/>
    <w:unhideWhenUsed/>
    <w:rsid w:val="002B0A30"/>
    <w:rPr>
      <w:color w:val="605E5C"/>
      <w:shd w:val="clear" w:color="auto" w:fill="E1DFDD"/>
    </w:rPr>
  </w:style>
  <w:style w:type="paragraph" w:styleId="Textedebulles">
    <w:name w:val="Balloon Text"/>
    <w:basedOn w:val="Normal"/>
    <w:link w:val="TextedebullesCar"/>
    <w:uiPriority w:val="99"/>
    <w:semiHidden/>
    <w:unhideWhenUsed/>
    <w:rsid w:val="007622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226E"/>
    <w:rPr>
      <w:rFonts w:ascii="Segoe UI" w:hAnsi="Segoe UI" w:cs="Segoe UI"/>
      <w:sz w:val="18"/>
      <w:szCs w:val="18"/>
      <w:lang w:val="fr-FR"/>
    </w:rPr>
  </w:style>
  <w:style w:type="paragraph" w:styleId="Rvision">
    <w:name w:val="Revision"/>
    <w:hidden/>
    <w:uiPriority w:val="99"/>
    <w:semiHidden/>
    <w:rsid w:val="00F75B20"/>
    <w:pPr>
      <w:spacing w:after="0" w:line="240" w:lineRule="auto"/>
    </w:pPr>
    <w:rPr>
      <w:rFonts w:ascii="Aptos" w:hAnsi="Aptos"/>
      <w:sz w:val="24"/>
      <w:lang w:val="fr-FR"/>
    </w:rPr>
  </w:style>
  <w:style w:type="character" w:styleId="Textedelespacerserv">
    <w:name w:val="Placeholder Text"/>
    <w:basedOn w:val="Policepardfaut"/>
    <w:uiPriority w:val="99"/>
    <w:semiHidden/>
    <w:rsid w:val="00623CA0"/>
    <w:rPr>
      <w:color w:val="808080"/>
    </w:rPr>
  </w:style>
  <w:style w:type="character" w:styleId="Appelnotedebasdep">
    <w:name w:val="footnote reference"/>
    <w:basedOn w:val="Policepardfaut"/>
    <w:uiPriority w:val="99"/>
    <w:semiHidden/>
    <w:unhideWhenUsed/>
    <w:rsid w:val="00623CA0"/>
    <w:rPr>
      <w:vertAlign w:val="superscript"/>
    </w:rPr>
  </w:style>
  <w:style w:type="character" w:customStyle="1" w:styleId="fontstyle01">
    <w:name w:val="fontstyle01"/>
    <w:basedOn w:val="Policepardfaut"/>
    <w:rsid w:val="00623CA0"/>
    <w:rPr>
      <w:rFonts w:ascii="TimesNewRomanPSMT" w:hAnsi="TimesNewRomanPSMT" w:hint="default"/>
      <w:b w:val="0"/>
      <w:bCs w:val="0"/>
      <w:i w:val="0"/>
      <w:iCs w:val="0"/>
      <w:color w:val="000000"/>
      <w:sz w:val="24"/>
      <w:szCs w:val="24"/>
    </w:rPr>
  </w:style>
  <w:style w:type="character" w:customStyle="1" w:styleId="fontstyle21">
    <w:name w:val="fontstyle21"/>
    <w:basedOn w:val="Policepardfaut"/>
    <w:rsid w:val="00623CA0"/>
    <w:rPr>
      <w:rFonts w:ascii="TimesNewRomanPS-BoldMT" w:hAnsi="TimesNewRomanPS-BoldMT" w:hint="default"/>
      <w:b/>
      <w:bCs/>
      <w:i w:val="0"/>
      <w:iCs w:val="0"/>
      <w:color w:val="000000"/>
      <w:sz w:val="24"/>
      <w:szCs w:val="24"/>
    </w:rPr>
  </w:style>
  <w:style w:type="table" w:styleId="Grilledetableauclaire">
    <w:name w:val="Grid Table Light"/>
    <w:basedOn w:val="TableauNormal"/>
    <w:uiPriority w:val="40"/>
    <w:rsid w:val="00623CA0"/>
    <w:pPr>
      <w:spacing w:after="0" w:line="240" w:lineRule="auto"/>
      <w:jc w:val="both"/>
    </w:pPr>
    <w:rPr>
      <w:rFonts w:eastAsiaTheme="minorHAnsi"/>
      <w:kern w:val="2"/>
      <w:lang w:val="fr-FR"/>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semiHidden/>
    <w:unhideWhenUsed/>
    <w:rsid w:val="00623CA0"/>
    <w:rPr>
      <w:color w:val="605E5C"/>
      <w:shd w:val="clear" w:color="auto" w:fill="E1DFDD"/>
    </w:rPr>
  </w:style>
  <w:style w:type="paragraph" w:styleId="Notedebasdepage">
    <w:name w:val="footnote text"/>
    <w:basedOn w:val="Normal"/>
    <w:link w:val="NotedebasdepageCar"/>
    <w:uiPriority w:val="99"/>
    <w:semiHidden/>
    <w:unhideWhenUsed/>
    <w:rsid w:val="00623CA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3CA0"/>
    <w:rPr>
      <w:rFonts w:ascii="Times New Roman" w:eastAsiaTheme="minorHAnsi" w:hAnsi="Times New Roman"/>
      <w:kern w:val="2"/>
      <w:sz w:val="20"/>
      <w:szCs w:val="20"/>
      <w:lang w:val="fr-FR"/>
      <w14:ligatures w14:val="standardContextual"/>
    </w:rPr>
  </w:style>
  <w:style w:type="paragraph" w:styleId="PrformatHTML">
    <w:name w:val="HTML Preformatted"/>
    <w:basedOn w:val="Normal"/>
    <w:link w:val="PrformatHTMLCar"/>
    <w:uiPriority w:val="99"/>
    <w:semiHidden/>
    <w:unhideWhenUsed/>
    <w:rsid w:val="00623CA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23CA0"/>
    <w:rPr>
      <w:rFonts w:ascii="Consolas" w:eastAsiaTheme="minorHAnsi" w:hAnsi="Consolas"/>
      <w:kern w:val="2"/>
      <w:sz w:val="20"/>
      <w:szCs w:val="20"/>
      <w:lang w:val="fr-FR"/>
      <w14:ligatures w14:val="standardContextual"/>
    </w:rPr>
  </w:style>
  <w:style w:type="character" w:customStyle="1" w:styleId="SansinterligneCar">
    <w:name w:val="Sans interligne Car"/>
    <w:basedOn w:val="Policepardfaut"/>
    <w:link w:val="Sansinterligne"/>
    <w:uiPriority w:val="1"/>
    <w:rsid w:val="00623CA0"/>
    <w:rPr>
      <w:lang w:val="fr-FR" w:eastAsia="fr-FR"/>
      <w14:ligatures w14:val="standardContextual"/>
    </w:rPr>
  </w:style>
  <w:style w:type="numbering" w:customStyle="1" w:styleId="Style1">
    <w:name w:val="Style1"/>
    <w:uiPriority w:val="99"/>
    <w:rsid w:val="00623CA0"/>
    <w:pPr>
      <w:numPr>
        <w:numId w:val="28"/>
      </w:numPr>
    </w:pPr>
  </w:style>
  <w:style w:type="table" w:styleId="Tableausimple2">
    <w:name w:val="Plain Table 2"/>
    <w:basedOn w:val="TableauNormal"/>
    <w:uiPriority w:val="42"/>
    <w:rsid w:val="00623CA0"/>
    <w:pPr>
      <w:spacing w:after="0" w:line="240" w:lineRule="auto"/>
      <w:jc w:val="both"/>
    </w:pPr>
    <w:rPr>
      <w:rFonts w:eastAsiaTheme="minorHAnsi"/>
      <w:kern w:val="2"/>
      <w:lang w:val="fr-FR"/>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623CA0"/>
    <w:pPr>
      <w:spacing w:after="0" w:line="240" w:lineRule="auto"/>
      <w:jc w:val="both"/>
    </w:pPr>
    <w:rPr>
      <w:rFonts w:eastAsiaTheme="minorHAnsi"/>
      <w:kern w:val="2"/>
      <w:lang w:val="fr-FR"/>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2">
    <w:name w:val="toc 2"/>
    <w:basedOn w:val="Normal"/>
    <w:next w:val="Normal"/>
    <w:autoRedefine/>
    <w:uiPriority w:val="39"/>
    <w:unhideWhenUsed/>
    <w:rsid w:val="00623CA0"/>
    <w:pPr>
      <w:spacing w:before="120" w:after="0"/>
      <w:ind w:left="240"/>
    </w:pPr>
    <w:rPr>
      <w:rFonts w:asciiTheme="minorHAnsi" w:hAnsiTheme="minorHAnsi" w:cstheme="minorHAnsi"/>
      <w:b/>
      <w:bCs/>
      <w:sz w:val="22"/>
    </w:rPr>
  </w:style>
  <w:style w:type="paragraph" w:styleId="TM3">
    <w:name w:val="toc 3"/>
    <w:basedOn w:val="Normal"/>
    <w:next w:val="Normal"/>
    <w:autoRedefine/>
    <w:uiPriority w:val="39"/>
    <w:unhideWhenUsed/>
    <w:rsid w:val="00623CA0"/>
    <w:pPr>
      <w:spacing w:after="0"/>
      <w:ind w:left="480"/>
    </w:pPr>
    <w:rPr>
      <w:rFonts w:asciiTheme="minorHAnsi" w:hAnsiTheme="minorHAnsi" w:cstheme="minorHAnsi"/>
      <w:sz w:val="20"/>
      <w:szCs w:val="20"/>
    </w:rPr>
  </w:style>
  <w:style w:type="paragraph" w:styleId="TM4">
    <w:name w:val="toc 4"/>
    <w:basedOn w:val="Normal"/>
    <w:next w:val="Normal"/>
    <w:autoRedefine/>
    <w:uiPriority w:val="39"/>
    <w:unhideWhenUsed/>
    <w:rsid w:val="00623CA0"/>
    <w:pPr>
      <w:spacing w:after="0"/>
      <w:ind w:left="720"/>
    </w:pPr>
    <w:rPr>
      <w:rFonts w:asciiTheme="minorHAnsi" w:hAnsiTheme="minorHAnsi" w:cstheme="minorHAnsi"/>
      <w:sz w:val="20"/>
      <w:szCs w:val="20"/>
    </w:rPr>
  </w:style>
  <w:style w:type="paragraph" w:styleId="TM5">
    <w:name w:val="toc 5"/>
    <w:basedOn w:val="Normal"/>
    <w:next w:val="Normal"/>
    <w:autoRedefine/>
    <w:uiPriority w:val="39"/>
    <w:unhideWhenUsed/>
    <w:rsid w:val="00623CA0"/>
    <w:pPr>
      <w:spacing w:after="0"/>
      <w:ind w:left="960"/>
    </w:pPr>
    <w:rPr>
      <w:rFonts w:asciiTheme="minorHAnsi" w:hAnsiTheme="minorHAnsi" w:cstheme="minorHAnsi"/>
      <w:sz w:val="20"/>
      <w:szCs w:val="20"/>
    </w:rPr>
  </w:style>
  <w:style w:type="paragraph" w:styleId="TM6">
    <w:name w:val="toc 6"/>
    <w:basedOn w:val="Normal"/>
    <w:next w:val="Normal"/>
    <w:autoRedefine/>
    <w:uiPriority w:val="39"/>
    <w:unhideWhenUsed/>
    <w:rsid w:val="00623CA0"/>
    <w:pPr>
      <w:spacing w:after="0"/>
      <w:ind w:left="1200"/>
    </w:pPr>
    <w:rPr>
      <w:rFonts w:asciiTheme="minorHAnsi" w:hAnsiTheme="minorHAnsi" w:cstheme="minorHAnsi"/>
      <w:sz w:val="20"/>
      <w:szCs w:val="20"/>
    </w:rPr>
  </w:style>
  <w:style w:type="paragraph" w:styleId="TM7">
    <w:name w:val="toc 7"/>
    <w:basedOn w:val="Normal"/>
    <w:next w:val="Normal"/>
    <w:autoRedefine/>
    <w:uiPriority w:val="39"/>
    <w:unhideWhenUsed/>
    <w:rsid w:val="00623CA0"/>
    <w:pPr>
      <w:spacing w:after="0"/>
      <w:ind w:left="1440"/>
    </w:pPr>
    <w:rPr>
      <w:rFonts w:asciiTheme="minorHAnsi" w:hAnsiTheme="minorHAnsi" w:cstheme="minorHAnsi"/>
      <w:sz w:val="20"/>
      <w:szCs w:val="20"/>
    </w:rPr>
  </w:style>
  <w:style w:type="paragraph" w:styleId="TM8">
    <w:name w:val="toc 8"/>
    <w:basedOn w:val="Normal"/>
    <w:next w:val="Normal"/>
    <w:autoRedefine/>
    <w:uiPriority w:val="39"/>
    <w:unhideWhenUsed/>
    <w:rsid w:val="00623CA0"/>
    <w:pPr>
      <w:spacing w:after="0"/>
      <w:ind w:left="1680"/>
    </w:pPr>
    <w:rPr>
      <w:rFonts w:asciiTheme="minorHAnsi" w:hAnsiTheme="minorHAnsi" w:cstheme="minorHAnsi"/>
      <w:sz w:val="20"/>
      <w:szCs w:val="20"/>
    </w:rPr>
  </w:style>
  <w:style w:type="paragraph" w:styleId="TM9">
    <w:name w:val="toc 9"/>
    <w:basedOn w:val="Normal"/>
    <w:next w:val="Normal"/>
    <w:autoRedefine/>
    <w:uiPriority w:val="39"/>
    <w:unhideWhenUsed/>
    <w:rsid w:val="00623CA0"/>
    <w:pPr>
      <w:spacing w:after="0"/>
      <w:ind w:left="1920"/>
    </w:pPr>
    <w:rPr>
      <w:rFonts w:asciiTheme="minorHAnsi" w:hAnsiTheme="minorHAnsi" w:cstheme="minorHAnsi"/>
      <w:sz w:val="20"/>
      <w:szCs w:val="20"/>
    </w:rPr>
  </w:style>
  <w:style w:type="character" w:customStyle="1" w:styleId="ParagraphedelisteCar">
    <w:name w:val="Paragraphe de liste Car"/>
    <w:aliases w:val="Table/Figure Heading Car,Paragraphe de liste1 Car,Bullets Car,References Car,Numbered List Paragraph Car,RM1 Car,List Paragraph Car,Liste couleur - Accent 11 Car,idées clés Car,Enumération flèches Car,List1 Car,figure Car,R Car"/>
    <w:link w:val="Paragraphedeliste"/>
    <w:uiPriority w:val="34"/>
    <w:qFormat/>
    <w:rsid w:val="00590C92"/>
    <w:rPr>
      <w:rFonts w:ascii="Times New Roman" w:eastAsiaTheme="minorHAnsi" w:hAnsi="Times New Roman"/>
      <w:kern w:val="2"/>
      <w:sz w:val="24"/>
      <w:lang w:val="fr-F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342">
      <w:bodyDiv w:val="1"/>
      <w:marLeft w:val="0"/>
      <w:marRight w:val="0"/>
      <w:marTop w:val="0"/>
      <w:marBottom w:val="0"/>
      <w:divBdr>
        <w:top w:val="none" w:sz="0" w:space="0" w:color="auto"/>
        <w:left w:val="none" w:sz="0" w:space="0" w:color="auto"/>
        <w:bottom w:val="none" w:sz="0" w:space="0" w:color="auto"/>
        <w:right w:val="none" w:sz="0" w:space="0" w:color="auto"/>
      </w:divBdr>
    </w:div>
    <w:div w:id="20741091">
      <w:bodyDiv w:val="1"/>
      <w:marLeft w:val="0"/>
      <w:marRight w:val="0"/>
      <w:marTop w:val="0"/>
      <w:marBottom w:val="0"/>
      <w:divBdr>
        <w:top w:val="none" w:sz="0" w:space="0" w:color="auto"/>
        <w:left w:val="none" w:sz="0" w:space="0" w:color="auto"/>
        <w:bottom w:val="none" w:sz="0" w:space="0" w:color="auto"/>
        <w:right w:val="none" w:sz="0" w:space="0" w:color="auto"/>
      </w:divBdr>
      <w:divsChild>
        <w:div w:id="1089303880">
          <w:marLeft w:val="0"/>
          <w:marRight w:val="0"/>
          <w:marTop w:val="0"/>
          <w:marBottom w:val="0"/>
          <w:divBdr>
            <w:top w:val="none" w:sz="0" w:space="0" w:color="auto"/>
            <w:left w:val="none" w:sz="0" w:space="0" w:color="auto"/>
            <w:bottom w:val="none" w:sz="0" w:space="0" w:color="auto"/>
            <w:right w:val="none" w:sz="0" w:space="0" w:color="auto"/>
          </w:divBdr>
          <w:divsChild>
            <w:div w:id="1020010667">
              <w:marLeft w:val="0"/>
              <w:marRight w:val="0"/>
              <w:marTop w:val="0"/>
              <w:marBottom w:val="0"/>
              <w:divBdr>
                <w:top w:val="none" w:sz="0" w:space="0" w:color="auto"/>
                <w:left w:val="none" w:sz="0" w:space="0" w:color="auto"/>
                <w:bottom w:val="none" w:sz="0" w:space="0" w:color="auto"/>
                <w:right w:val="none" w:sz="0" w:space="0" w:color="auto"/>
              </w:divBdr>
              <w:divsChild>
                <w:div w:id="5116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4927">
      <w:bodyDiv w:val="1"/>
      <w:marLeft w:val="0"/>
      <w:marRight w:val="0"/>
      <w:marTop w:val="0"/>
      <w:marBottom w:val="0"/>
      <w:divBdr>
        <w:top w:val="none" w:sz="0" w:space="0" w:color="auto"/>
        <w:left w:val="none" w:sz="0" w:space="0" w:color="auto"/>
        <w:bottom w:val="none" w:sz="0" w:space="0" w:color="auto"/>
        <w:right w:val="none" w:sz="0" w:space="0" w:color="auto"/>
      </w:divBdr>
    </w:div>
    <w:div w:id="68813658">
      <w:bodyDiv w:val="1"/>
      <w:marLeft w:val="0"/>
      <w:marRight w:val="0"/>
      <w:marTop w:val="0"/>
      <w:marBottom w:val="0"/>
      <w:divBdr>
        <w:top w:val="none" w:sz="0" w:space="0" w:color="auto"/>
        <w:left w:val="none" w:sz="0" w:space="0" w:color="auto"/>
        <w:bottom w:val="none" w:sz="0" w:space="0" w:color="auto"/>
        <w:right w:val="none" w:sz="0" w:space="0" w:color="auto"/>
      </w:divBdr>
    </w:div>
    <w:div w:id="97261480">
      <w:bodyDiv w:val="1"/>
      <w:marLeft w:val="0"/>
      <w:marRight w:val="0"/>
      <w:marTop w:val="0"/>
      <w:marBottom w:val="0"/>
      <w:divBdr>
        <w:top w:val="none" w:sz="0" w:space="0" w:color="auto"/>
        <w:left w:val="none" w:sz="0" w:space="0" w:color="auto"/>
        <w:bottom w:val="none" w:sz="0" w:space="0" w:color="auto"/>
        <w:right w:val="none" w:sz="0" w:space="0" w:color="auto"/>
      </w:divBdr>
    </w:div>
    <w:div w:id="122618022">
      <w:bodyDiv w:val="1"/>
      <w:marLeft w:val="0"/>
      <w:marRight w:val="0"/>
      <w:marTop w:val="0"/>
      <w:marBottom w:val="0"/>
      <w:divBdr>
        <w:top w:val="none" w:sz="0" w:space="0" w:color="auto"/>
        <w:left w:val="none" w:sz="0" w:space="0" w:color="auto"/>
        <w:bottom w:val="none" w:sz="0" w:space="0" w:color="auto"/>
        <w:right w:val="none" w:sz="0" w:space="0" w:color="auto"/>
      </w:divBdr>
      <w:divsChild>
        <w:div w:id="14305160">
          <w:marLeft w:val="0"/>
          <w:marRight w:val="0"/>
          <w:marTop w:val="0"/>
          <w:marBottom w:val="0"/>
          <w:divBdr>
            <w:top w:val="single" w:sz="2" w:space="0" w:color="auto"/>
            <w:left w:val="single" w:sz="2" w:space="4" w:color="auto"/>
            <w:bottom w:val="single" w:sz="2" w:space="0" w:color="auto"/>
            <w:right w:val="single" w:sz="2" w:space="4" w:color="auto"/>
          </w:divBdr>
        </w:div>
        <w:div w:id="1062404763">
          <w:marLeft w:val="0"/>
          <w:marRight w:val="0"/>
          <w:marTop w:val="0"/>
          <w:marBottom w:val="0"/>
          <w:divBdr>
            <w:top w:val="single" w:sz="2" w:space="0" w:color="auto"/>
            <w:left w:val="single" w:sz="2" w:space="4" w:color="auto"/>
            <w:bottom w:val="single" w:sz="2" w:space="0" w:color="auto"/>
            <w:right w:val="single" w:sz="2" w:space="4" w:color="auto"/>
          </w:divBdr>
        </w:div>
        <w:div w:id="1126512444">
          <w:marLeft w:val="0"/>
          <w:marRight w:val="0"/>
          <w:marTop w:val="0"/>
          <w:marBottom w:val="0"/>
          <w:divBdr>
            <w:top w:val="single" w:sz="2" w:space="0" w:color="auto"/>
            <w:left w:val="single" w:sz="2" w:space="4" w:color="auto"/>
            <w:bottom w:val="single" w:sz="2" w:space="0" w:color="auto"/>
            <w:right w:val="single" w:sz="2" w:space="4" w:color="auto"/>
          </w:divBdr>
        </w:div>
        <w:div w:id="1679623478">
          <w:marLeft w:val="0"/>
          <w:marRight w:val="0"/>
          <w:marTop w:val="0"/>
          <w:marBottom w:val="0"/>
          <w:divBdr>
            <w:top w:val="single" w:sz="2" w:space="0" w:color="auto"/>
            <w:left w:val="single" w:sz="2" w:space="4" w:color="auto"/>
            <w:bottom w:val="single" w:sz="2" w:space="0" w:color="auto"/>
            <w:right w:val="single" w:sz="2" w:space="4" w:color="auto"/>
          </w:divBdr>
        </w:div>
      </w:divsChild>
    </w:div>
    <w:div w:id="147523658">
      <w:bodyDiv w:val="1"/>
      <w:marLeft w:val="0"/>
      <w:marRight w:val="0"/>
      <w:marTop w:val="0"/>
      <w:marBottom w:val="0"/>
      <w:divBdr>
        <w:top w:val="none" w:sz="0" w:space="0" w:color="auto"/>
        <w:left w:val="none" w:sz="0" w:space="0" w:color="auto"/>
        <w:bottom w:val="none" w:sz="0" w:space="0" w:color="auto"/>
        <w:right w:val="none" w:sz="0" w:space="0" w:color="auto"/>
      </w:divBdr>
    </w:div>
    <w:div w:id="164170906">
      <w:bodyDiv w:val="1"/>
      <w:marLeft w:val="0"/>
      <w:marRight w:val="0"/>
      <w:marTop w:val="0"/>
      <w:marBottom w:val="0"/>
      <w:divBdr>
        <w:top w:val="none" w:sz="0" w:space="0" w:color="auto"/>
        <w:left w:val="none" w:sz="0" w:space="0" w:color="auto"/>
        <w:bottom w:val="none" w:sz="0" w:space="0" w:color="auto"/>
        <w:right w:val="none" w:sz="0" w:space="0" w:color="auto"/>
      </w:divBdr>
    </w:div>
    <w:div w:id="173303575">
      <w:bodyDiv w:val="1"/>
      <w:marLeft w:val="0"/>
      <w:marRight w:val="0"/>
      <w:marTop w:val="0"/>
      <w:marBottom w:val="0"/>
      <w:divBdr>
        <w:top w:val="none" w:sz="0" w:space="0" w:color="auto"/>
        <w:left w:val="none" w:sz="0" w:space="0" w:color="auto"/>
        <w:bottom w:val="none" w:sz="0" w:space="0" w:color="auto"/>
        <w:right w:val="none" w:sz="0" w:space="0" w:color="auto"/>
      </w:divBdr>
    </w:div>
    <w:div w:id="180897514">
      <w:bodyDiv w:val="1"/>
      <w:marLeft w:val="0"/>
      <w:marRight w:val="0"/>
      <w:marTop w:val="0"/>
      <w:marBottom w:val="0"/>
      <w:divBdr>
        <w:top w:val="none" w:sz="0" w:space="0" w:color="auto"/>
        <w:left w:val="none" w:sz="0" w:space="0" w:color="auto"/>
        <w:bottom w:val="none" w:sz="0" w:space="0" w:color="auto"/>
        <w:right w:val="none" w:sz="0" w:space="0" w:color="auto"/>
      </w:divBdr>
    </w:div>
    <w:div w:id="191579598">
      <w:bodyDiv w:val="1"/>
      <w:marLeft w:val="0"/>
      <w:marRight w:val="0"/>
      <w:marTop w:val="0"/>
      <w:marBottom w:val="0"/>
      <w:divBdr>
        <w:top w:val="none" w:sz="0" w:space="0" w:color="auto"/>
        <w:left w:val="none" w:sz="0" w:space="0" w:color="auto"/>
        <w:bottom w:val="none" w:sz="0" w:space="0" w:color="auto"/>
        <w:right w:val="none" w:sz="0" w:space="0" w:color="auto"/>
      </w:divBdr>
      <w:divsChild>
        <w:div w:id="2000310264">
          <w:marLeft w:val="0"/>
          <w:marRight w:val="0"/>
          <w:marTop w:val="0"/>
          <w:marBottom w:val="0"/>
          <w:divBdr>
            <w:top w:val="none" w:sz="0" w:space="0" w:color="auto"/>
            <w:left w:val="none" w:sz="0" w:space="0" w:color="auto"/>
            <w:bottom w:val="none" w:sz="0" w:space="0" w:color="auto"/>
            <w:right w:val="none" w:sz="0" w:space="0" w:color="auto"/>
          </w:divBdr>
          <w:divsChild>
            <w:div w:id="1165050214">
              <w:marLeft w:val="0"/>
              <w:marRight w:val="0"/>
              <w:marTop w:val="0"/>
              <w:marBottom w:val="0"/>
              <w:divBdr>
                <w:top w:val="none" w:sz="0" w:space="0" w:color="auto"/>
                <w:left w:val="none" w:sz="0" w:space="0" w:color="auto"/>
                <w:bottom w:val="none" w:sz="0" w:space="0" w:color="auto"/>
                <w:right w:val="none" w:sz="0" w:space="0" w:color="auto"/>
              </w:divBdr>
              <w:divsChild>
                <w:div w:id="309022283">
                  <w:marLeft w:val="0"/>
                  <w:marRight w:val="0"/>
                  <w:marTop w:val="0"/>
                  <w:marBottom w:val="0"/>
                  <w:divBdr>
                    <w:top w:val="none" w:sz="0" w:space="0" w:color="auto"/>
                    <w:left w:val="none" w:sz="0" w:space="0" w:color="auto"/>
                    <w:bottom w:val="none" w:sz="0" w:space="0" w:color="auto"/>
                    <w:right w:val="none" w:sz="0" w:space="0" w:color="auto"/>
                  </w:divBdr>
                  <w:divsChild>
                    <w:div w:id="1005017545">
                      <w:marLeft w:val="0"/>
                      <w:marRight w:val="0"/>
                      <w:marTop w:val="0"/>
                      <w:marBottom w:val="0"/>
                      <w:divBdr>
                        <w:top w:val="none" w:sz="0" w:space="0" w:color="auto"/>
                        <w:left w:val="none" w:sz="0" w:space="0" w:color="auto"/>
                        <w:bottom w:val="none" w:sz="0" w:space="0" w:color="auto"/>
                        <w:right w:val="none" w:sz="0" w:space="0" w:color="auto"/>
                      </w:divBdr>
                      <w:divsChild>
                        <w:div w:id="1946185037">
                          <w:marLeft w:val="0"/>
                          <w:marRight w:val="0"/>
                          <w:marTop w:val="0"/>
                          <w:marBottom w:val="0"/>
                          <w:divBdr>
                            <w:top w:val="none" w:sz="0" w:space="0" w:color="auto"/>
                            <w:left w:val="none" w:sz="0" w:space="0" w:color="auto"/>
                            <w:bottom w:val="none" w:sz="0" w:space="0" w:color="auto"/>
                            <w:right w:val="none" w:sz="0" w:space="0" w:color="auto"/>
                          </w:divBdr>
                          <w:divsChild>
                            <w:div w:id="5389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9099">
      <w:bodyDiv w:val="1"/>
      <w:marLeft w:val="0"/>
      <w:marRight w:val="0"/>
      <w:marTop w:val="0"/>
      <w:marBottom w:val="0"/>
      <w:divBdr>
        <w:top w:val="none" w:sz="0" w:space="0" w:color="auto"/>
        <w:left w:val="none" w:sz="0" w:space="0" w:color="auto"/>
        <w:bottom w:val="none" w:sz="0" w:space="0" w:color="auto"/>
        <w:right w:val="none" w:sz="0" w:space="0" w:color="auto"/>
      </w:divBdr>
    </w:div>
    <w:div w:id="203834630">
      <w:bodyDiv w:val="1"/>
      <w:marLeft w:val="0"/>
      <w:marRight w:val="0"/>
      <w:marTop w:val="0"/>
      <w:marBottom w:val="0"/>
      <w:divBdr>
        <w:top w:val="none" w:sz="0" w:space="0" w:color="auto"/>
        <w:left w:val="none" w:sz="0" w:space="0" w:color="auto"/>
        <w:bottom w:val="none" w:sz="0" w:space="0" w:color="auto"/>
        <w:right w:val="none" w:sz="0" w:space="0" w:color="auto"/>
      </w:divBdr>
    </w:div>
    <w:div w:id="215317500">
      <w:bodyDiv w:val="1"/>
      <w:marLeft w:val="0"/>
      <w:marRight w:val="0"/>
      <w:marTop w:val="0"/>
      <w:marBottom w:val="0"/>
      <w:divBdr>
        <w:top w:val="none" w:sz="0" w:space="0" w:color="auto"/>
        <w:left w:val="none" w:sz="0" w:space="0" w:color="auto"/>
        <w:bottom w:val="none" w:sz="0" w:space="0" w:color="auto"/>
        <w:right w:val="none" w:sz="0" w:space="0" w:color="auto"/>
      </w:divBdr>
    </w:div>
    <w:div w:id="228805321">
      <w:bodyDiv w:val="1"/>
      <w:marLeft w:val="0"/>
      <w:marRight w:val="0"/>
      <w:marTop w:val="0"/>
      <w:marBottom w:val="0"/>
      <w:divBdr>
        <w:top w:val="none" w:sz="0" w:space="0" w:color="auto"/>
        <w:left w:val="none" w:sz="0" w:space="0" w:color="auto"/>
        <w:bottom w:val="none" w:sz="0" w:space="0" w:color="auto"/>
        <w:right w:val="none" w:sz="0" w:space="0" w:color="auto"/>
      </w:divBdr>
    </w:div>
    <w:div w:id="231425794">
      <w:bodyDiv w:val="1"/>
      <w:marLeft w:val="0"/>
      <w:marRight w:val="0"/>
      <w:marTop w:val="0"/>
      <w:marBottom w:val="0"/>
      <w:divBdr>
        <w:top w:val="none" w:sz="0" w:space="0" w:color="auto"/>
        <w:left w:val="none" w:sz="0" w:space="0" w:color="auto"/>
        <w:bottom w:val="none" w:sz="0" w:space="0" w:color="auto"/>
        <w:right w:val="none" w:sz="0" w:space="0" w:color="auto"/>
      </w:divBdr>
    </w:div>
    <w:div w:id="235630851">
      <w:bodyDiv w:val="1"/>
      <w:marLeft w:val="0"/>
      <w:marRight w:val="0"/>
      <w:marTop w:val="0"/>
      <w:marBottom w:val="0"/>
      <w:divBdr>
        <w:top w:val="none" w:sz="0" w:space="0" w:color="auto"/>
        <w:left w:val="none" w:sz="0" w:space="0" w:color="auto"/>
        <w:bottom w:val="none" w:sz="0" w:space="0" w:color="auto"/>
        <w:right w:val="none" w:sz="0" w:space="0" w:color="auto"/>
      </w:divBdr>
    </w:div>
    <w:div w:id="245384710">
      <w:bodyDiv w:val="1"/>
      <w:marLeft w:val="0"/>
      <w:marRight w:val="0"/>
      <w:marTop w:val="0"/>
      <w:marBottom w:val="0"/>
      <w:divBdr>
        <w:top w:val="none" w:sz="0" w:space="0" w:color="auto"/>
        <w:left w:val="none" w:sz="0" w:space="0" w:color="auto"/>
        <w:bottom w:val="none" w:sz="0" w:space="0" w:color="auto"/>
        <w:right w:val="none" w:sz="0" w:space="0" w:color="auto"/>
      </w:divBdr>
    </w:div>
    <w:div w:id="279649096">
      <w:bodyDiv w:val="1"/>
      <w:marLeft w:val="0"/>
      <w:marRight w:val="0"/>
      <w:marTop w:val="0"/>
      <w:marBottom w:val="0"/>
      <w:divBdr>
        <w:top w:val="none" w:sz="0" w:space="0" w:color="auto"/>
        <w:left w:val="none" w:sz="0" w:space="0" w:color="auto"/>
        <w:bottom w:val="none" w:sz="0" w:space="0" w:color="auto"/>
        <w:right w:val="none" w:sz="0" w:space="0" w:color="auto"/>
      </w:divBdr>
    </w:div>
    <w:div w:id="301349937">
      <w:bodyDiv w:val="1"/>
      <w:marLeft w:val="0"/>
      <w:marRight w:val="0"/>
      <w:marTop w:val="0"/>
      <w:marBottom w:val="0"/>
      <w:divBdr>
        <w:top w:val="none" w:sz="0" w:space="0" w:color="auto"/>
        <w:left w:val="none" w:sz="0" w:space="0" w:color="auto"/>
        <w:bottom w:val="none" w:sz="0" w:space="0" w:color="auto"/>
        <w:right w:val="none" w:sz="0" w:space="0" w:color="auto"/>
      </w:divBdr>
    </w:div>
    <w:div w:id="332495493">
      <w:bodyDiv w:val="1"/>
      <w:marLeft w:val="0"/>
      <w:marRight w:val="0"/>
      <w:marTop w:val="0"/>
      <w:marBottom w:val="0"/>
      <w:divBdr>
        <w:top w:val="none" w:sz="0" w:space="0" w:color="auto"/>
        <w:left w:val="none" w:sz="0" w:space="0" w:color="auto"/>
        <w:bottom w:val="none" w:sz="0" w:space="0" w:color="auto"/>
        <w:right w:val="none" w:sz="0" w:space="0" w:color="auto"/>
      </w:divBdr>
    </w:div>
    <w:div w:id="362747781">
      <w:bodyDiv w:val="1"/>
      <w:marLeft w:val="0"/>
      <w:marRight w:val="0"/>
      <w:marTop w:val="0"/>
      <w:marBottom w:val="0"/>
      <w:divBdr>
        <w:top w:val="none" w:sz="0" w:space="0" w:color="auto"/>
        <w:left w:val="none" w:sz="0" w:space="0" w:color="auto"/>
        <w:bottom w:val="none" w:sz="0" w:space="0" w:color="auto"/>
        <w:right w:val="none" w:sz="0" w:space="0" w:color="auto"/>
      </w:divBdr>
    </w:div>
    <w:div w:id="365451321">
      <w:bodyDiv w:val="1"/>
      <w:marLeft w:val="0"/>
      <w:marRight w:val="0"/>
      <w:marTop w:val="0"/>
      <w:marBottom w:val="0"/>
      <w:divBdr>
        <w:top w:val="none" w:sz="0" w:space="0" w:color="auto"/>
        <w:left w:val="none" w:sz="0" w:space="0" w:color="auto"/>
        <w:bottom w:val="none" w:sz="0" w:space="0" w:color="auto"/>
        <w:right w:val="none" w:sz="0" w:space="0" w:color="auto"/>
      </w:divBdr>
    </w:div>
    <w:div w:id="379788135">
      <w:bodyDiv w:val="1"/>
      <w:marLeft w:val="0"/>
      <w:marRight w:val="0"/>
      <w:marTop w:val="0"/>
      <w:marBottom w:val="0"/>
      <w:divBdr>
        <w:top w:val="none" w:sz="0" w:space="0" w:color="auto"/>
        <w:left w:val="none" w:sz="0" w:space="0" w:color="auto"/>
        <w:bottom w:val="none" w:sz="0" w:space="0" w:color="auto"/>
        <w:right w:val="none" w:sz="0" w:space="0" w:color="auto"/>
      </w:divBdr>
    </w:div>
    <w:div w:id="386537581">
      <w:bodyDiv w:val="1"/>
      <w:marLeft w:val="0"/>
      <w:marRight w:val="0"/>
      <w:marTop w:val="0"/>
      <w:marBottom w:val="0"/>
      <w:divBdr>
        <w:top w:val="none" w:sz="0" w:space="0" w:color="auto"/>
        <w:left w:val="none" w:sz="0" w:space="0" w:color="auto"/>
        <w:bottom w:val="none" w:sz="0" w:space="0" w:color="auto"/>
        <w:right w:val="none" w:sz="0" w:space="0" w:color="auto"/>
      </w:divBdr>
    </w:div>
    <w:div w:id="432433700">
      <w:bodyDiv w:val="1"/>
      <w:marLeft w:val="0"/>
      <w:marRight w:val="0"/>
      <w:marTop w:val="0"/>
      <w:marBottom w:val="0"/>
      <w:divBdr>
        <w:top w:val="none" w:sz="0" w:space="0" w:color="auto"/>
        <w:left w:val="none" w:sz="0" w:space="0" w:color="auto"/>
        <w:bottom w:val="none" w:sz="0" w:space="0" w:color="auto"/>
        <w:right w:val="none" w:sz="0" w:space="0" w:color="auto"/>
      </w:divBdr>
    </w:div>
    <w:div w:id="469250282">
      <w:bodyDiv w:val="1"/>
      <w:marLeft w:val="0"/>
      <w:marRight w:val="0"/>
      <w:marTop w:val="0"/>
      <w:marBottom w:val="0"/>
      <w:divBdr>
        <w:top w:val="none" w:sz="0" w:space="0" w:color="auto"/>
        <w:left w:val="none" w:sz="0" w:space="0" w:color="auto"/>
        <w:bottom w:val="none" w:sz="0" w:space="0" w:color="auto"/>
        <w:right w:val="none" w:sz="0" w:space="0" w:color="auto"/>
      </w:divBdr>
      <w:divsChild>
        <w:div w:id="1567913032">
          <w:marLeft w:val="0"/>
          <w:marRight w:val="0"/>
          <w:marTop w:val="0"/>
          <w:marBottom w:val="0"/>
          <w:divBdr>
            <w:top w:val="single" w:sz="2" w:space="0" w:color="auto"/>
            <w:left w:val="single" w:sz="2" w:space="4" w:color="auto"/>
            <w:bottom w:val="single" w:sz="2" w:space="0" w:color="auto"/>
            <w:right w:val="single" w:sz="2" w:space="4" w:color="auto"/>
          </w:divBdr>
        </w:div>
      </w:divsChild>
    </w:div>
    <w:div w:id="507330777">
      <w:bodyDiv w:val="1"/>
      <w:marLeft w:val="0"/>
      <w:marRight w:val="0"/>
      <w:marTop w:val="0"/>
      <w:marBottom w:val="0"/>
      <w:divBdr>
        <w:top w:val="none" w:sz="0" w:space="0" w:color="auto"/>
        <w:left w:val="none" w:sz="0" w:space="0" w:color="auto"/>
        <w:bottom w:val="none" w:sz="0" w:space="0" w:color="auto"/>
        <w:right w:val="none" w:sz="0" w:space="0" w:color="auto"/>
      </w:divBdr>
    </w:div>
    <w:div w:id="523254466">
      <w:bodyDiv w:val="1"/>
      <w:marLeft w:val="0"/>
      <w:marRight w:val="0"/>
      <w:marTop w:val="0"/>
      <w:marBottom w:val="0"/>
      <w:divBdr>
        <w:top w:val="none" w:sz="0" w:space="0" w:color="auto"/>
        <w:left w:val="none" w:sz="0" w:space="0" w:color="auto"/>
        <w:bottom w:val="none" w:sz="0" w:space="0" w:color="auto"/>
        <w:right w:val="none" w:sz="0" w:space="0" w:color="auto"/>
      </w:divBdr>
    </w:div>
    <w:div w:id="526408217">
      <w:bodyDiv w:val="1"/>
      <w:marLeft w:val="0"/>
      <w:marRight w:val="0"/>
      <w:marTop w:val="0"/>
      <w:marBottom w:val="0"/>
      <w:divBdr>
        <w:top w:val="none" w:sz="0" w:space="0" w:color="auto"/>
        <w:left w:val="none" w:sz="0" w:space="0" w:color="auto"/>
        <w:bottom w:val="none" w:sz="0" w:space="0" w:color="auto"/>
        <w:right w:val="none" w:sz="0" w:space="0" w:color="auto"/>
      </w:divBdr>
    </w:div>
    <w:div w:id="526450992">
      <w:bodyDiv w:val="1"/>
      <w:marLeft w:val="0"/>
      <w:marRight w:val="0"/>
      <w:marTop w:val="0"/>
      <w:marBottom w:val="0"/>
      <w:divBdr>
        <w:top w:val="none" w:sz="0" w:space="0" w:color="auto"/>
        <w:left w:val="none" w:sz="0" w:space="0" w:color="auto"/>
        <w:bottom w:val="none" w:sz="0" w:space="0" w:color="auto"/>
        <w:right w:val="none" w:sz="0" w:space="0" w:color="auto"/>
      </w:divBdr>
    </w:div>
    <w:div w:id="531503632">
      <w:bodyDiv w:val="1"/>
      <w:marLeft w:val="0"/>
      <w:marRight w:val="0"/>
      <w:marTop w:val="0"/>
      <w:marBottom w:val="0"/>
      <w:divBdr>
        <w:top w:val="none" w:sz="0" w:space="0" w:color="auto"/>
        <w:left w:val="none" w:sz="0" w:space="0" w:color="auto"/>
        <w:bottom w:val="none" w:sz="0" w:space="0" w:color="auto"/>
        <w:right w:val="none" w:sz="0" w:space="0" w:color="auto"/>
      </w:divBdr>
    </w:div>
    <w:div w:id="543249612">
      <w:bodyDiv w:val="1"/>
      <w:marLeft w:val="0"/>
      <w:marRight w:val="0"/>
      <w:marTop w:val="0"/>
      <w:marBottom w:val="0"/>
      <w:divBdr>
        <w:top w:val="none" w:sz="0" w:space="0" w:color="auto"/>
        <w:left w:val="none" w:sz="0" w:space="0" w:color="auto"/>
        <w:bottom w:val="none" w:sz="0" w:space="0" w:color="auto"/>
        <w:right w:val="none" w:sz="0" w:space="0" w:color="auto"/>
      </w:divBdr>
    </w:div>
    <w:div w:id="550380957">
      <w:bodyDiv w:val="1"/>
      <w:marLeft w:val="0"/>
      <w:marRight w:val="0"/>
      <w:marTop w:val="0"/>
      <w:marBottom w:val="0"/>
      <w:divBdr>
        <w:top w:val="none" w:sz="0" w:space="0" w:color="auto"/>
        <w:left w:val="none" w:sz="0" w:space="0" w:color="auto"/>
        <w:bottom w:val="none" w:sz="0" w:space="0" w:color="auto"/>
        <w:right w:val="none" w:sz="0" w:space="0" w:color="auto"/>
      </w:divBdr>
    </w:div>
    <w:div w:id="552617234">
      <w:bodyDiv w:val="1"/>
      <w:marLeft w:val="0"/>
      <w:marRight w:val="0"/>
      <w:marTop w:val="0"/>
      <w:marBottom w:val="0"/>
      <w:divBdr>
        <w:top w:val="none" w:sz="0" w:space="0" w:color="auto"/>
        <w:left w:val="none" w:sz="0" w:space="0" w:color="auto"/>
        <w:bottom w:val="none" w:sz="0" w:space="0" w:color="auto"/>
        <w:right w:val="none" w:sz="0" w:space="0" w:color="auto"/>
      </w:divBdr>
    </w:div>
    <w:div w:id="572009396">
      <w:bodyDiv w:val="1"/>
      <w:marLeft w:val="0"/>
      <w:marRight w:val="0"/>
      <w:marTop w:val="0"/>
      <w:marBottom w:val="0"/>
      <w:divBdr>
        <w:top w:val="none" w:sz="0" w:space="0" w:color="auto"/>
        <w:left w:val="none" w:sz="0" w:space="0" w:color="auto"/>
        <w:bottom w:val="none" w:sz="0" w:space="0" w:color="auto"/>
        <w:right w:val="none" w:sz="0" w:space="0" w:color="auto"/>
      </w:divBdr>
      <w:divsChild>
        <w:div w:id="910773319">
          <w:marLeft w:val="0"/>
          <w:marRight w:val="0"/>
          <w:marTop w:val="0"/>
          <w:marBottom w:val="0"/>
          <w:divBdr>
            <w:top w:val="none" w:sz="0" w:space="0" w:color="auto"/>
            <w:left w:val="none" w:sz="0" w:space="0" w:color="auto"/>
            <w:bottom w:val="none" w:sz="0" w:space="0" w:color="auto"/>
            <w:right w:val="none" w:sz="0" w:space="0" w:color="auto"/>
          </w:divBdr>
          <w:divsChild>
            <w:div w:id="840660128">
              <w:marLeft w:val="0"/>
              <w:marRight w:val="0"/>
              <w:marTop w:val="0"/>
              <w:marBottom w:val="0"/>
              <w:divBdr>
                <w:top w:val="none" w:sz="0" w:space="0" w:color="auto"/>
                <w:left w:val="none" w:sz="0" w:space="0" w:color="auto"/>
                <w:bottom w:val="none" w:sz="0" w:space="0" w:color="auto"/>
                <w:right w:val="none" w:sz="0" w:space="0" w:color="auto"/>
              </w:divBdr>
              <w:divsChild>
                <w:div w:id="1393504654">
                  <w:marLeft w:val="0"/>
                  <w:marRight w:val="0"/>
                  <w:marTop w:val="0"/>
                  <w:marBottom w:val="0"/>
                  <w:divBdr>
                    <w:top w:val="none" w:sz="0" w:space="0" w:color="auto"/>
                    <w:left w:val="none" w:sz="0" w:space="0" w:color="auto"/>
                    <w:bottom w:val="none" w:sz="0" w:space="0" w:color="auto"/>
                    <w:right w:val="none" w:sz="0" w:space="0" w:color="auto"/>
                  </w:divBdr>
                  <w:divsChild>
                    <w:div w:id="19603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3952">
          <w:marLeft w:val="0"/>
          <w:marRight w:val="0"/>
          <w:marTop w:val="0"/>
          <w:marBottom w:val="0"/>
          <w:divBdr>
            <w:top w:val="none" w:sz="0" w:space="0" w:color="auto"/>
            <w:left w:val="none" w:sz="0" w:space="0" w:color="auto"/>
            <w:bottom w:val="none" w:sz="0" w:space="0" w:color="auto"/>
            <w:right w:val="none" w:sz="0" w:space="0" w:color="auto"/>
          </w:divBdr>
          <w:divsChild>
            <w:div w:id="1407144728">
              <w:marLeft w:val="0"/>
              <w:marRight w:val="0"/>
              <w:marTop w:val="0"/>
              <w:marBottom w:val="0"/>
              <w:divBdr>
                <w:top w:val="none" w:sz="0" w:space="0" w:color="auto"/>
                <w:left w:val="none" w:sz="0" w:space="0" w:color="auto"/>
                <w:bottom w:val="none" w:sz="0" w:space="0" w:color="auto"/>
                <w:right w:val="none" w:sz="0" w:space="0" w:color="auto"/>
              </w:divBdr>
              <w:divsChild>
                <w:div w:id="855117660">
                  <w:marLeft w:val="0"/>
                  <w:marRight w:val="0"/>
                  <w:marTop w:val="0"/>
                  <w:marBottom w:val="0"/>
                  <w:divBdr>
                    <w:top w:val="none" w:sz="0" w:space="0" w:color="auto"/>
                    <w:left w:val="none" w:sz="0" w:space="0" w:color="auto"/>
                    <w:bottom w:val="none" w:sz="0" w:space="0" w:color="auto"/>
                    <w:right w:val="none" w:sz="0" w:space="0" w:color="auto"/>
                  </w:divBdr>
                  <w:divsChild>
                    <w:div w:id="1387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00620">
      <w:bodyDiv w:val="1"/>
      <w:marLeft w:val="0"/>
      <w:marRight w:val="0"/>
      <w:marTop w:val="0"/>
      <w:marBottom w:val="0"/>
      <w:divBdr>
        <w:top w:val="none" w:sz="0" w:space="0" w:color="auto"/>
        <w:left w:val="none" w:sz="0" w:space="0" w:color="auto"/>
        <w:bottom w:val="none" w:sz="0" w:space="0" w:color="auto"/>
        <w:right w:val="none" w:sz="0" w:space="0" w:color="auto"/>
      </w:divBdr>
    </w:div>
    <w:div w:id="606040572">
      <w:bodyDiv w:val="1"/>
      <w:marLeft w:val="0"/>
      <w:marRight w:val="0"/>
      <w:marTop w:val="0"/>
      <w:marBottom w:val="0"/>
      <w:divBdr>
        <w:top w:val="none" w:sz="0" w:space="0" w:color="auto"/>
        <w:left w:val="none" w:sz="0" w:space="0" w:color="auto"/>
        <w:bottom w:val="none" w:sz="0" w:space="0" w:color="auto"/>
        <w:right w:val="none" w:sz="0" w:space="0" w:color="auto"/>
      </w:divBdr>
    </w:div>
    <w:div w:id="666323797">
      <w:bodyDiv w:val="1"/>
      <w:marLeft w:val="0"/>
      <w:marRight w:val="0"/>
      <w:marTop w:val="0"/>
      <w:marBottom w:val="0"/>
      <w:divBdr>
        <w:top w:val="none" w:sz="0" w:space="0" w:color="auto"/>
        <w:left w:val="none" w:sz="0" w:space="0" w:color="auto"/>
        <w:bottom w:val="none" w:sz="0" w:space="0" w:color="auto"/>
        <w:right w:val="none" w:sz="0" w:space="0" w:color="auto"/>
      </w:divBdr>
    </w:div>
    <w:div w:id="754860480">
      <w:bodyDiv w:val="1"/>
      <w:marLeft w:val="0"/>
      <w:marRight w:val="0"/>
      <w:marTop w:val="0"/>
      <w:marBottom w:val="0"/>
      <w:divBdr>
        <w:top w:val="none" w:sz="0" w:space="0" w:color="auto"/>
        <w:left w:val="none" w:sz="0" w:space="0" w:color="auto"/>
        <w:bottom w:val="none" w:sz="0" w:space="0" w:color="auto"/>
        <w:right w:val="none" w:sz="0" w:space="0" w:color="auto"/>
      </w:divBdr>
    </w:div>
    <w:div w:id="854538829">
      <w:bodyDiv w:val="1"/>
      <w:marLeft w:val="0"/>
      <w:marRight w:val="0"/>
      <w:marTop w:val="0"/>
      <w:marBottom w:val="0"/>
      <w:divBdr>
        <w:top w:val="none" w:sz="0" w:space="0" w:color="auto"/>
        <w:left w:val="none" w:sz="0" w:space="0" w:color="auto"/>
        <w:bottom w:val="none" w:sz="0" w:space="0" w:color="auto"/>
        <w:right w:val="none" w:sz="0" w:space="0" w:color="auto"/>
      </w:divBdr>
    </w:div>
    <w:div w:id="876968503">
      <w:bodyDiv w:val="1"/>
      <w:marLeft w:val="0"/>
      <w:marRight w:val="0"/>
      <w:marTop w:val="0"/>
      <w:marBottom w:val="0"/>
      <w:divBdr>
        <w:top w:val="none" w:sz="0" w:space="0" w:color="auto"/>
        <w:left w:val="none" w:sz="0" w:space="0" w:color="auto"/>
        <w:bottom w:val="none" w:sz="0" w:space="0" w:color="auto"/>
        <w:right w:val="none" w:sz="0" w:space="0" w:color="auto"/>
      </w:divBdr>
    </w:div>
    <w:div w:id="881015768">
      <w:bodyDiv w:val="1"/>
      <w:marLeft w:val="0"/>
      <w:marRight w:val="0"/>
      <w:marTop w:val="0"/>
      <w:marBottom w:val="0"/>
      <w:divBdr>
        <w:top w:val="none" w:sz="0" w:space="0" w:color="auto"/>
        <w:left w:val="none" w:sz="0" w:space="0" w:color="auto"/>
        <w:bottom w:val="none" w:sz="0" w:space="0" w:color="auto"/>
        <w:right w:val="none" w:sz="0" w:space="0" w:color="auto"/>
      </w:divBdr>
    </w:div>
    <w:div w:id="908464065">
      <w:bodyDiv w:val="1"/>
      <w:marLeft w:val="0"/>
      <w:marRight w:val="0"/>
      <w:marTop w:val="0"/>
      <w:marBottom w:val="0"/>
      <w:divBdr>
        <w:top w:val="none" w:sz="0" w:space="0" w:color="auto"/>
        <w:left w:val="none" w:sz="0" w:space="0" w:color="auto"/>
        <w:bottom w:val="none" w:sz="0" w:space="0" w:color="auto"/>
        <w:right w:val="none" w:sz="0" w:space="0" w:color="auto"/>
      </w:divBdr>
    </w:div>
    <w:div w:id="934702522">
      <w:bodyDiv w:val="1"/>
      <w:marLeft w:val="0"/>
      <w:marRight w:val="0"/>
      <w:marTop w:val="0"/>
      <w:marBottom w:val="0"/>
      <w:divBdr>
        <w:top w:val="none" w:sz="0" w:space="0" w:color="auto"/>
        <w:left w:val="none" w:sz="0" w:space="0" w:color="auto"/>
        <w:bottom w:val="none" w:sz="0" w:space="0" w:color="auto"/>
        <w:right w:val="none" w:sz="0" w:space="0" w:color="auto"/>
      </w:divBdr>
    </w:div>
    <w:div w:id="936013069">
      <w:bodyDiv w:val="1"/>
      <w:marLeft w:val="0"/>
      <w:marRight w:val="0"/>
      <w:marTop w:val="0"/>
      <w:marBottom w:val="0"/>
      <w:divBdr>
        <w:top w:val="none" w:sz="0" w:space="0" w:color="auto"/>
        <w:left w:val="none" w:sz="0" w:space="0" w:color="auto"/>
        <w:bottom w:val="none" w:sz="0" w:space="0" w:color="auto"/>
        <w:right w:val="none" w:sz="0" w:space="0" w:color="auto"/>
      </w:divBdr>
      <w:divsChild>
        <w:div w:id="1399013876">
          <w:marLeft w:val="0"/>
          <w:marRight w:val="0"/>
          <w:marTop w:val="0"/>
          <w:marBottom w:val="0"/>
          <w:divBdr>
            <w:top w:val="single" w:sz="2" w:space="0" w:color="auto"/>
            <w:left w:val="single" w:sz="2" w:space="4" w:color="auto"/>
            <w:bottom w:val="single" w:sz="2" w:space="0" w:color="auto"/>
            <w:right w:val="single" w:sz="2" w:space="4" w:color="auto"/>
          </w:divBdr>
        </w:div>
        <w:div w:id="1865944440">
          <w:marLeft w:val="0"/>
          <w:marRight w:val="0"/>
          <w:marTop w:val="0"/>
          <w:marBottom w:val="0"/>
          <w:divBdr>
            <w:top w:val="single" w:sz="2" w:space="0" w:color="auto"/>
            <w:left w:val="single" w:sz="2" w:space="4" w:color="auto"/>
            <w:bottom w:val="single" w:sz="2" w:space="0" w:color="auto"/>
            <w:right w:val="single" w:sz="2" w:space="4" w:color="auto"/>
          </w:divBdr>
        </w:div>
      </w:divsChild>
    </w:div>
    <w:div w:id="940380129">
      <w:bodyDiv w:val="1"/>
      <w:marLeft w:val="0"/>
      <w:marRight w:val="0"/>
      <w:marTop w:val="0"/>
      <w:marBottom w:val="0"/>
      <w:divBdr>
        <w:top w:val="none" w:sz="0" w:space="0" w:color="auto"/>
        <w:left w:val="none" w:sz="0" w:space="0" w:color="auto"/>
        <w:bottom w:val="none" w:sz="0" w:space="0" w:color="auto"/>
        <w:right w:val="none" w:sz="0" w:space="0" w:color="auto"/>
      </w:divBdr>
    </w:div>
    <w:div w:id="944968818">
      <w:bodyDiv w:val="1"/>
      <w:marLeft w:val="0"/>
      <w:marRight w:val="0"/>
      <w:marTop w:val="0"/>
      <w:marBottom w:val="0"/>
      <w:divBdr>
        <w:top w:val="none" w:sz="0" w:space="0" w:color="auto"/>
        <w:left w:val="none" w:sz="0" w:space="0" w:color="auto"/>
        <w:bottom w:val="none" w:sz="0" w:space="0" w:color="auto"/>
        <w:right w:val="none" w:sz="0" w:space="0" w:color="auto"/>
      </w:divBdr>
    </w:div>
    <w:div w:id="947660615">
      <w:bodyDiv w:val="1"/>
      <w:marLeft w:val="0"/>
      <w:marRight w:val="0"/>
      <w:marTop w:val="0"/>
      <w:marBottom w:val="0"/>
      <w:divBdr>
        <w:top w:val="none" w:sz="0" w:space="0" w:color="auto"/>
        <w:left w:val="none" w:sz="0" w:space="0" w:color="auto"/>
        <w:bottom w:val="none" w:sz="0" w:space="0" w:color="auto"/>
        <w:right w:val="none" w:sz="0" w:space="0" w:color="auto"/>
      </w:divBdr>
    </w:div>
    <w:div w:id="953750055">
      <w:bodyDiv w:val="1"/>
      <w:marLeft w:val="0"/>
      <w:marRight w:val="0"/>
      <w:marTop w:val="0"/>
      <w:marBottom w:val="0"/>
      <w:divBdr>
        <w:top w:val="none" w:sz="0" w:space="0" w:color="auto"/>
        <w:left w:val="none" w:sz="0" w:space="0" w:color="auto"/>
        <w:bottom w:val="none" w:sz="0" w:space="0" w:color="auto"/>
        <w:right w:val="none" w:sz="0" w:space="0" w:color="auto"/>
      </w:divBdr>
    </w:div>
    <w:div w:id="968435772">
      <w:bodyDiv w:val="1"/>
      <w:marLeft w:val="0"/>
      <w:marRight w:val="0"/>
      <w:marTop w:val="0"/>
      <w:marBottom w:val="0"/>
      <w:divBdr>
        <w:top w:val="none" w:sz="0" w:space="0" w:color="auto"/>
        <w:left w:val="none" w:sz="0" w:space="0" w:color="auto"/>
        <w:bottom w:val="none" w:sz="0" w:space="0" w:color="auto"/>
        <w:right w:val="none" w:sz="0" w:space="0" w:color="auto"/>
      </w:divBdr>
    </w:div>
    <w:div w:id="1000740976">
      <w:bodyDiv w:val="1"/>
      <w:marLeft w:val="0"/>
      <w:marRight w:val="0"/>
      <w:marTop w:val="0"/>
      <w:marBottom w:val="0"/>
      <w:divBdr>
        <w:top w:val="none" w:sz="0" w:space="0" w:color="auto"/>
        <w:left w:val="none" w:sz="0" w:space="0" w:color="auto"/>
        <w:bottom w:val="none" w:sz="0" w:space="0" w:color="auto"/>
        <w:right w:val="none" w:sz="0" w:space="0" w:color="auto"/>
      </w:divBdr>
    </w:div>
    <w:div w:id="1024593242">
      <w:bodyDiv w:val="1"/>
      <w:marLeft w:val="0"/>
      <w:marRight w:val="0"/>
      <w:marTop w:val="0"/>
      <w:marBottom w:val="0"/>
      <w:divBdr>
        <w:top w:val="none" w:sz="0" w:space="0" w:color="auto"/>
        <w:left w:val="none" w:sz="0" w:space="0" w:color="auto"/>
        <w:bottom w:val="none" w:sz="0" w:space="0" w:color="auto"/>
        <w:right w:val="none" w:sz="0" w:space="0" w:color="auto"/>
      </w:divBdr>
    </w:div>
    <w:div w:id="1040975002">
      <w:bodyDiv w:val="1"/>
      <w:marLeft w:val="0"/>
      <w:marRight w:val="0"/>
      <w:marTop w:val="0"/>
      <w:marBottom w:val="0"/>
      <w:divBdr>
        <w:top w:val="none" w:sz="0" w:space="0" w:color="auto"/>
        <w:left w:val="none" w:sz="0" w:space="0" w:color="auto"/>
        <w:bottom w:val="none" w:sz="0" w:space="0" w:color="auto"/>
        <w:right w:val="none" w:sz="0" w:space="0" w:color="auto"/>
      </w:divBdr>
      <w:divsChild>
        <w:div w:id="3098787">
          <w:marLeft w:val="0"/>
          <w:marRight w:val="0"/>
          <w:marTop w:val="0"/>
          <w:marBottom w:val="0"/>
          <w:divBdr>
            <w:top w:val="single" w:sz="2" w:space="0" w:color="auto"/>
            <w:left w:val="single" w:sz="2" w:space="4" w:color="auto"/>
            <w:bottom w:val="single" w:sz="2" w:space="0" w:color="auto"/>
            <w:right w:val="single" w:sz="2" w:space="4" w:color="auto"/>
          </w:divBdr>
        </w:div>
        <w:div w:id="2124490713">
          <w:marLeft w:val="0"/>
          <w:marRight w:val="0"/>
          <w:marTop w:val="0"/>
          <w:marBottom w:val="0"/>
          <w:divBdr>
            <w:top w:val="single" w:sz="2" w:space="0" w:color="auto"/>
            <w:left w:val="single" w:sz="2" w:space="4" w:color="auto"/>
            <w:bottom w:val="single" w:sz="2" w:space="0" w:color="auto"/>
            <w:right w:val="single" w:sz="2" w:space="4" w:color="auto"/>
          </w:divBdr>
        </w:div>
      </w:divsChild>
    </w:div>
    <w:div w:id="1055665622">
      <w:bodyDiv w:val="1"/>
      <w:marLeft w:val="0"/>
      <w:marRight w:val="0"/>
      <w:marTop w:val="0"/>
      <w:marBottom w:val="0"/>
      <w:divBdr>
        <w:top w:val="none" w:sz="0" w:space="0" w:color="auto"/>
        <w:left w:val="none" w:sz="0" w:space="0" w:color="auto"/>
        <w:bottom w:val="none" w:sz="0" w:space="0" w:color="auto"/>
        <w:right w:val="none" w:sz="0" w:space="0" w:color="auto"/>
      </w:divBdr>
    </w:div>
    <w:div w:id="1084960570">
      <w:bodyDiv w:val="1"/>
      <w:marLeft w:val="0"/>
      <w:marRight w:val="0"/>
      <w:marTop w:val="0"/>
      <w:marBottom w:val="0"/>
      <w:divBdr>
        <w:top w:val="none" w:sz="0" w:space="0" w:color="auto"/>
        <w:left w:val="none" w:sz="0" w:space="0" w:color="auto"/>
        <w:bottom w:val="none" w:sz="0" w:space="0" w:color="auto"/>
        <w:right w:val="none" w:sz="0" w:space="0" w:color="auto"/>
      </w:divBdr>
    </w:div>
    <w:div w:id="1115566328">
      <w:bodyDiv w:val="1"/>
      <w:marLeft w:val="0"/>
      <w:marRight w:val="0"/>
      <w:marTop w:val="0"/>
      <w:marBottom w:val="0"/>
      <w:divBdr>
        <w:top w:val="none" w:sz="0" w:space="0" w:color="auto"/>
        <w:left w:val="none" w:sz="0" w:space="0" w:color="auto"/>
        <w:bottom w:val="none" w:sz="0" w:space="0" w:color="auto"/>
        <w:right w:val="none" w:sz="0" w:space="0" w:color="auto"/>
      </w:divBdr>
    </w:div>
    <w:div w:id="1120223215">
      <w:bodyDiv w:val="1"/>
      <w:marLeft w:val="0"/>
      <w:marRight w:val="0"/>
      <w:marTop w:val="0"/>
      <w:marBottom w:val="0"/>
      <w:divBdr>
        <w:top w:val="none" w:sz="0" w:space="0" w:color="auto"/>
        <w:left w:val="none" w:sz="0" w:space="0" w:color="auto"/>
        <w:bottom w:val="none" w:sz="0" w:space="0" w:color="auto"/>
        <w:right w:val="none" w:sz="0" w:space="0" w:color="auto"/>
      </w:divBdr>
    </w:div>
    <w:div w:id="1158888339">
      <w:bodyDiv w:val="1"/>
      <w:marLeft w:val="0"/>
      <w:marRight w:val="0"/>
      <w:marTop w:val="0"/>
      <w:marBottom w:val="0"/>
      <w:divBdr>
        <w:top w:val="none" w:sz="0" w:space="0" w:color="auto"/>
        <w:left w:val="none" w:sz="0" w:space="0" w:color="auto"/>
        <w:bottom w:val="none" w:sz="0" w:space="0" w:color="auto"/>
        <w:right w:val="none" w:sz="0" w:space="0" w:color="auto"/>
      </w:divBdr>
    </w:div>
    <w:div w:id="1163282140">
      <w:bodyDiv w:val="1"/>
      <w:marLeft w:val="0"/>
      <w:marRight w:val="0"/>
      <w:marTop w:val="0"/>
      <w:marBottom w:val="0"/>
      <w:divBdr>
        <w:top w:val="none" w:sz="0" w:space="0" w:color="auto"/>
        <w:left w:val="none" w:sz="0" w:space="0" w:color="auto"/>
        <w:bottom w:val="none" w:sz="0" w:space="0" w:color="auto"/>
        <w:right w:val="none" w:sz="0" w:space="0" w:color="auto"/>
      </w:divBdr>
    </w:div>
    <w:div w:id="1168793268">
      <w:bodyDiv w:val="1"/>
      <w:marLeft w:val="0"/>
      <w:marRight w:val="0"/>
      <w:marTop w:val="0"/>
      <w:marBottom w:val="0"/>
      <w:divBdr>
        <w:top w:val="none" w:sz="0" w:space="0" w:color="auto"/>
        <w:left w:val="none" w:sz="0" w:space="0" w:color="auto"/>
        <w:bottom w:val="none" w:sz="0" w:space="0" w:color="auto"/>
        <w:right w:val="none" w:sz="0" w:space="0" w:color="auto"/>
      </w:divBdr>
      <w:divsChild>
        <w:div w:id="774331048">
          <w:marLeft w:val="0"/>
          <w:marRight w:val="0"/>
          <w:marTop w:val="0"/>
          <w:marBottom w:val="0"/>
          <w:divBdr>
            <w:top w:val="single" w:sz="2" w:space="0" w:color="auto"/>
            <w:left w:val="single" w:sz="2" w:space="4" w:color="auto"/>
            <w:bottom w:val="single" w:sz="2" w:space="0" w:color="auto"/>
            <w:right w:val="single" w:sz="2" w:space="4" w:color="auto"/>
          </w:divBdr>
        </w:div>
        <w:div w:id="1034889728">
          <w:marLeft w:val="0"/>
          <w:marRight w:val="0"/>
          <w:marTop w:val="0"/>
          <w:marBottom w:val="0"/>
          <w:divBdr>
            <w:top w:val="single" w:sz="2" w:space="0" w:color="auto"/>
            <w:left w:val="single" w:sz="2" w:space="4" w:color="auto"/>
            <w:bottom w:val="single" w:sz="2" w:space="0" w:color="auto"/>
            <w:right w:val="single" w:sz="2" w:space="4" w:color="auto"/>
          </w:divBdr>
        </w:div>
        <w:div w:id="1583946709">
          <w:marLeft w:val="0"/>
          <w:marRight w:val="0"/>
          <w:marTop w:val="0"/>
          <w:marBottom w:val="0"/>
          <w:divBdr>
            <w:top w:val="single" w:sz="2" w:space="0" w:color="auto"/>
            <w:left w:val="single" w:sz="2" w:space="4" w:color="auto"/>
            <w:bottom w:val="single" w:sz="2" w:space="0" w:color="auto"/>
            <w:right w:val="single" w:sz="2" w:space="4" w:color="auto"/>
          </w:divBdr>
        </w:div>
        <w:div w:id="1588727693">
          <w:marLeft w:val="0"/>
          <w:marRight w:val="0"/>
          <w:marTop w:val="0"/>
          <w:marBottom w:val="0"/>
          <w:divBdr>
            <w:top w:val="single" w:sz="2" w:space="0" w:color="auto"/>
            <w:left w:val="single" w:sz="2" w:space="4" w:color="auto"/>
            <w:bottom w:val="single" w:sz="2" w:space="0" w:color="auto"/>
            <w:right w:val="single" w:sz="2" w:space="4" w:color="auto"/>
          </w:divBdr>
        </w:div>
      </w:divsChild>
    </w:div>
    <w:div w:id="1193878750">
      <w:bodyDiv w:val="1"/>
      <w:marLeft w:val="0"/>
      <w:marRight w:val="0"/>
      <w:marTop w:val="0"/>
      <w:marBottom w:val="0"/>
      <w:divBdr>
        <w:top w:val="none" w:sz="0" w:space="0" w:color="auto"/>
        <w:left w:val="none" w:sz="0" w:space="0" w:color="auto"/>
        <w:bottom w:val="none" w:sz="0" w:space="0" w:color="auto"/>
        <w:right w:val="none" w:sz="0" w:space="0" w:color="auto"/>
      </w:divBdr>
    </w:div>
    <w:div w:id="1203978668">
      <w:bodyDiv w:val="1"/>
      <w:marLeft w:val="0"/>
      <w:marRight w:val="0"/>
      <w:marTop w:val="0"/>
      <w:marBottom w:val="0"/>
      <w:divBdr>
        <w:top w:val="none" w:sz="0" w:space="0" w:color="auto"/>
        <w:left w:val="none" w:sz="0" w:space="0" w:color="auto"/>
        <w:bottom w:val="none" w:sz="0" w:space="0" w:color="auto"/>
        <w:right w:val="none" w:sz="0" w:space="0" w:color="auto"/>
      </w:divBdr>
    </w:div>
    <w:div w:id="1223055914">
      <w:bodyDiv w:val="1"/>
      <w:marLeft w:val="0"/>
      <w:marRight w:val="0"/>
      <w:marTop w:val="0"/>
      <w:marBottom w:val="0"/>
      <w:divBdr>
        <w:top w:val="none" w:sz="0" w:space="0" w:color="auto"/>
        <w:left w:val="none" w:sz="0" w:space="0" w:color="auto"/>
        <w:bottom w:val="none" w:sz="0" w:space="0" w:color="auto"/>
        <w:right w:val="none" w:sz="0" w:space="0" w:color="auto"/>
      </w:divBdr>
    </w:div>
    <w:div w:id="1235316307">
      <w:bodyDiv w:val="1"/>
      <w:marLeft w:val="0"/>
      <w:marRight w:val="0"/>
      <w:marTop w:val="0"/>
      <w:marBottom w:val="0"/>
      <w:divBdr>
        <w:top w:val="none" w:sz="0" w:space="0" w:color="auto"/>
        <w:left w:val="none" w:sz="0" w:space="0" w:color="auto"/>
        <w:bottom w:val="none" w:sz="0" w:space="0" w:color="auto"/>
        <w:right w:val="none" w:sz="0" w:space="0" w:color="auto"/>
      </w:divBdr>
    </w:div>
    <w:div w:id="1255478596">
      <w:bodyDiv w:val="1"/>
      <w:marLeft w:val="0"/>
      <w:marRight w:val="0"/>
      <w:marTop w:val="0"/>
      <w:marBottom w:val="0"/>
      <w:divBdr>
        <w:top w:val="none" w:sz="0" w:space="0" w:color="auto"/>
        <w:left w:val="none" w:sz="0" w:space="0" w:color="auto"/>
        <w:bottom w:val="none" w:sz="0" w:space="0" w:color="auto"/>
        <w:right w:val="none" w:sz="0" w:space="0" w:color="auto"/>
      </w:divBdr>
    </w:div>
    <w:div w:id="1257859277">
      <w:bodyDiv w:val="1"/>
      <w:marLeft w:val="0"/>
      <w:marRight w:val="0"/>
      <w:marTop w:val="0"/>
      <w:marBottom w:val="0"/>
      <w:divBdr>
        <w:top w:val="none" w:sz="0" w:space="0" w:color="auto"/>
        <w:left w:val="none" w:sz="0" w:space="0" w:color="auto"/>
        <w:bottom w:val="none" w:sz="0" w:space="0" w:color="auto"/>
        <w:right w:val="none" w:sz="0" w:space="0" w:color="auto"/>
      </w:divBdr>
    </w:div>
    <w:div w:id="1269388510">
      <w:bodyDiv w:val="1"/>
      <w:marLeft w:val="0"/>
      <w:marRight w:val="0"/>
      <w:marTop w:val="0"/>
      <w:marBottom w:val="0"/>
      <w:divBdr>
        <w:top w:val="none" w:sz="0" w:space="0" w:color="auto"/>
        <w:left w:val="none" w:sz="0" w:space="0" w:color="auto"/>
        <w:bottom w:val="none" w:sz="0" w:space="0" w:color="auto"/>
        <w:right w:val="none" w:sz="0" w:space="0" w:color="auto"/>
      </w:divBdr>
    </w:div>
    <w:div w:id="1285112045">
      <w:bodyDiv w:val="1"/>
      <w:marLeft w:val="0"/>
      <w:marRight w:val="0"/>
      <w:marTop w:val="0"/>
      <w:marBottom w:val="0"/>
      <w:divBdr>
        <w:top w:val="none" w:sz="0" w:space="0" w:color="auto"/>
        <w:left w:val="none" w:sz="0" w:space="0" w:color="auto"/>
        <w:bottom w:val="none" w:sz="0" w:space="0" w:color="auto"/>
        <w:right w:val="none" w:sz="0" w:space="0" w:color="auto"/>
      </w:divBdr>
      <w:divsChild>
        <w:div w:id="1699771085">
          <w:marLeft w:val="0"/>
          <w:marRight w:val="0"/>
          <w:marTop w:val="0"/>
          <w:marBottom w:val="0"/>
          <w:divBdr>
            <w:top w:val="none" w:sz="0" w:space="0" w:color="auto"/>
            <w:left w:val="none" w:sz="0" w:space="0" w:color="auto"/>
            <w:bottom w:val="none" w:sz="0" w:space="0" w:color="auto"/>
            <w:right w:val="none" w:sz="0" w:space="0" w:color="auto"/>
          </w:divBdr>
          <w:divsChild>
            <w:div w:id="685984305">
              <w:marLeft w:val="0"/>
              <w:marRight w:val="0"/>
              <w:marTop w:val="0"/>
              <w:marBottom w:val="0"/>
              <w:divBdr>
                <w:top w:val="none" w:sz="0" w:space="0" w:color="auto"/>
                <w:left w:val="none" w:sz="0" w:space="0" w:color="auto"/>
                <w:bottom w:val="none" w:sz="0" w:space="0" w:color="auto"/>
                <w:right w:val="none" w:sz="0" w:space="0" w:color="auto"/>
              </w:divBdr>
              <w:divsChild>
                <w:div w:id="331225838">
                  <w:marLeft w:val="0"/>
                  <w:marRight w:val="0"/>
                  <w:marTop w:val="0"/>
                  <w:marBottom w:val="0"/>
                  <w:divBdr>
                    <w:top w:val="none" w:sz="0" w:space="0" w:color="auto"/>
                    <w:left w:val="none" w:sz="0" w:space="0" w:color="auto"/>
                    <w:bottom w:val="none" w:sz="0" w:space="0" w:color="auto"/>
                    <w:right w:val="none" w:sz="0" w:space="0" w:color="auto"/>
                  </w:divBdr>
                  <w:divsChild>
                    <w:div w:id="1741366799">
                      <w:marLeft w:val="0"/>
                      <w:marRight w:val="0"/>
                      <w:marTop w:val="0"/>
                      <w:marBottom w:val="0"/>
                      <w:divBdr>
                        <w:top w:val="none" w:sz="0" w:space="0" w:color="auto"/>
                        <w:left w:val="none" w:sz="0" w:space="0" w:color="auto"/>
                        <w:bottom w:val="none" w:sz="0" w:space="0" w:color="auto"/>
                        <w:right w:val="none" w:sz="0" w:space="0" w:color="auto"/>
                      </w:divBdr>
                      <w:divsChild>
                        <w:div w:id="2092120264">
                          <w:marLeft w:val="0"/>
                          <w:marRight w:val="0"/>
                          <w:marTop w:val="0"/>
                          <w:marBottom w:val="0"/>
                          <w:divBdr>
                            <w:top w:val="none" w:sz="0" w:space="0" w:color="auto"/>
                            <w:left w:val="none" w:sz="0" w:space="0" w:color="auto"/>
                            <w:bottom w:val="none" w:sz="0" w:space="0" w:color="auto"/>
                            <w:right w:val="none" w:sz="0" w:space="0" w:color="auto"/>
                          </w:divBdr>
                          <w:divsChild>
                            <w:div w:id="15275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932736">
      <w:bodyDiv w:val="1"/>
      <w:marLeft w:val="0"/>
      <w:marRight w:val="0"/>
      <w:marTop w:val="0"/>
      <w:marBottom w:val="0"/>
      <w:divBdr>
        <w:top w:val="none" w:sz="0" w:space="0" w:color="auto"/>
        <w:left w:val="none" w:sz="0" w:space="0" w:color="auto"/>
        <w:bottom w:val="none" w:sz="0" w:space="0" w:color="auto"/>
        <w:right w:val="none" w:sz="0" w:space="0" w:color="auto"/>
      </w:divBdr>
    </w:div>
    <w:div w:id="1307273956">
      <w:bodyDiv w:val="1"/>
      <w:marLeft w:val="0"/>
      <w:marRight w:val="0"/>
      <w:marTop w:val="0"/>
      <w:marBottom w:val="0"/>
      <w:divBdr>
        <w:top w:val="none" w:sz="0" w:space="0" w:color="auto"/>
        <w:left w:val="none" w:sz="0" w:space="0" w:color="auto"/>
        <w:bottom w:val="none" w:sz="0" w:space="0" w:color="auto"/>
        <w:right w:val="none" w:sz="0" w:space="0" w:color="auto"/>
      </w:divBdr>
    </w:div>
    <w:div w:id="1314674617">
      <w:bodyDiv w:val="1"/>
      <w:marLeft w:val="0"/>
      <w:marRight w:val="0"/>
      <w:marTop w:val="0"/>
      <w:marBottom w:val="0"/>
      <w:divBdr>
        <w:top w:val="none" w:sz="0" w:space="0" w:color="auto"/>
        <w:left w:val="none" w:sz="0" w:space="0" w:color="auto"/>
        <w:bottom w:val="none" w:sz="0" w:space="0" w:color="auto"/>
        <w:right w:val="none" w:sz="0" w:space="0" w:color="auto"/>
      </w:divBdr>
    </w:div>
    <w:div w:id="1345014095">
      <w:bodyDiv w:val="1"/>
      <w:marLeft w:val="0"/>
      <w:marRight w:val="0"/>
      <w:marTop w:val="0"/>
      <w:marBottom w:val="0"/>
      <w:divBdr>
        <w:top w:val="none" w:sz="0" w:space="0" w:color="auto"/>
        <w:left w:val="none" w:sz="0" w:space="0" w:color="auto"/>
        <w:bottom w:val="none" w:sz="0" w:space="0" w:color="auto"/>
        <w:right w:val="none" w:sz="0" w:space="0" w:color="auto"/>
      </w:divBdr>
    </w:div>
    <w:div w:id="1350520453">
      <w:bodyDiv w:val="1"/>
      <w:marLeft w:val="0"/>
      <w:marRight w:val="0"/>
      <w:marTop w:val="0"/>
      <w:marBottom w:val="0"/>
      <w:divBdr>
        <w:top w:val="none" w:sz="0" w:space="0" w:color="auto"/>
        <w:left w:val="none" w:sz="0" w:space="0" w:color="auto"/>
        <w:bottom w:val="none" w:sz="0" w:space="0" w:color="auto"/>
        <w:right w:val="none" w:sz="0" w:space="0" w:color="auto"/>
      </w:divBdr>
    </w:div>
    <w:div w:id="1395010752">
      <w:bodyDiv w:val="1"/>
      <w:marLeft w:val="0"/>
      <w:marRight w:val="0"/>
      <w:marTop w:val="0"/>
      <w:marBottom w:val="0"/>
      <w:divBdr>
        <w:top w:val="none" w:sz="0" w:space="0" w:color="auto"/>
        <w:left w:val="none" w:sz="0" w:space="0" w:color="auto"/>
        <w:bottom w:val="none" w:sz="0" w:space="0" w:color="auto"/>
        <w:right w:val="none" w:sz="0" w:space="0" w:color="auto"/>
      </w:divBdr>
    </w:div>
    <w:div w:id="1433821937">
      <w:bodyDiv w:val="1"/>
      <w:marLeft w:val="0"/>
      <w:marRight w:val="0"/>
      <w:marTop w:val="0"/>
      <w:marBottom w:val="0"/>
      <w:divBdr>
        <w:top w:val="none" w:sz="0" w:space="0" w:color="auto"/>
        <w:left w:val="none" w:sz="0" w:space="0" w:color="auto"/>
        <w:bottom w:val="none" w:sz="0" w:space="0" w:color="auto"/>
        <w:right w:val="none" w:sz="0" w:space="0" w:color="auto"/>
      </w:divBdr>
    </w:div>
    <w:div w:id="1466854346">
      <w:bodyDiv w:val="1"/>
      <w:marLeft w:val="0"/>
      <w:marRight w:val="0"/>
      <w:marTop w:val="0"/>
      <w:marBottom w:val="0"/>
      <w:divBdr>
        <w:top w:val="none" w:sz="0" w:space="0" w:color="auto"/>
        <w:left w:val="none" w:sz="0" w:space="0" w:color="auto"/>
        <w:bottom w:val="none" w:sz="0" w:space="0" w:color="auto"/>
        <w:right w:val="none" w:sz="0" w:space="0" w:color="auto"/>
      </w:divBdr>
    </w:div>
    <w:div w:id="1468744516">
      <w:bodyDiv w:val="1"/>
      <w:marLeft w:val="0"/>
      <w:marRight w:val="0"/>
      <w:marTop w:val="0"/>
      <w:marBottom w:val="0"/>
      <w:divBdr>
        <w:top w:val="none" w:sz="0" w:space="0" w:color="auto"/>
        <w:left w:val="none" w:sz="0" w:space="0" w:color="auto"/>
        <w:bottom w:val="none" w:sz="0" w:space="0" w:color="auto"/>
        <w:right w:val="none" w:sz="0" w:space="0" w:color="auto"/>
      </w:divBdr>
    </w:div>
    <w:div w:id="1492714323">
      <w:bodyDiv w:val="1"/>
      <w:marLeft w:val="0"/>
      <w:marRight w:val="0"/>
      <w:marTop w:val="0"/>
      <w:marBottom w:val="0"/>
      <w:divBdr>
        <w:top w:val="none" w:sz="0" w:space="0" w:color="auto"/>
        <w:left w:val="none" w:sz="0" w:space="0" w:color="auto"/>
        <w:bottom w:val="none" w:sz="0" w:space="0" w:color="auto"/>
        <w:right w:val="none" w:sz="0" w:space="0" w:color="auto"/>
      </w:divBdr>
    </w:div>
    <w:div w:id="1514997242">
      <w:bodyDiv w:val="1"/>
      <w:marLeft w:val="0"/>
      <w:marRight w:val="0"/>
      <w:marTop w:val="0"/>
      <w:marBottom w:val="0"/>
      <w:divBdr>
        <w:top w:val="none" w:sz="0" w:space="0" w:color="auto"/>
        <w:left w:val="none" w:sz="0" w:space="0" w:color="auto"/>
        <w:bottom w:val="none" w:sz="0" w:space="0" w:color="auto"/>
        <w:right w:val="none" w:sz="0" w:space="0" w:color="auto"/>
      </w:divBdr>
    </w:div>
    <w:div w:id="1534028439">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07301593">
      <w:bodyDiv w:val="1"/>
      <w:marLeft w:val="0"/>
      <w:marRight w:val="0"/>
      <w:marTop w:val="0"/>
      <w:marBottom w:val="0"/>
      <w:divBdr>
        <w:top w:val="none" w:sz="0" w:space="0" w:color="auto"/>
        <w:left w:val="none" w:sz="0" w:space="0" w:color="auto"/>
        <w:bottom w:val="none" w:sz="0" w:space="0" w:color="auto"/>
        <w:right w:val="none" w:sz="0" w:space="0" w:color="auto"/>
      </w:divBdr>
    </w:div>
    <w:div w:id="1641033104">
      <w:bodyDiv w:val="1"/>
      <w:marLeft w:val="0"/>
      <w:marRight w:val="0"/>
      <w:marTop w:val="0"/>
      <w:marBottom w:val="0"/>
      <w:divBdr>
        <w:top w:val="none" w:sz="0" w:space="0" w:color="auto"/>
        <w:left w:val="none" w:sz="0" w:space="0" w:color="auto"/>
        <w:bottom w:val="none" w:sz="0" w:space="0" w:color="auto"/>
        <w:right w:val="none" w:sz="0" w:space="0" w:color="auto"/>
      </w:divBdr>
    </w:div>
    <w:div w:id="1652367162">
      <w:bodyDiv w:val="1"/>
      <w:marLeft w:val="0"/>
      <w:marRight w:val="0"/>
      <w:marTop w:val="0"/>
      <w:marBottom w:val="0"/>
      <w:divBdr>
        <w:top w:val="none" w:sz="0" w:space="0" w:color="auto"/>
        <w:left w:val="none" w:sz="0" w:space="0" w:color="auto"/>
        <w:bottom w:val="none" w:sz="0" w:space="0" w:color="auto"/>
        <w:right w:val="none" w:sz="0" w:space="0" w:color="auto"/>
      </w:divBdr>
    </w:div>
    <w:div w:id="1696537391">
      <w:bodyDiv w:val="1"/>
      <w:marLeft w:val="0"/>
      <w:marRight w:val="0"/>
      <w:marTop w:val="0"/>
      <w:marBottom w:val="0"/>
      <w:divBdr>
        <w:top w:val="none" w:sz="0" w:space="0" w:color="auto"/>
        <w:left w:val="none" w:sz="0" w:space="0" w:color="auto"/>
        <w:bottom w:val="none" w:sz="0" w:space="0" w:color="auto"/>
        <w:right w:val="none" w:sz="0" w:space="0" w:color="auto"/>
      </w:divBdr>
    </w:div>
    <w:div w:id="1723405251">
      <w:bodyDiv w:val="1"/>
      <w:marLeft w:val="0"/>
      <w:marRight w:val="0"/>
      <w:marTop w:val="0"/>
      <w:marBottom w:val="0"/>
      <w:divBdr>
        <w:top w:val="none" w:sz="0" w:space="0" w:color="auto"/>
        <w:left w:val="none" w:sz="0" w:space="0" w:color="auto"/>
        <w:bottom w:val="none" w:sz="0" w:space="0" w:color="auto"/>
        <w:right w:val="none" w:sz="0" w:space="0" w:color="auto"/>
      </w:divBdr>
    </w:div>
    <w:div w:id="1734816289">
      <w:bodyDiv w:val="1"/>
      <w:marLeft w:val="0"/>
      <w:marRight w:val="0"/>
      <w:marTop w:val="0"/>
      <w:marBottom w:val="0"/>
      <w:divBdr>
        <w:top w:val="none" w:sz="0" w:space="0" w:color="auto"/>
        <w:left w:val="none" w:sz="0" w:space="0" w:color="auto"/>
        <w:bottom w:val="none" w:sz="0" w:space="0" w:color="auto"/>
        <w:right w:val="none" w:sz="0" w:space="0" w:color="auto"/>
      </w:divBdr>
    </w:div>
    <w:div w:id="1742294349">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1798260933">
      <w:bodyDiv w:val="1"/>
      <w:marLeft w:val="0"/>
      <w:marRight w:val="0"/>
      <w:marTop w:val="0"/>
      <w:marBottom w:val="0"/>
      <w:divBdr>
        <w:top w:val="none" w:sz="0" w:space="0" w:color="auto"/>
        <w:left w:val="none" w:sz="0" w:space="0" w:color="auto"/>
        <w:bottom w:val="none" w:sz="0" w:space="0" w:color="auto"/>
        <w:right w:val="none" w:sz="0" w:space="0" w:color="auto"/>
      </w:divBdr>
    </w:div>
    <w:div w:id="1800217669">
      <w:bodyDiv w:val="1"/>
      <w:marLeft w:val="0"/>
      <w:marRight w:val="0"/>
      <w:marTop w:val="0"/>
      <w:marBottom w:val="0"/>
      <w:divBdr>
        <w:top w:val="none" w:sz="0" w:space="0" w:color="auto"/>
        <w:left w:val="none" w:sz="0" w:space="0" w:color="auto"/>
        <w:bottom w:val="none" w:sz="0" w:space="0" w:color="auto"/>
        <w:right w:val="none" w:sz="0" w:space="0" w:color="auto"/>
      </w:divBdr>
    </w:div>
    <w:div w:id="1802191570">
      <w:bodyDiv w:val="1"/>
      <w:marLeft w:val="0"/>
      <w:marRight w:val="0"/>
      <w:marTop w:val="0"/>
      <w:marBottom w:val="0"/>
      <w:divBdr>
        <w:top w:val="none" w:sz="0" w:space="0" w:color="auto"/>
        <w:left w:val="none" w:sz="0" w:space="0" w:color="auto"/>
        <w:bottom w:val="none" w:sz="0" w:space="0" w:color="auto"/>
        <w:right w:val="none" w:sz="0" w:space="0" w:color="auto"/>
      </w:divBdr>
    </w:div>
    <w:div w:id="1829901154">
      <w:bodyDiv w:val="1"/>
      <w:marLeft w:val="0"/>
      <w:marRight w:val="0"/>
      <w:marTop w:val="0"/>
      <w:marBottom w:val="0"/>
      <w:divBdr>
        <w:top w:val="none" w:sz="0" w:space="0" w:color="auto"/>
        <w:left w:val="none" w:sz="0" w:space="0" w:color="auto"/>
        <w:bottom w:val="none" w:sz="0" w:space="0" w:color="auto"/>
        <w:right w:val="none" w:sz="0" w:space="0" w:color="auto"/>
      </w:divBdr>
    </w:div>
    <w:div w:id="1900164316">
      <w:bodyDiv w:val="1"/>
      <w:marLeft w:val="0"/>
      <w:marRight w:val="0"/>
      <w:marTop w:val="0"/>
      <w:marBottom w:val="0"/>
      <w:divBdr>
        <w:top w:val="none" w:sz="0" w:space="0" w:color="auto"/>
        <w:left w:val="none" w:sz="0" w:space="0" w:color="auto"/>
        <w:bottom w:val="none" w:sz="0" w:space="0" w:color="auto"/>
        <w:right w:val="none" w:sz="0" w:space="0" w:color="auto"/>
      </w:divBdr>
    </w:div>
    <w:div w:id="1930507712">
      <w:bodyDiv w:val="1"/>
      <w:marLeft w:val="0"/>
      <w:marRight w:val="0"/>
      <w:marTop w:val="0"/>
      <w:marBottom w:val="0"/>
      <w:divBdr>
        <w:top w:val="none" w:sz="0" w:space="0" w:color="auto"/>
        <w:left w:val="none" w:sz="0" w:space="0" w:color="auto"/>
        <w:bottom w:val="none" w:sz="0" w:space="0" w:color="auto"/>
        <w:right w:val="none" w:sz="0" w:space="0" w:color="auto"/>
      </w:divBdr>
    </w:div>
    <w:div w:id="1942952310">
      <w:bodyDiv w:val="1"/>
      <w:marLeft w:val="0"/>
      <w:marRight w:val="0"/>
      <w:marTop w:val="0"/>
      <w:marBottom w:val="0"/>
      <w:divBdr>
        <w:top w:val="none" w:sz="0" w:space="0" w:color="auto"/>
        <w:left w:val="none" w:sz="0" w:space="0" w:color="auto"/>
        <w:bottom w:val="none" w:sz="0" w:space="0" w:color="auto"/>
        <w:right w:val="none" w:sz="0" w:space="0" w:color="auto"/>
      </w:divBdr>
      <w:divsChild>
        <w:div w:id="1724599838">
          <w:marLeft w:val="0"/>
          <w:marRight w:val="0"/>
          <w:marTop w:val="0"/>
          <w:marBottom w:val="0"/>
          <w:divBdr>
            <w:top w:val="none" w:sz="0" w:space="0" w:color="auto"/>
            <w:left w:val="none" w:sz="0" w:space="0" w:color="auto"/>
            <w:bottom w:val="none" w:sz="0" w:space="0" w:color="auto"/>
            <w:right w:val="none" w:sz="0" w:space="0" w:color="auto"/>
          </w:divBdr>
          <w:divsChild>
            <w:div w:id="907034094">
              <w:marLeft w:val="0"/>
              <w:marRight w:val="0"/>
              <w:marTop w:val="0"/>
              <w:marBottom w:val="0"/>
              <w:divBdr>
                <w:top w:val="none" w:sz="0" w:space="0" w:color="auto"/>
                <w:left w:val="none" w:sz="0" w:space="0" w:color="auto"/>
                <w:bottom w:val="none" w:sz="0" w:space="0" w:color="auto"/>
                <w:right w:val="none" w:sz="0" w:space="0" w:color="auto"/>
              </w:divBdr>
              <w:divsChild>
                <w:div w:id="3839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4295">
      <w:bodyDiv w:val="1"/>
      <w:marLeft w:val="0"/>
      <w:marRight w:val="0"/>
      <w:marTop w:val="0"/>
      <w:marBottom w:val="0"/>
      <w:divBdr>
        <w:top w:val="none" w:sz="0" w:space="0" w:color="auto"/>
        <w:left w:val="none" w:sz="0" w:space="0" w:color="auto"/>
        <w:bottom w:val="none" w:sz="0" w:space="0" w:color="auto"/>
        <w:right w:val="none" w:sz="0" w:space="0" w:color="auto"/>
      </w:divBdr>
    </w:div>
    <w:div w:id="1962804951">
      <w:bodyDiv w:val="1"/>
      <w:marLeft w:val="0"/>
      <w:marRight w:val="0"/>
      <w:marTop w:val="0"/>
      <w:marBottom w:val="0"/>
      <w:divBdr>
        <w:top w:val="none" w:sz="0" w:space="0" w:color="auto"/>
        <w:left w:val="none" w:sz="0" w:space="0" w:color="auto"/>
        <w:bottom w:val="none" w:sz="0" w:space="0" w:color="auto"/>
        <w:right w:val="none" w:sz="0" w:space="0" w:color="auto"/>
      </w:divBdr>
    </w:div>
    <w:div w:id="2030599211">
      <w:bodyDiv w:val="1"/>
      <w:marLeft w:val="0"/>
      <w:marRight w:val="0"/>
      <w:marTop w:val="0"/>
      <w:marBottom w:val="0"/>
      <w:divBdr>
        <w:top w:val="none" w:sz="0" w:space="0" w:color="auto"/>
        <w:left w:val="none" w:sz="0" w:space="0" w:color="auto"/>
        <w:bottom w:val="none" w:sz="0" w:space="0" w:color="auto"/>
        <w:right w:val="none" w:sz="0" w:space="0" w:color="auto"/>
      </w:divBdr>
    </w:div>
    <w:div w:id="2040473745">
      <w:bodyDiv w:val="1"/>
      <w:marLeft w:val="0"/>
      <w:marRight w:val="0"/>
      <w:marTop w:val="0"/>
      <w:marBottom w:val="0"/>
      <w:divBdr>
        <w:top w:val="none" w:sz="0" w:space="0" w:color="auto"/>
        <w:left w:val="none" w:sz="0" w:space="0" w:color="auto"/>
        <w:bottom w:val="none" w:sz="0" w:space="0" w:color="auto"/>
        <w:right w:val="none" w:sz="0" w:space="0" w:color="auto"/>
      </w:divBdr>
    </w:div>
    <w:div w:id="2062122568">
      <w:bodyDiv w:val="1"/>
      <w:marLeft w:val="0"/>
      <w:marRight w:val="0"/>
      <w:marTop w:val="0"/>
      <w:marBottom w:val="0"/>
      <w:divBdr>
        <w:top w:val="none" w:sz="0" w:space="0" w:color="auto"/>
        <w:left w:val="none" w:sz="0" w:space="0" w:color="auto"/>
        <w:bottom w:val="none" w:sz="0" w:space="0" w:color="auto"/>
        <w:right w:val="none" w:sz="0" w:space="0" w:color="auto"/>
      </w:divBdr>
    </w:div>
    <w:div w:id="2076052687">
      <w:bodyDiv w:val="1"/>
      <w:marLeft w:val="0"/>
      <w:marRight w:val="0"/>
      <w:marTop w:val="0"/>
      <w:marBottom w:val="0"/>
      <w:divBdr>
        <w:top w:val="none" w:sz="0" w:space="0" w:color="auto"/>
        <w:left w:val="none" w:sz="0" w:space="0" w:color="auto"/>
        <w:bottom w:val="none" w:sz="0" w:space="0" w:color="auto"/>
        <w:right w:val="none" w:sz="0" w:space="0" w:color="auto"/>
      </w:divBdr>
    </w:div>
    <w:div w:id="2090805276">
      <w:bodyDiv w:val="1"/>
      <w:marLeft w:val="0"/>
      <w:marRight w:val="0"/>
      <w:marTop w:val="0"/>
      <w:marBottom w:val="0"/>
      <w:divBdr>
        <w:top w:val="none" w:sz="0" w:space="0" w:color="auto"/>
        <w:left w:val="none" w:sz="0" w:space="0" w:color="auto"/>
        <w:bottom w:val="none" w:sz="0" w:space="0" w:color="auto"/>
        <w:right w:val="none" w:sz="0" w:space="0" w:color="auto"/>
      </w:divBdr>
      <w:divsChild>
        <w:div w:id="1722706794">
          <w:marLeft w:val="0"/>
          <w:marRight w:val="0"/>
          <w:marTop w:val="0"/>
          <w:marBottom w:val="0"/>
          <w:divBdr>
            <w:top w:val="single" w:sz="2" w:space="0" w:color="auto"/>
            <w:left w:val="single" w:sz="2" w:space="4" w:color="auto"/>
            <w:bottom w:val="single" w:sz="2" w:space="0" w:color="auto"/>
            <w:right w:val="single" w:sz="2" w:space="4" w:color="auto"/>
          </w:divBdr>
        </w:div>
      </w:divsChild>
    </w:div>
    <w:div w:id="2093744744">
      <w:bodyDiv w:val="1"/>
      <w:marLeft w:val="0"/>
      <w:marRight w:val="0"/>
      <w:marTop w:val="0"/>
      <w:marBottom w:val="0"/>
      <w:divBdr>
        <w:top w:val="none" w:sz="0" w:space="0" w:color="auto"/>
        <w:left w:val="none" w:sz="0" w:space="0" w:color="auto"/>
        <w:bottom w:val="none" w:sz="0" w:space="0" w:color="auto"/>
        <w:right w:val="none" w:sz="0" w:space="0" w:color="auto"/>
      </w:divBdr>
    </w:div>
    <w:div w:id="2127851839">
      <w:bodyDiv w:val="1"/>
      <w:marLeft w:val="0"/>
      <w:marRight w:val="0"/>
      <w:marTop w:val="0"/>
      <w:marBottom w:val="0"/>
      <w:divBdr>
        <w:top w:val="none" w:sz="0" w:space="0" w:color="auto"/>
        <w:left w:val="none" w:sz="0" w:space="0" w:color="auto"/>
        <w:bottom w:val="none" w:sz="0" w:space="0" w:color="auto"/>
        <w:right w:val="none" w:sz="0" w:space="0" w:color="auto"/>
      </w:divBdr>
    </w:div>
    <w:div w:id="2134516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ISEP3\Stage\Evolution%20des%20pond&#233;rations%202014-2023.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ISEP3\Stage\Evolution%20des%20pond&#233;rations%202014-2023.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ISEP3\Stage\Evolution%20des%20pond&#233;rations%202014-2023.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Feuil3!$A$1:$A$12</c:f>
              <c:strCache>
                <c:ptCount val="12"/>
                <c:pt idx="0">
                  <c:v>Produits alimentaires et boissons non alcoolisées</c:v>
                </c:pt>
                <c:pt idx="1">
                  <c:v>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strCache>
            </c:strRef>
          </c:cat>
          <c:val>
            <c:numRef>
              <c:f>Feuil3!$B$1:$B$12</c:f>
              <c:numCache>
                <c:formatCode>0.00%</c:formatCode>
                <c:ptCount val="12"/>
                <c:pt idx="0">
                  <c:v>0.49643900000000002</c:v>
                </c:pt>
                <c:pt idx="1">
                  <c:v>4.8669999999999998E-3</c:v>
                </c:pt>
                <c:pt idx="2">
                  <c:v>7.2998999999999994E-2</c:v>
                </c:pt>
                <c:pt idx="3">
                  <c:v>0.120404</c:v>
                </c:pt>
                <c:pt idx="4">
                  <c:v>5.0172000000000001E-2</c:v>
                </c:pt>
                <c:pt idx="5">
                  <c:v>3.5333999999999997E-2</c:v>
                </c:pt>
                <c:pt idx="6">
                  <c:v>5.6290999999999994E-2</c:v>
                </c:pt>
                <c:pt idx="7">
                  <c:v>3.2898999999999998E-2</c:v>
                </c:pt>
                <c:pt idx="8">
                  <c:v>3.5302999999999994E-2</c:v>
                </c:pt>
                <c:pt idx="9">
                  <c:v>1.9349999999999999E-2</c:v>
                </c:pt>
                <c:pt idx="10">
                  <c:v>3.7637999999999998E-2</c:v>
                </c:pt>
                <c:pt idx="11">
                  <c:v>3.8304999999999999E-2</c:v>
                </c:pt>
              </c:numCache>
            </c:numRef>
          </c:val>
          <c:extLst>
            <c:ext xmlns:c16="http://schemas.microsoft.com/office/drawing/2014/chart" uri="{C3380CC4-5D6E-409C-BE32-E72D297353CC}">
              <c16:uniqueId val="{00000000-54FD-4918-B6C9-B31DDA63AF03}"/>
            </c:ext>
          </c:extLst>
        </c:ser>
        <c:dLbls>
          <c:showLegendKey val="0"/>
          <c:showVal val="1"/>
          <c:showCatName val="0"/>
          <c:showSerName val="0"/>
          <c:showPercent val="0"/>
          <c:showBubbleSize val="0"/>
        </c:dLbls>
        <c:gapWidth val="269"/>
        <c:overlap val="-20"/>
        <c:axId val="1029048911"/>
        <c:axId val="1324492655"/>
      </c:barChart>
      <c:catAx>
        <c:axId val="1029048911"/>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24492655"/>
        <c:crosses val="autoZero"/>
        <c:auto val="1"/>
        <c:lblAlgn val="ctr"/>
        <c:lblOffset val="100"/>
        <c:noMultiLvlLbl val="0"/>
      </c:catAx>
      <c:valAx>
        <c:axId val="132449265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29048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6413845144356958"/>
          <c:y val="0.2061807378244386"/>
          <c:w val="0.48110454943132108"/>
          <c:h val="0.70993839311752693"/>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Feuil2!$A$1:$A$13</c:f>
              <c:strCache>
                <c:ptCount val="13"/>
                <c:pt idx="0">
                  <c:v>PRODUITS ALIMENTAIRES ET BOISSONS NON ALCOOLISEES</c:v>
                </c:pt>
                <c:pt idx="1">
                  <c:v>BOISSONS ALCOOLISÉES, TABAC ET STUPEFIANTS</c:v>
                </c:pt>
                <c:pt idx="2">
                  <c:v>VÊTEMENTS ET CHAUSSURES</c:v>
                </c:pt>
                <c:pt idx="3">
                  <c:v>LOGEMENT, EAU, ÉLECTRICITÉ, GAZ ET AUTRES COMBUSTIBLES</c:v>
                </c:pt>
                <c:pt idx="4">
                  <c:v>AMEUBLEMENT, ÉQUIPEMENT MÉNAGER ET ENTRETIEN COURANT DU MÉNAGE </c:v>
                </c:pt>
                <c:pt idx="5">
                  <c:v>SANTÉ</c:v>
                </c:pt>
                <c:pt idx="6">
                  <c:v>TRANSPORT</c:v>
                </c:pt>
                <c:pt idx="7">
                  <c:v>INFORMATION ET COMMUNICATION</c:v>
                </c:pt>
                <c:pt idx="8">
                  <c:v>LOISIRS, SPORT ET CULTURE</c:v>
                </c:pt>
                <c:pt idx="9">
                  <c:v>SERVICES D'ENSEIGNEMENT</c:v>
                </c:pt>
                <c:pt idx="10">
                  <c:v>RESTAURANTS ET SERVICES D'HÉBERGEMENT</c:v>
                </c:pt>
                <c:pt idx="11">
                  <c:v>ASSURANCES ET SERVICES FINANCIERS</c:v>
                </c:pt>
                <c:pt idx="12">
                  <c:v>SOINS PERSONNELS, PROTECTION SOCIALE ET BIENS DIVERS</c:v>
                </c:pt>
              </c:strCache>
            </c:strRef>
          </c:cat>
          <c:val>
            <c:numRef>
              <c:f>Feuil2!$B$1:$B$13</c:f>
              <c:numCache>
                <c:formatCode>0.00%</c:formatCode>
                <c:ptCount val="13"/>
                <c:pt idx="0">
                  <c:v>0.45469975900024201</c:v>
                </c:pt>
                <c:pt idx="1">
                  <c:v>2.2393070052351498E-3</c:v>
                </c:pt>
                <c:pt idx="2">
                  <c:v>4.7660594523295699E-2</c:v>
                </c:pt>
                <c:pt idx="3">
                  <c:v>9.1574881576642606E-2</c:v>
                </c:pt>
                <c:pt idx="4">
                  <c:v>5.6687532628835503E-2</c:v>
                </c:pt>
                <c:pt idx="5">
                  <c:v>4.2057537818604801E-2</c:v>
                </c:pt>
                <c:pt idx="6">
                  <c:v>6.0595809445230298E-2</c:v>
                </c:pt>
                <c:pt idx="7">
                  <c:v>7.4628810793629E-2</c:v>
                </c:pt>
                <c:pt idx="8">
                  <c:v>1.0223800704421301E-2</c:v>
                </c:pt>
                <c:pt idx="9">
                  <c:v>1.7465882792883601E-2</c:v>
                </c:pt>
                <c:pt idx="10">
                  <c:v>9.2044979449515799E-2</c:v>
                </c:pt>
                <c:pt idx="11">
                  <c:v>1.3650978612753501E-3</c:v>
                </c:pt>
                <c:pt idx="12">
                  <c:v>4.8756006400183398E-2</c:v>
                </c:pt>
              </c:numCache>
            </c:numRef>
          </c:val>
          <c:extLst>
            <c:ext xmlns:c16="http://schemas.microsoft.com/office/drawing/2014/chart" uri="{C3380CC4-5D6E-409C-BE32-E72D297353CC}">
              <c16:uniqueId val="{00000000-E174-4ED5-A52E-48EE86EDDAEC}"/>
            </c:ext>
          </c:extLst>
        </c:ser>
        <c:dLbls>
          <c:showLegendKey val="0"/>
          <c:showVal val="1"/>
          <c:showCatName val="0"/>
          <c:showSerName val="0"/>
          <c:showPercent val="0"/>
          <c:showBubbleSize val="0"/>
        </c:dLbls>
        <c:gapWidth val="269"/>
        <c:overlap val="-50"/>
        <c:axId val="1351018895"/>
        <c:axId val="1351019855"/>
      </c:barChart>
      <c:catAx>
        <c:axId val="1351018895"/>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51019855"/>
        <c:crosses val="autoZero"/>
        <c:auto val="1"/>
        <c:lblAlgn val="ctr"/>
        <c:lblOffset val="100"/>
        <c:noMultiLvlLbl val="0"/>
      </c:catAx>
      <c:valAx>
        <c:axId val="1351019855"/>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crossAx val="13510188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v>2021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Feuil2!$A$1:$A$12</c:f>
              <c:strCache>
                <c:ptCount val="12"/>
                <c:pt idx="0">
                  <c:v>PRODUITS ALIMENTAIRES ET BOISSONS NON ALCOOLISEES</c:v>
                </c:pt>
                <c:pt idx="1">
                  <c:v>BOISSONS ALCOOLISÉES, TABAC ET STUPEFIANTS</c:v>
                </c:pt>
                <c:pt idx="2">
                  <c:v>VÊTEMENTS ET CHAUSSURES</c:v>
                </c:pt>
                <c:pt idx="3">
                  <c:v>LOGEMENT, EAU, ÉLECTRICITÉ, GAZ ET AUTRES COMBUSTIBLES</c:v>
                </c:pt>
                <c:pt idx="4">
                  <c:v>AMEUBLEMENT, ÉQUIPEMENT MÉNAGER ET ENTRETIEN COURANT DU MÉNAGE </c:v>
                </c:pt>
                <c:pt idx="5">
                  <c:v>SANTÉ</c:v>
                </c:pt>
                <c:pt idx="6">
                  <c:v>TRANSPORT</c:v>
                </c:pt>
                <c:pt idx="7">
                  <c:v>INFORMATION ET COMMUNICATION</c:v>
                </c:pt>
                <c:pt idx="8">
                  <c:v>LOISIRS, SPORT ET CULTURE</c:v>
                </c:pt>
                <c:pt idx="9">
                  <c:v>SERVICES D'ENSEIGNEMENT</c:v>
                </c:pt>
                <c:pt idx="10">
                  <c:v>RESTAURANTS ET SERVICES D'HÉBERGEMENT</c:v>
                </c:pt>
                <c:pt idx="11">
                  <c:v>ASSURANCES ET SERVICES FINANCIERS</c:v>
                </c:pt>
              </c:strCache>
            </c:strRef>
          </c:cat>
          <c:val>
            <c:numRef>
              <c:f>Feuil2!$B$1:$B$12</c:f>
              <c:numCache>
                <c:formatCode>0.00%</c:formatCode>
                <c:ptCount val="12"/>
                <c:pt idx="0">
                  <c:v>0.45469975900024201</c:v>
                </c:pt>
                <c:pt idx="1">
                  <c:v>2.2393070052351498E-3</c:v>
                </c:pt>
                <c:pt idx="2">
                  <c:v>4.7660594523295699E-2</c:v>
                </c:pt>
                <c:pt idx="3">
                  <c:v>9.1574881576642606E-2</c:v>
                </c:pt>
                <c:pt idx="4">
                  <c:v>5.6687532628835503E-2</c:v>
                </c:pt>
                <c:pt idx="5">
                  <c:v>4.2057537818604801E-2</c:v>
                </c:pt>
                <c:pt idx="6">
                  <c:v>6.0595809445230298E-2</c:v>
                </c:pt>
                <c:pt idx="7">
                  <c:v>7.4628810793629E-2</c:v>
                </c:pt>
                <c:pt idx="8">
                  <c:v>1.0223800704421301E-2</c:v>
                </c:pt>
                <c:pt idx="9">
                  <c:v>1.7465882792883601E-2</c:v>
                </c:pt>
                <c:pt idx="10">
                  <c:v>9.2044979449515799E-2</c:v>
                </c:pt>
                <c:pt idx="11">
                  <c:v>1.3650978612753501E-3</c:v>
                </c:pt>
              </c:numCache>
            </c:numRef>
          </c:val>
          <c:extLst>
            <c:ext xmlns:c16="http://schemas.microsoft.com/office/drawing/2014/chart" uri="{C3380CC4-5D6E-409C-BE32-E72D297353CC}">
              <c16:uniqueId val="{00000000-9540-4D60-80D8-BEDDF98728A5}"/>
            </c:ext>
          </c:extLst>
        </c:ser>
        <c:ser>
          <c:idx val="1"/>
          <c:order val="1"/>
          <c:tx>
            <c:v>2014</c:v>
          </c:tx>
          <c:spPr>
            <a:solidFill>
              <a:schemeClr val="accent2"/>
            </a:solidFill>
            <a:ln>
              <a:noFill/>
            </a:ln>
            <a:effectLst/>
          </c:spPr>
          <c:invertIfNegative val="0"/>
          <c:dLbls>
            <c:dLbl>
              <c:idx val="0"/>
              <c:layout>
                <c:manualLayout>
                  <c:x val="-1.7549229388464629E-3"/>
                  <c:y val="-1.49969917451597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540-4D60-80D8-BEDDF98728A5}"/>
                </c:ext>
              </c:extLst>
            </c:dLbl>
            <c:dLbl>
              <c:idx val="1"/>
              <c:layout>
                <c:manualLayout>
                  <c:x val="1.7549229388464629E-3"/>
                  <c:y val="-1.87462396814497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540-4D60-80D8-BEDDF98728A5}"/>
                </c:ext>
              </c:extLst>
            </c:dLbl>
            <c:dLbl>
              <c:idx val="2"/>
              <c:layout>
                <c:manualLayout>
                  <c:x val="-6.4346431088907468E-17"/>
                  <c:y val="-1.87462396814497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540-4D60-80D8-BEDDF98728A5}"/>
                </c:ext>
              </c:extLst>
            </c:dLbl>
            <c:dLbl>
              <c:idx val="3"/>
              <c:layout>
                <c:manualLayout>
                  <c:x val="0"/>
                  <c:y val="-1.49969917451597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540-4D60-80D8-BEDDF98728A5}"/>
                </c:ext>
              </c:extLst>
            </c:dLbl>
            <c:dLbl>
              <c:idx val="4"/>
              <c:layout>
                <c:manualLayout>
                  <c:x val="0"/>
                  <c:y val="-2.62447355540296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540-4D60-80D8-BEDDF98728A5}"/>
                </c:ext>
              </c:extLst>
            </c:dLbl>
            <c:dLbl>
              <c:idx val="5"/>
              <c:layout>
                <c:manualLayout>
                  <c:x val="3.5098458776928613E-3"/>
                  <c:y val="-1.87462396814497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540-4D60-80D8-BEDDF98728A5}"/>
                </c:ext>
              </c:extLst>
            </c:dLbl>
            <c:dLbl>
              <c:idx val="7"/>
              <c:layout>
                <c:manualLayout>
                  <c:x val="1.5794306449618101E-2"/>
                  <c:y val="-1.87462396814497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540-4D60-80D8-BEDDF98728A5}"/>
                </c:ext>
              </c:extLst>
            </c:dLbl>
            <c:dLbl>
              <c:idx val="8"/>
              <c:layout>
                <c:manualLayout>
                  <c:x val="8.7746146942322498E-3"/>
                  <c:y val="-1.1247743808869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540-4D60-80D8-BEDDF98728A5}"/>
                </c:ext>
              </c:extLst>
            </c:dLbl>
            <c:dLbl>
              <c:idx val="9"/>
              <c:layout>
                <c:manualLayout>
                  <c:x val="1.0529537633078841E-2"/>
                  <c:y val="-1.87462396814497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540-4D60-80D8-BEDDF98728A5}"/>
                </c:ext>
              </c:extLst>
            </c:dLbl>
            <c:dLbl>
              <c:idx val="11"/>
              <c:layout>
                <c:manualLayout>
                  <c:x val="7.0196917553857876E-3"/>
                  <c:y val="-1.49969917451597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540-4D60-80D8-BEDDF98728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Feuil2!$A$1:$A$12</c:f>
              <c:strCache>
                <c:ptCount val="12"/>
                <c:pt idx="0">
                  <c:v>PRODUITS ALIMENTAIRES ET BOISSONS NON ALCOOLISEES</c:v>
                </c:pt>
                <c:pt idx="1">
                  <c:v>BOISSONS ALCOOLISÉES, TABAC ET STUPEFIANTS</c:v>
                </c:pt>
                <c:pt idx="2">
                  <c:v>VÊTEMENTS ET CHAUSSURES</c:v>
                </c:pt>
                <c:pt idx="3">
                  <c:v>LOGEMENT, EAU, ÉLECTRICITÉ, GAZ ET AUTRES COMBUSTIBLES</c:v>
                </c:pt>
                <c:pt idx="4">
                  <c:v>AMEUBLEMENT, ÉQUIPEMENT MÉNAGER ET ENTRETIEN COURANT DU MÉNAGE </c:v>
                </c:pt>
                <c:pt idx="5">
                  <c:v>SANTÉ</c:v>
                </c:pt>
                <c:pt idx="6">
                  <c:v>TRANSPORT</c:v>
                </c:pt>
                <c:pt idx="7">
                  <c:v>INFORMATION ET COMMUNICATION</c:v>
                </c:pt>
                <c:pt idx="8">
                  <c:v>LOISIRS, SPORT ET CULTURE</c:v>
                </c:pt>
                <c:pt idx="9">
                  <c:v>SERVICES D'ENSEIGNEMENT</c:v>
                </c:pt>
                <c:pt idx="10">
                  <c:v>RESTAURANTS ET SERVICES D'HÉBERGEMENT</c:v>
                </c:pt>
                <c:pt idx="11">
                  <c:v>ASSURANCES ET SERVICES FINANCIERS</c:v>
                </c:pt>
              </c:strCache>
            </c:strRef>
          </c:cat>
          <c:val>
            <c:numRef>
              <c:f>Feuil2!$C$1:$C$12</c:f>
              <c:numCache>
                <c:formatCode>0.00%</c:formatCode>
                <c:ptCount val="12"/>
                <c:pt idx="0">
                  <c:v>0.49643900000000002</c:v>
                </c:pt>
                <c:pt idx="1">
                  <c:v>4.8669999999999998E-3</c:v>
                </c:pt>
                <c:pt idx="2">
                  <c:v>7.2998999999999994E-2</c:v>
                </c:pt>
                <c:pt idx="3">
                  <c:v>0.120404</c:v>
                </c:pt>
                <c:pt idx="4">
                  <c:v>5.0172000000000001E-2</c:v>
                </c:pt>
                <c:pt idx="5">
                  <c:v>3.5333999999999997E-2</c:v>
                </c:pt>
                <c:pt idx="6">
                  <c:v>5.6290999999999994E-2</c:v>
                </c:pt>
                <c:pt idx="7">
                  <c:v>3.2898999999999998E-2</c:v>
                </c:pt>
                <c:pt idx="8">
                  <c:v>3.5302999999999994E-2</c:v>
                </c:pt>
                <c:pt idx="9">
                  <c:v>1.9349999999999999E-2</c:v>
                </c:pt>
                <c:pt idx="10">
                  <c:v>3.7637999999999998E-2</c:v>
                </c:pt>
                <c:pt idx="11">
                  <c:v>3.8304999999999999E-2</c:v>
                </c:pt>
              </c:numCache>
            </c:numRef>
          </c:val>
          <c:extLst>
            <c:ext xmlns:c16="http://schemas.microsoft.com/office/drawing/2014/chart" uri="{C3380CC4-5D6E-409C-BE32-E72D297353CC}">
              <c16:uniqueId val="{0000000B-9540-4D60-80D8-BEDDF98728A5}"/>
            </c:ext>
          </c:extLst>
        </c:ser>
        <c:dLbls>
          <c:showLegendKey val="0"/>
          <c:showVal val="1"/>
          <c:showCatName val="0"/>
          <c:showSerName val="0"/>
          <c:showPercent val="0"/>
          <c:showBubbleSize val="0"/>
        </c:dLbls>
        <c:gapWidth val="269"/>
        <c:overlap val="-20"/>
        <c:axId val="1358799999"/>
        <c:axId val="1358800479"/>
      </c:barChart>
      <c:catAx>
        <c:axId val="1358799999"/>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58800479"/>
        <c:crosses val="autoZero"/>
        <c:auto val="1"/>
        <c:lblAlgn val="ctr"/>
        <c:lblOffset val="100"/>
        <c:noMultiLvlLbl val="0"/>
      </c:catAx>
      <c:valAx>
        <c:axId val="135880047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8799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83458-516C-4ACD-8CB4-B5EAA2E3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56</Pages>
  <Words>12909</Words>
  <Characters>71002</Characters>
  <Application>Microsoft Office Word</Application>
  <DocSecurity>0</DocSecurity>
  <Lines>591</Lines>
  <Paragraphs>167</Paragraphs>
  <ScaleCrop>false</ScaleCrop>
  <HeadingPairs>
    <vt:vector size="6" baseType="variant">
      <vt:variant>
        <vt:lpstr>Titre</vt:lpstr>
      </vt:variant>
      <vt:variant>
        <vt:i4>1</vt:i4>
      </vt:variant>
      <vt:variant>
        <vt:lpstr>Titres</vt:lpstr>
      </vt:variant>
      <vt:variant>
        <vt:i4>33</vt:i4>
      </vt:variant>
      <vt:variant>
        <vt:lpstr>Title</vt:lpstr>
      </vt:variant>
      <vt:variant>
        <vt:i4>1</vt:i4>
      </vt:variant>
    </vt:vector>
  </HeadingPairs>
  <TitlesOfParts>
    <vt:vector size="35" baseType="lpstr">
      <vt:lpstr/>
      <vt:lpstr>Décharge </vt:lpstr>
      <vt:lpstr>Remerciement</vt:lpstr>
      <vt:lpstr>Avant-propos</vt:lpstr>
      <vt:lpstr>&lt;Sommaire</vt:lpstr>
      <vt:lpstr>Sigles et abréviations</vt:lpstr>
      <vt:lpstr>Liste des tableaux</vt:lpstr>
      <vt:lpstr>Liste des Graphiques</vt:lpstr>
      <vt:lpstr>Résumé</vt:lpstr>
      <vt:lpstr>Introduction</vt:lpstr>
      <vt:lpstr>Chapitre 1 : Présentation de la structure d’accueil</vt:lpstr>
      <vt:lpstr>    1. Historique de l’ANSD</vt:lpstr>
      <vt:lpstr>    2. Missions de l’ANSD</vt:lpstr>
      <vt:lpstr>    3. Organisation de l’ANSD </vt:lpstr>
      <vt:lpstr>        Présentation des directions</vt:lpstr>
      <vt:lpstr>        Services régionaux</vt:lpstr>
      <vt:lpstr>        Services centraux</vt:lpstr>
      <vt:lpstr>        Présentation du Bureau des Prix</vt:lpstr>
      <vt:lpstr>Chapitre 2 : Cadre conceptuel </vt:lpstr>
      <vt:lpstr>    Introduction générale à l’IPC et à l’IHPC</vt:lpstr>
      <vt:lpstr>    Objectifs de l’IHPC</vt:lpstr>
      <vt:lpstr>    Méthodologie de calcul</vt:lpstr>
      <vt:lpstr>Chapitre 3 : Analyse de l’évolution des pondérations de 2014 et de 2021</vt:lpstr>
      <vt:lpstr>    Pondération 2014</vt:lpstr>
      <vt:lpstr>    Pondération 2021</vt:lpstr>
      <vt:lpstr>    Comparaison pondérations 2014-2021</vt:lpstr>
      <vt:lpstr>Chapitre 4 : Rôle des pondérations dans les variations de l’IHPC</vt:lpstr>
      <vt:lpstr>    Pondérations et structure de la consommation</vt:lpstr>
      <vt:lpstr>    Transmission des chocs sectoriels</vt:lpstr>
      <vt:lpstr>    Rigidité des prix et influence sur l'IHPC</vt:lpstr>
      <vt:lpstr>    Catégories à faible pondération </vt:lpstr>
      <vt:lpstr>Conclusion</vt:lpstr>
      <vt:lpstr>Bibliographie</vt:lpstr>
      <vt:lpstr>Table des matières</vt:lpstr>
      <vt:lpstr/>
    </vt:vector>
  </TitlesOfParts>
  <Manager/>
  <Company/>
  <LinksUpToDate>false</LinksUpToDate>
  <CharactersWithSpaces>83744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Malick Sene</cp:lastModifiedBy>
  <cp:revision>4</cp:revision>
  <cp:lastPrinted>2025-01-05T11:49:00Z</cp:lastPrinted>
  <dcterms:created xsi:type="dcterms:W3CDTF">2024-11-30T01:16:00Z</dcterms:created>
  <dcterms:modified xsi:type="dcterms:W3CDTF">2025-05-10T01:11:00Z</dcterms:modified>
  <cp:category/>
</cp:coreProperties>
</file>