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83C09" w14:textId="77777777" w:rsidR="00037B43" w:rsidRPr="00037B43" w:rsidRDefault="00037B43" w:rsidP="00037B43">
      <w:r w:rsidRPr="00037B43">
        <w:t xml:space="preserve">Dear Aboubacar, </w:t>
      </w:r>
    </w:p>
    <w:p w14:paraId="65D3DF69" w14:textId="77777777" w:rsidR="00037B43" w:rsidRPr="00037B43" w:rsidRDefault="00037B43" w:rsidP="00037B43">
      <w:r w:rsidRPr="00037B43">
        <w:t>Thanks for this. Let’s discuss later today – perhaps 13h Dakar time?</w:t>
      </w:r>
    </w:p>
    <w:p w14:paraId="0C2EBD8D" w14:textId="77777777" w:rsidR="00037B43" w:rsidRPr="00037B43" w:rsidRDefault="00037B43" w:rsidP="00037B43">
      <w:r w:rsidRPr="00037B43">
        <w:t xml:space="preserve">In the meantime, could you please have a look at </w:t>
      </w:r>
      <w:hyperlink r:id="rId5" w:history="1">
        <w:r w:rsidRPr="00037B43">
          <w:rPr>
            <w:rStyle w:val="Hyperlink"/>
          </w:rPr>
          <w:t>https://globalwindatlas.info</w:t>
        </w:r>
      </w:hyperlink>
      <w:r w:rsidRPr="00037B43">
        <w:t xml:space="preserve"> or the datasets that Rogerio was referring to?</w:t>
      </w:r>
    </w:p>
    <w:p w14:paraId="782A8E1B" w14:textId="77777777" w:rsidR="00037B43" w:rsidRPr="00037B43" w:rsidRDefault="00037B43" w:rsidP="00037B43">
      <w:r w:rsidRPr="00037B43">
        <w:t>I would like to add a weather variable on stormy days (</w:t>
      </w:r>
      <w:proofErr w:type="gramStart"/>
      <w:r w:rsidRPr="00037B43">
        <w:t>similar to</w:t>
      </w:r>
      <w:proofErr w:type="gramEnd"/>
      <w:r w:rsidRPr="00037B43">
        <w:t xml:space="preserve"> dry and heavy rainfall). That is:</w:t>
      </w:r>
    </w:p>
    <w:p w14:paraId="139A9161" w14:textId="77777777" w:rsidR="00037B43" w:rsidRPr="00037B43" w:rsidRDefault="00037B43" w:rsidP="00037B43">
      <w:pPr>
        <w:numPr>
          <w:ilvl w:val="0"/>
          <w:numId w:val="1"/>
        </w:numPr>
      </w:pPr>
      <w:r w:rsidRPr="00037B43">
        <w:t>Aggregate daily pixel values of average windspeed to adm2 areas</w:t>
      </w:r>
    </w:p>
    <w:p w14:paraId="2BC7FB8C" w14:textId="77777777" w:rsidR="00037B43" w:rsidRPr="00037B43" w:rsidRDefault="00037B43" w:rsidP="00037B43">
      <w:pPr>
        <w:numPr>
          <w:ilvl w:val="0"/>
          <w:numId w:val="1"/>
        </w:numPr>
      </w:pPr>
      <w:r w:rsidRPr="00037B43">
        <w:t>Find a threshold to identify stormy days</w:t>
      </w:r>
    </w:p>
    <w:p w14:paraId="320A0460" w14:textId="77777777" w:rsidR="00037B43" w:rsidRPr="00037B43" w:rsidRDefault="00037B43" w:rsidP="00037B43">
      <w:pPr>
        <w:numPr>
          <w:ilvl w:val="0"/>
          <w:numId w:val="1"/>
        </w:numPr>
      </w:pPr>
      <w:r w:rsidRPr="00037B43">
        <w:t>Derive frequencies and spells of stormy days</w:t>
      </w:r>
    </w:p>
    <w:p w14:paraId="45569A89" w14:textId="77777777" w:rsidR="00037B43" w:rsidRPr="00037B43" w:rsidRDefault="00037B43" w:rsidP="00037B43">
      <w:pPr>
        <w:pBdr>
          <w:bottom w:val="single" w:sz="6" w:space="1" w:color="auto"/>
        </w:pBdr>
      </w:pPr>
      <w:r w:rsidRPr="00037B43">
        <w:t>Best</w:t>
      </w:r>
      <w:r w:rsidRPr="00037B43">
        <w:br/>
        <w:t>Wim</w:t>
      </w:r>
    </w:p>
    <w:p w14:paraId="496880E6" w14:textId="77777777" w:rsidR="00037B43" w:rsidRPr="00037B43" w:rsidRDefault="00037B43" w:rsidP="00037B43">
      <w:r w:rsidRPr="00037B43">
        <w:t xml:space="preserve">Dear Rogerio and team, </w:t>
      </w:r>
    </w:p>
    <w:p w14:paraId="4925E387" w14:textId="77777777" w:rsidR="00037B43" w:rsidRPr="00037B43" w:rsidRDefault="00037B43" w:rsidP="00037B43"/>
    <w:p w14:paraId="4D968211" w14:textId="77777777" w:rsidR="00037B43" w:rsidRPr="00037B43" w:rsidRDefault="00037B43" w:rsidP="00037B43">
      <w:r w:rsidRPr="00037B43">
        <w:t xml:space="preserve">Still some more questions </w:t>
      </w:r>
      <w:r w:rsidRPr="00037B43">
        <w:rPr>
          <w:rFonts w:ascii="Segoe UI Emoji" w:hAnsi="Segoe UI Emoji" w:cs="Segoe UI Emoji"/>
        </w:rPr>
        <w:t>😊</w:t>
      </w:r>
      <w:r w:rsidRPr="00037B43">
        <w:t>, but these are very easy and quick for you to respond (except perhaps for point 3).</w:t>
      </w:r>
    </w:p>
    <w:p w14:paraId="22089FB8" w14:textId="77777777" w:rsidR="00037B43" w:rsidRPr="00037B43" w:rsidRDefault="00037B43" w:rsidP="00037B43"/>
    <w:p w14:paraId="3FE40BA5" w14:textId="77777777" w:rsidR="00037B43" w:rsidRPr="00037B43" w:rsidRDefault="00037B43" w:rsidP="00037B43">
      <w:pPr>
        <w:numPr>
          <w:ilvl w:val="0"/>
          <w:numId w:val="2"/>
        </w:numPr>
      </w:pPr>
      <w:r w:rsidRPr="00037B43">
        <w:t>What is the reference dataset used for soil moisture in the CDI? Please, perhaps also check the data sources for the other CDI components in the table below.</w:t>
      </w:r>
    </w:p>
    <w:p w14:paraId="2A9F7C74" w14:textId="77777777" w:rsidR="00037B43" w:rsidRDefault="00037B43" w:rsidP="00037B43">
      <w:r w:rsidRPr="00037B43">
        <w:rPr>
          <w:highlight w:val="cyan"/>
        </w:rPr>
        <w:t>Details in the table below</w:t>
      </w:r>
    </w:p>
    <w:p w14:paraId="18508EB0" w14:textId="77777777" w:rsidR="004840F1" w:rsidRPr="004840F1" w:rsidRDefault="004840F1" w:rsidP="004840F1"/>
    <w:tbl>
      <w:tblPr>
        <w:tblW w:w="9360" w:type="dxa"/>
        <w:tblCellMar>
          <w:left w:w="0" w:type="dxa"/>
          <w:right w:w="0" w:type="dxa"/>
        </w:tblCellMar>
        <w:tblLook w:val="04A0" w:firstRow="1" w:lastRow="0" w:firstColumn="1" w:lastColumn="0" w:noHBand="0" w:noVBand="1"/>
      </w:tblPr>
      <w:tblGrid>
        <w:gridCol w:w="4674"/>
        <w:gridCol w:w="4686"/>
      </w:tblGrid>
      <w:tr w:rsidR="004840F1" w:rsidRPr="004840F1" w14:paraId="7D26968B" w14:textId="77777777" w:rsidTr="004840F1">
        <w:trPr>
          <w:trHeight w:val="288"/>
        </w:trPr>
        <w:tc>
          <w:tcPr>
            <w:tcW w:w="4674" w:type="dxa"/>
            <w:tcBorders>
              <w:top w:val="single" w:sz="8" w:space="0" w:color="auto"/>
              <w:left w:val="single" w:sz="8" w:space="0" w:color="auto"/>
              <w:bottom w:val="single" w:sz="8" w:space="0" w:color="auto"/>
              <w:right w:val="single" w:sz="8" w:space="0" w:color="auto"/>
            </w:tcBorders>
            <w:shd w:val="clear" w:color="auto" w:fill="D9D9D9"/>
            <w:noWrap/>
            <w:tcMar>
              <w:top w:w="43" w:type="dxa"/>
              <w:left w:w="72" w:type="dxa"/>
              <w:bottom w:w="43" w:type="dxa"/>
              <w:right w:w="72" w:type="dxa"/>
            </w:tcMar>
            <w:hideMark/>
          </w:tcPr>
          <w:p w14:paraId="657EB77F" w14:textId="77777777" w:rsidR="004840F1" w:rsidRPr="004840F1" w:rsidRDefault="004840F1" w:rsidP="004840F1">
            <w:pPr>
              <w:rPr>
                <w:b/>
                <w:bCs/>
              </w:rPr>
            </w:pPr>
            <w:r w:rsidRPr="004840F1">
              <w:rPr>
                <w:b/>
                <w:bCs/>
              </w:rPr>
              <w:t>Indicator</w:t>
            </w:r>
          </w:p>
        </w:tc>
        <w:tc>
          <w:tcPr>
            <w:tcW w:w="4686" w:type="dxa"/>
            <w:tcBorders>
              <w:top w:val="single" w:sz="8" w:space="0" w:color="auto"/>
              <w:left w:val="nil"/>
              <w:bottom w:val="single" w:sz="8" w:space="0" w:color="auto"/>
              <w:right w:val="single" w:sz="8" w:space="0" w:color="auto"/>
            </w:tcBorders>
            <w:shd w:val="clear" w:color="auto" w:fill="D9D9D9"/>
            <w:noWrap/>
            <w:tcMar>
              <w:top w:w="43" w:type="dxa"/>
              <w:left w:w="72" w:type="dxa"/>
              <w:bottom w:w="43" w:type="dxa"/>
              <w:right w:w="72" w:type="dxa"/>
            </w:tcMar>
            <w:hideMark/>
          </w:tcPr>
          <w:p w14:paraId="495280DE" w14:textId="77777777" w:rsidR="004840F1" w:rsidRPr="004840F1" w:rsidRDefault="004840F1" w:rsidP="004840F1">
            <w:pPr>
              <w:rPr>
                <w:b/>
                <w:bCs/>
              </w:rPr>
            </w:pPr>
            <w:r w:rsidRPr="004840F1">
              <w:rPr>
                <w:b/>
                <w:bCs/>
              </w:rPr>
              <w:t>Data</w:t>
            </w:r>
          </w:p>
        </w:tc>
      </w:tr>
      <w:tr w:rsidR="004840F1" w:rsidRPr="004840F1" w14:paraId="132DC68D" w14:textId="77777777" w:rsidTr="004840F1">
        <w:trPr>
          <w:trHeight w:val="550"/>
        </w:trPr>
        <w:tc>
          <w:tcPr>
            <w:tcW w:w="4674" w:type="dxa"/>
            <w:tcBorders>
              <w:top w:val="nil"/>
              <w:left w:val="single" w:sz="8" w:space="0" w:color="auto"/>
              <w:bottom w:val="single" w:sz="8" w:space="0" w:color="auto"/>
              <w:right w:val="single" w:sz="8" w:space="0" w:color="auto"/>
            </w:tcBorders>
            <w:shd w:val="clear" w:color="auto" w:fill="D9D9D9"/>
            <w:noWrap/>
            <w:tcMar>
              <w:top w:w="43" w:type="dxa"/>
              <w:left w:w="72" w:type="dxa"/>
              <w:bottom w:w="43" w:type="dxa"/>
              <w:right w:w="72" w:type="dxa"/>
            </w:tcMar>
            <w:hideMark/>
          </w:tcPr>
          <w:p w14:paraId="4C6A40CA" w14:textId="77777777" w:rsidR="004840F1" w:rsidRPr="004840F1" w:rsidRDefault="004840F1" w:rsidP="004840F1">
            <w:pPr>
              <w:rPr>
                <w:b/>
                <w:bCs/>
              </w:rPr>
            </w:pPr>
            <w:r w:rsidRPr="004840F1">
              <w:rPr>
                <w:b/>
                <w:bCs/>
              </w:rPr>
              <w:t xml:space="preserve">Seasonal rainfall </w:t>
            </w:r>
            <w:r w:rsidRPr="004840F1">
              <w:rPr>
                <w:b/>
                <w:bCs/>
              </w:rPr>
              <w:br/>
            </w:r>
            <w:r w:rsidRPr="004840F1">
              <w:t>(input)</w:t>
            </w:r>
          </w:p>
        </w:tc>
        <w:tc>
          <w:tcPr>
            <w:tcW w:w="4686" w:type="dxa"/>
            <w:tcBorders>
              <w:top w:val="nil"/>
              <w:left w:val="nil"/>
              <w:bottom w:val="single" w:sz="8" w:space="0" w:color="auto"/>
              <w:right w:val="single" w:sz="8" w:space="0" w:color="auto"/>
            </w:tcBorders>
            <w:noWrap/>
            <w:tcMar>
              <w:top w:w="43" w:type="dxa"/>
              <w:left w:w="72" w:type="dxa"/>
              <w:bottom w:w="43" w:type="dxa"/>
              <w:right w:w="72" w:type="dxa"/>
            </w:tcMar>
            <w:hideMark/>
          </w:tcPr>
          <w:p w14:paraId="23446D9C" w14:textId="77777777" w:rsidR="004840F1" w:rsidRPr="004840F1" w:rsidRDefault="004840F1" w:rsidP="004840F1">
            <w:r w:rsidRPr="004840F1">
              <w:t>CHIRPS</w:t>
            </w:r>
          </w:p>
        </w:tc>
      </w:tr>
      <w:tr w:rsidR="004840F1" w:rsidRPr="004840F1" w14:paraId="380626D0" w14:textId="77777777" w:rsidTr="004840F1">
        <w:trPr>
          <w:trHeight w:val="288"/>
        </w:trPr>
        <w:tc>
          <w:tcPr>
            <w:tcW w:w="4674" w:type="dxa"/>
            <w:tcBorders>
              <w:top w:val="nil"/>
              <w:left w:val="single" w:sz="8" w:space="0" w:color="auto"/>
              <w:bottom w:val="single" w:sz="8" w:space="0" w:color="auto"/>
              <w:right w:val="single" w:sz="8" w:space="0" w:color="auto"/>
            </w:tcBorders>
            <w:shd w:val="clear" w:color="auto" w:fill="D9D9D9"/>
            <w:noWrap/>
            <w:tcMar>
              <w:top w:w="43" w:type="dxa"/>
              <w:left w:w="72" w:type="dxa"/>
              <w:bottom w:w="43" w:type="dxa"/>
              <w:right w:w="72" w:type="dxa"/>
            </w:tcMar>
            <w:hideMark/>
          </w:tcPr>
          <w:p w14:paraId="5E26D0A2" w14:textId="77777777" w:rsidR="004840F1" w:rsidRPr="004840F1" w:rsidRDefault="004840F1" w:rsidP="004840F1">
            <w:pPr>
              <w:rPr>
                <w:b/>
                <w:bCs/>
              </w:rPr>
            </w:pPr>
            <w:r w:rsidRPr="004840F1">
              <w:rPr>
                <w:b/>
                <w:bCs/>
              </w:rPr>
              <w:t>Seasonal soil moisture</w:t>
            </w:r>
          </w:p>
          <w:p w14:paraId="121EC6A6" w14:textId="77777777" w:rsidR="004840F1" w:rsidRPr="004840F1" w:rsidRDefault="004840F1" w:rsidP="004840F1">
            <w:r w:rsidRPr="004840F1">
              <w:t>(storage)</w:t>
            </w:r>
          </w:p>
        </w:tc>
        <w:tc>
          <w:tcPr>
            <w:tcW w:w="4686" w:type="dxa"/>
            <w:tcBorders>
              <w:top w:val="nil"/>
              <w:left w:val="nil"/>
              <w:bottom w:val="single" w:sz="8" w:space="0" w:color="auto"/>
              <w:right w:val="single" w:sz="8" w:space="0" w:color="auto"/>
            </w:tcBorders>
            <w:noWrap/>
            <w:tcMar>
              <w:top w:w="43" w:type="dxa"/>
              <w:left w:w="72" w:type="dxa"/>
              <w:bottom w:w="43" w:type="dxa"/>
              <w:right w:w="72" w:type="dxa"/>
            </w:tcMar>
            <w:hideMark/>
          </w:tcPr>
          <w:p w14:paraId="41B78215" w14:textId="77777777" w:rsidR="004840F1" w:rsidRPr="004840F1" w:rsidRDefault="004840F1" w:rsidP="004840F1">
            <w:r w:rsidRPr="004840F1">
              <w:t>ERA5 (reanalysis). This is Root Zone Soil moisture a depth weighted average of the top three individual soil layer moisture values</w:t>
            </w:r>
          </w:p>
        </w:tc>
      </w:tr>
      <w:tr w:rsidR="004840F1" w:rsidRPr="004840F1" w14:paraId="171706CA" w14:textId="77777777" w:rsidTr="004840F1">
        <w:trPr>
          <w:trHeight w:val="703"/>
        </w:trPr>
        <w:tc>
          <w:tcPr>
            <w:tcW w:w="4674" w:type="dxa"/>
            <w:tcBorders>
              <w:top w:val="nil"/>
              <w:left w:val="single" w:sz="8" w:space="0" w:color="auto"/>
              <w:bottom w:val="single" w:sz="8" w:space="0" w:color="auto"/>
              <w:right w:val="single" w:sz="8" w:space="0" w:color="auto"/>
            </w:tcBorders>
            <w:shd w:val="clear" w:color="auto" w:fill="D9D9D9"/>
            <w:noWrap/>
            <w:tcMar>
              <w:top w:w="43" w:type="dxa"/>
              <w:left w:w="72" w:type="dxa"/>
              <w:bottom w:w="43" w:type="dxa"/>
              <w:right w:w="72" w:type="dxa"/>
            </w:tcMar>
            <w:hideMark/>
          </w:tcPr>
          <w:p w14:paraId="5F0BC277" w14:textId="77777777" w:rsidR="004840F1" w:rsidRPr="004840F1" w:rsidRDefault="004840F1" w:rsidP="004840F1">
            <w:pPr>
              <w:rPr>
                <w:b/>
                <w:bCs/>
              </w:rPr>
            </w:pPr>
            <w:r w:rsidRPr="004840F1">
              <w:rPr>
                <w:b/>
                <w:bCs/>
              </w:rPr>
              <w:t>Seasonal potential evapotranspiration</w:t>
            </w:r>
          </w:p>
          <w:p w14:paraId="61304551" w14:textId="77777777" w:rsidR="004840F1" w:rsidRPr="004840F1" w:rsidRDefault="004840F1" w:rsidP="004840F1">
            <w:r w:rsidRPr="004840F1">
              <w:t>(demand)</w:t>
            </w:r>
          </w:p>
        </w:tc>
        <w:tc>
          <w:tcPr>
            <w:tcW w:w="4686" w:type="dxa"/>
            <w:tcBorders>
              <w:top w:val="nil"/>
              <w:left w:val="nil"/>
              <w:bottom w:val="single" w:sz="8" w:space="0" w:color="auto"/>
              <w:right w:val="single" w:sz="8" w:space="0" w:color="auto"/>
            </w:tcBorders>
            <w:noWrap/>
            <w:tcMar>
              <w:top w:w="43" w:type="dxa"/>
              <w:left w:w="72" w:type="dxa"/>
              <w:bottom w:w="43" w:type="dxa"/>
              <w:right w:w="72" w:type="dxa"/>
            </w:tcMar>
            <w:hideMark/>
          </w:tcPr>
          <w:p w14:paraId="13E01875" w14:textId="77777777" w:rsidR="004840F1" w:rsidRPr="004840F1" w:rsidRDefault="004840F1" w:rsidP="004840F1">
            <w:r w:rsidRPr="004840F1">
              <w:t xml:space="preserve">FAO WAPOR: Penman Monteith formulation using </w:t>
            </w:r>
            <w:proofErr w:type="spellStart"/>
            <w:r w:rsidRPr="004840F1">
              <w:t>AgERA</w:t>
            </w:r>
            <w:proofErr w:type="spellEnd"/>
            <w:r w:rsidRPr="004840F1">
              <w:t xml:space="preserve"> datasets (from ERA5 but bias corrected and improved resolution)</w:t>
            </w:r>
          </w:p>
        </w:tc>
      </w:tr>
      <w:tr w:rsidR="004840F1" w:rsidRPr="004840F1" w14:paraId="4FEFBA65" w14:textId="77777777" w:rsidTr="004840F1">
        <w:trPr>
          <w:trHeight w:val="288"/>
        </w:trPr>
        <w:tc>
          <w:tcPr>
            <w:tcW w:w="4674" w:type="dxa"/>
            <w:tcBorders>
              <w:top w:val="nil"/>
              <w:left w:val="single" w:sz="8" w:space="0" w:color="auto"/>
              <w:bottom w:val="single" w:sz="8" w:space="0" w:color="auto"/>
              <w:right w:val="single" w:sz="8" w:space="0" w:color="auto"/>
            </w:tcBorders>
            <w:shd w:val="clear" w:color="auto" w:fill="D9D9D9"/>
            <w:noWrap/>
            <w:tcMar>
              <w:top w:w="43" w:type="dxa"/>
              <w:left w:w="72" w:type="dxa"/>
              <w:bottom w:w="43" w:type="dxa"/>
              <w:right w:w="72" w:type="dxa"/>
            </w:tcMar>
            <w:hideMark/>
          </w:tcPr>
          <w:p w14:paraId="696C3564" w14:textId="77777777" w:rsidR="004840F1" w:rsidRPr="004840F1" w:rsidRDefault="004840F1" w:rsidP="004840F1">
            <w:pPr>
              <w:rPr>
                <w:b/>
                <w:bCs/>
              </w:rPr>
            </w:pPr>
            <w:r w:rsidRPr="004840F1">
              <w:rPr>
                <w:b/>
                <w:bCs/>
              </w:rPr>
              <w:t xml:space="preserve">Seasonal Combined Drought Index </w:t>
            </w:r>
          </w:p>
        </w:tc>
        <w:tc>
          <w:tcPr>
            <w:tcW w:w="4686" w:type="dxa"/>
            <w:tcBorders>
              <w:top w:val="nil"/>
              <w:left w:val="nil"/>
              <w:bottom w:val="single" w:sz="8" w:space="0" w:color="auto"/>
              <w:right w:val="single" w:sz="8" w:space="0" w:color="auto"/>
            </w:tcBorders>
            <w:noWrap/>
            <w:tcMar>
              <w:top w:w="43" w:type="dxa"/>
              <w:left w:w="72" w:type="dxa"/>
              <w:bottom w:w="43" w:type="dxa"/>
              <w:right w:w="72" w:type="dxa"/>
            </w:tcMar>
            <w:hideMark/>
          </w:tcPr>
          <w:p w14:paraId="77493E80" w14:textId="77777777" w:rsidR="004840F1" w:rsidRPr="004840F1" w:rsidRDefault="004840F1" w:rsidP="004840F1">
            <w:r w:rsidRPr="004840F1">
              <w:t xml:space="preserve">Based on the datasets above </w:t>
            </w:r>
          </w:p>
        </w:tc>
      </w:tr>
    </w:tbl>
    <w:p w14:paraId="2B77C116" w14:textId="77777777" w:rsidR="004840F1" w:rsidRPr="00037B43" w:rsidRDefault="004840F1" w:rsidP="00037B43"/>
    <w:p w14:paraId="43763ADE" w14:textId="77777777" w:rsidR="00037B43" w:rsidRPr="00037B43" w:rsidRDefault="00037B43" w:rsidP="00037B43"/>
    <w:p w14:paraId="29BD307D" w14:textId="77777777" w:rsidR="00037B43" w:rsidRPr="00037B43" w:rsidRDefault="00037B43" w:rsidP="00037B43">
      <w:pPr>
        <w:numPr>
          <w:ilvl w:val="0"/>
          <w:numId w:val="2"/>
        </w:numPr>
      </w:pPr>
      <w:r w:rsidRPr="00037B43">
        <w:lastRenderedPageBreak/>
        <w:t>In an earlier communication, you mentioned that you have been using/testing the 20 mm absolute cut-off for heavy rainfall. Is there any reference to back this operational choice? (no worry if there is not)</w:t>
      </w:r>
    </w:p>
    <w:p w14:paraId="59F9FD15" w14:textId="77777777" w:rsidR="00037B43" w:rsidRPr="00037B43" w:rsidRDefault="00037B43" w:rsidP="00037B43">
      <w:r w:rsidRPr="00037B43">
        <w:rPr>
          <w:highlight w:val="cyan"/>
        </w:rPr>
        <w:t>The 20mm are used in a climate indicator specification data set. I’ll find the reference</w:t>
      </w:r>
    </w:p>
    <w:p w14:paraId="666EE804" w14:textId="77777777" w:rsidR="00037B43" w:rsidRPr="00037B43" w:rsidRDefault="00037B43" w:rsidP="00037B43"/>
    <w:p w14:paraId="47C7D60B" w14:textId="77777777" w:rsidR="00037B43" w:rsidRPr="00037B43" w:rsidRDefault="00037B43" w:rsidP="00037B43">
      <w:pPr>
        <w:numPr>
          <w:ilvl w:val="0"/>
          <w:numId w:val="2"/>
        </w:numPr>
      </w:pPr>
      <w:r w:rsidRPr="00037B43">
        <w:t xml:space="preserve">Would it be possible to have </w:t>
      </w:r>
      <w:r w:rsidRPr="00037B43">
        <w:rPr>
          <w:b/>
          <w:bCs/>
          <w:i/>
          <w:iCs/>
        </w:rPr>
        <w:t>daily</w:t>
      </w:r>
      <w:r w:rsidRPr="00037B43">
        <w:t xml:space="preserve"> temperature data aggregated by the same adm2 levels, similar as for the daily rainfall data? Previously we did receive the temperature data by </w:t>
      </w:r>
      <w:proofErr w:type="spellStart"/>
      <w:r w:rsidRPr="00037B43">
        <w:t>dekads</w:t>
      </w:r>
      <w:proofErr w:type="spellEnd"/>
      <w:r w:rsidRPr="00037B43">
        <w:t xml:space="preserve">, but now we are thinking of mimicking the approach of dry/heavy rainfall days to the temperature dimension as well. </w:t>
      </w:r>
    </w:p>
    <w:p w14:paraId="586B2FBF" w14:textId="77777777" w:rsidR="00037B43" w:rsidRPr="00037B43" w:rsidRDefault="00037B43" w:rsidP="00037B43">
      <w:r w:rsidRPr="00037B43">
        <w:rPr>
          <w:highlight w:val="cyan"/>
        </w:rPr>
        <w:t>Need to check with Valentin</w:t>
      </w:r>
    </w:p>
    <w:p w14:paraId="2313A4BB" w14:textId="77777777" w:rsidR="00037B43" w:rsidRPr="00037B43" w:rsidRDefault="00037B43" w:rsidP="00037B43"/>
    <w:p w14:paraId="43A35474" w14:textId="77777777" w:rsidR="00037B43" w:rsidRPr="00037B43" w:rsidRDefault="00037B43" w:rsidP="00037B43">
      <w:pPr>
        <w:numPr>
          <w:ilvl w:val="0"/>
          <w:numId w:val="2"/>
        </w:numPr>
      </w:pPr>
      <w:r w:rsidRPr="00037B43">
        <w:t>Are you aware of any data on windspeed? Another important climate hazard in the Sahel appears to be sandstorms. Again, if possible, daily maximum windspeeds aggregated by adm2 levels could serve our needs.</w:t>
      </w:r>
    </w:p>
    <w:p w14:paraId="6BEBBAA8" w14:textId="77777777" w:rsidR="00037B43" w:rsidRPr="00037B43" w:rsidRDefault="00037B43" w:rsidP="00037B43">
      <w:r w:rsidRPr="00037B43">
        <w:rPr>
          <w:highlight w:val="cyan"/>
        </w:rPr>
        <w:t>I think it’s in ERA5 / C3S, but we have not ingested, have no plans to and have no idea of how accurate it might be. One of those to be cautious about</w:t>
      </w:r>
    </w:p>
    <w:p w14:paraId="4D64BB09" w14:textId="77777777" w:rsidR="00037B43" w:rsidRPr="00037B43" w:rsidRDefault="00037B43" w:rsidP="00037B43"/>
    <w:p w14:paraId="2C6839CA" w14:textId="77777777" w:rsidR="00037B43" w:rsidRPr="00037B43" w:rsidRDefault="00037B43" w:rsidP="00037B43">
      <w:r w:rsidRPr="00037B43">
        <w:t>Thanks!</w:t>
      </w:r>
      <w:r w:rsidRPr="00037B43">
        <w:br/>
        <w:t>Wim</w:t>
      </w:r>
    </w:p>
    <w:p w14:paraId="0C1797FE" w14:textId="77777777" w:rsidR="00037B43" w:rsidRDefault="00037B43"/>
    <w:sectPr w:rsidR="00037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3D6"/>
    <w:multiLevelType w:val="hybridMultilevel"/>
    <w:tmpl w:val="FEA22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8040979"/>
    <w:multiLevelType w:val="hybridMultilevel"/>
    <w:tmpl w:val="C8249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6996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66375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FD"/>
    <w:rsid w:val="00037B43"/>
    <w:rsid w:val="00142A5A"/>
    <w:rsid w:val="00221CFD"/>
    <w:rsid w:val="004840F1"/>
    <w:rsid w:val="00AE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B701"/>
  <w15:chartTrackingRefBased/>
  <w15:docId w15:val="{F4D4B0F0-78F8-4B2F-8688-E090B3F0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CFD"/>
    <w:rPr>
      <w:rFonts w:eastAsiaTheme="majorEastAsia" w:cstheme="majorBidi"/>
      <w:color w:val="272727" w:themeColor="text1" w:themeTint="D8"/>
    </w:rPr>
  </w:style>
  <w:style w:type="paragraph" w:styleId="Title">
    <w:name w:val="Title"/>
    <w:basedOn w:val="Normal"/>
    <w:next w:val="Normal"/>
    <w:link w:val="TitleChar"/>
    <w:uiPriority w:val="10"/>
    <w:qFormat/>
    <w:rsid w:val="00221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CFD"/>
    <w:pPr>
      <w:spacing w:before="160"/>
      <w:jc w:val="center"/>
    </w:pPr>
    <w:rPr>
      <w:i/>
      <w:iCs/>
      <w:color w:val="404040" w:themeColor="text1" w:themeTint="BF"/>
    </w:rPr>
  </w:style>
  <w:style w:type="character" w:customStyle="1" w:styleId="QuoteChar">
    <w:name w:val="Quote Char"/>
    <w:basedOn w:val="DefaultParagraphFont"/>
    <w:link w:val="Quote"/>
    <w:uiPriority w:val="29"/>
    <w:rsid w:val="00221CFD"/>
    <w:rPr>
      <w:i/>
      <w:iCs/>
      <w:color w:val="404040" w:themeColor="text1" w:themeTint="BF"/>
    </w:rPr>
  </w:style>
  <w:style w:type="paragraph" w:styleId="ListParagraph">
    <w:name w:val="List Paragraph"/>
    <w:basedOn w:val="Normal"/>
    <w:uiPriority w:val="34"/>
    <w:qFormat/>
    <w:rsid w:val="00221CFD"/>
    <w:pPr>
      <w:ind w:left="720"/>
      <w:contextualSpacing/>
    </w:pPr>
  </w:style>
  <w:style w:type="character" w:styleId="IntenseEmphasis">
    <w:name w:val="Intense Emphasis"/>
    <w:basedOn w:val="DefaultParagraphFont"/>
    <w:uiPriority w:val="21"/>
    <w:qFormat/>
    <w:rsid w:val="00221CFD"/>
    <w:rPr>
      <w:i/>
      <w:iCs/>
      <w:color w:val="0F4761" w:themeColor="accent1" w:themeShade="BF"/>
    </w:rPr>
  </w:style>
  <w:style w:type="paragraph" w:styleId="IntenseQuote">
    <w:name w:val="Intense Quote"/>
    <w:basedOn w:val="Normal"/>
    <w:next w:val="Normal"/>
    <w:link w:val="IntenseQuoteChar"/>
    <w:uiPriority w:val="30"/>
    <w:qFormat/>
    <w:rsid w:val="00221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CFD"/>
    <w:rPr>
      <w:i/>
      <w:iCs/>
      <w:color w:val="0F4761" w:themeColor="accent1" w:themeShade="BF"/>
    </w:rPr>
  </w:style>
  <w:style w:type="character" w:styleId="IntenseReference">
    <w:name w:val="Intense Reference"/>
    <w:basedOn w:val="DefaultParagraphFont"/>
    <w:uiPriority w:val="32"/>
    <w:qFormat/>
    <w:rsid w:val="00221CFD"/>
    <w:rPr>
      <w:b/>
      <w:bCs/>
      <w:smallCaps/>
      <w:color w:val="0F4761" w:themeColor="accent1" w:themeShade="BF"/>
      <w:spacing w:val="5"/>
    </w:rPr>
  </w:style>
  <w:style w:type="character" w:styleId="Hyperlink">
    <w:name w:val="Hyperlink"/>
    <w:basedOn w:val="DefaultParagraphFont"/>
    <w:uiPriority w:val="99"/>
    <w:unhideWhenUsed/>
    <w:rsid w:val="00037B43"/>
    <w:rPr>
      <w:color w:val="467886" w:themeColor="hyperlink"/>
      <w:u w:val="single"/>
    </w:rPr>
  </w:style>
  <w:style w:type="character" w:styleId="UnresolvedMention">
    <w:name w:val="Unresolved Mention"/>
    <w:basedOn w:val="DefaultParagraphFont"/>
    <w:uiPriority w:val="99"/>
    <w:semiHidden/>
    <w:unhideWhenUsed/>
    <w:rsid w:val="00037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2413">
      <w:bodyDiv w:val="1"/>
      <w:marLeft w:val="0"/>
      <w:marRight w:val="0"/>
      <w:marTop w:val="0"/>
      <w:marBottom w:val="0"/>
      <w:divBdr>
        <w:top w:val="none" w:sz="0" w:space="0" w:color="auto"/>
        <w:left w:val="none" w:sz="0" w:space="0" w:color="auto"/>
        <w:bottom w:val="none" w:sz="0" w:space="0" w:color="auto"/>
        <w:right w:val="none" w:sz="0" w:space="0" w:color="auto"/>
      </w:divBdr>
    </w:div>
    <w:div w:id="385185953">
      <w:bodyDiv w:val="1"/>
      <w:marLeft w:val="0"/>
      <w:marRight w:val="0"/>
      <w:marTop w:val="0"/>
      <w:marBottom w:val="0"/>
      <w:divBdr>
        <w:top w:val="none" w:sz="0" w:space="0" w:color="auto"/>
        <w:left w:val="none" w:sz="0" w:space="0" w:color="auto"/>
        <w:bottom w:val="none" w:sz="0" w:space="0" w:color="auto"/>
        <w:right w:val="none" w:sz="0" w:space="0" w:color="auto"/>
      </w:divBdr>
    </w:div>
    <w:div w:id="434860908">
      <w:bodyDiv w:val="1"/>
      <w:marLeft w:val="0"/>
      <w:marRight w:val="0"/>
      <w:marTop w:val="0"/>
      <w:marBottom w:val="0"/>
      <w:divBdr>
        <w:top w:val="none" w:sz="0" w:space="0" w:color="auto"/>
        <w:left w:val="none" w:sz="0" w:space="0" w:color="auto"/>
        <w:bottom w:val="none" w:sz="0" w:space="0" w:color="auto"/>
        <w:right w:val="none" w:sz="0" w:space="0" w:color="auto"/>
      </w:divBdr>
    </w:div>
    <w:div w:id="1231887016">
      <w:bodyDiv w:val="1"/>
      <w:marLeft w:val="0"/>
      <w:marRight w:val="0"/>
      <w:marTop w:val="0"/>
      <w:marBottom w:val="0"/>
      <w:divBdr>
        <w:top w:val="none" w:sz="0" w:space="0" w:color="auto"/>
        <w:left w:val="none" w:sz="0" w:space="0" w:color="auto"/>
        <w:bottom w:val="none" w:sz="0" w:space="0" w:color="auto"/>
        <w:right w:val="none" w:sz="0" w:space="0" w:color="auto"/>
      </w:divBdr>
    </w:div>
    <w:div w:id="1426999362">
      <w:bodyDiv w:val="1"/>
      <w:marLeft w:val="0"/>
      <w:marRight w:val="0"/>
      <w:marTop w:val="0"/>
      <w:marBottom w:val="0"/>
      <w:divBdr>
        <w:top w:val="none" w:sz="0" w:space="0" w:color="auto"/>
        <w:left w:val="none" w:sz="0" w:space="0" w:color="auto"/>
        <w:bottom w:val="none" w:sz="0" w:space="0" w:color="auto"/>
        <w:right w:val="none" w:sz="0" w:space="0" w:color="auto"/>
      </w:divBdr>
    </w:div>
    <w:div w:id="156155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r03.safelinks.protection.outlook.com/?url=https%3A%2F%2Fglobalwindatlas.info%2F&amp;data=05%7C02%7CA.Hema%40cgiar.org%7C8c845be9f4004205e5dd08dcaa32bcf8%7C6afa0e00fa1440b78a2e22a7f8c357d5%7C0%7C0%7C638572382133564254%7CUnknown%7CTWFpbGZsb3d8eyJWIjoiMC4wLjAwMDAiLCJQIjoiV2luMzIiLCJBTiI6Ik1haWwiLCJXVCI6Mn0%3D%7C0%7C%7C%7C&amp;sdata=90YfdqOzWU9SUOTeBOKHZmaFOYiXlmslOUG2RuX01KI%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(IFPRI-Dakar)</dc:creator>
  <cp:keywords/>
  <dc:description/>
  <cp:lastModifiedBy>Hema, Aboubacar (IFPRI-Dakar)</cp:lastModifiedBy>
  <cp:revision>6</cp:revision>
  <dcterms:created xsi:type="dcterms:W3CDTF">2024-07-22T10:23:00Z</dcterms:created>
  <dcterms:modified xsi:type="dcterms:W3CDTF">2024-07-22T10:25:00Z</dcterms:modified>
</cp:coreProperties>
</file>