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0"/>
          <w:szCs w:val="30"/>
        </w:rPr>
        <w:t xml:space="preserve">Operationalizing the Soil-Food-Body Nutrient Pathway in Kenya</w:t>
      </w:r>
    </w:p>
    <w:p>
      <w:pPr>
        <w:spacing w:after="40"/>
      </w:pPr>
      <w:r>
        <w:rPr>
          <w:rFonts w:ascii="Arial" w:cs="Arial" w:eastAsia="Arial" w:hAnsi="Arial"/>
          <w:color w:val="404040"/>
          <w:sz w:val="21"/>
          <w:szCs w:val="21"/>
        </w:rPr>
        <w:t xml:space="preserve">An empirical strategy for a county-level analysis of food systems transformation</w:t>
      </w:r>
    </w:p>
    <w:p>
      <w:pPr>
        <w:spacing w:after="160"/>
      </w:pPr>
      <w:r>
        <w:rPr>
          <w:rFonts w:ascii="Arial" w:cs="Arial" w:eastAsia="Arial" w:hAnsi="Arial"/>
          <w:color w:val="808080"/>
          <w:sz w:val="19"/>
          <w:szCs w:val="19"/>
        </w:rPr>
        <w:t xml:space="preserve">Prepared by Aboubacar HEMA  |  IFPRI  |  June 2026</w:t>
      </w:r>
    </w:p>
    <w:p>
      <w:pPr>
        <w:spacing w:after="120" w:line="264"/>
        <w:jc w:val="both"/>
      </w:pPr>
      <w:r>
        <w:rPr>
          <w:rFonts w:ascii="Arial" w:cs="Arial" w:eastAsia="Arial" w:hAnsi="Arial"/>
          <w:b/>
          <w:bCs/>
          <w:sz w:val="21"/>
          <w:szCs w:val="21"/>
        </w:rPr>
        <w:t xml:space="preserve">Scope. </w:t>
      </w:r>
      <w:r>
        <w:rPr>
          <w:rFonts w:ascii="Arial" w:cs="Arial" w:eastAsia="Arial" w:hAnsi="Arial"/>
          <w:sz w:val="21"/>
          <w:szCs w:val="21"/>
        </w:rPr>
        <w:t xml:space="preserve">This note sets out a submission-quality empirical strategy that operationalizes the soil-food-body nutrient framework for Kenya at the county level. It is grounded in a database assembled for this purpose, which spans the full pathway (soil, food, body and policy) for the 47 counties. The strategy specifies the target framework in full and reports the specifications now estimated on the data in hand, Stages 1, 2 and 4 together with a lagged-outcome Stage 5 built on the 2014 and 2022 rounds, while marking the parts that remain out of reach (Stage 3 and the full dynamic system) and the forward data plan for them. Throughout, it distinguishes descriptive association from causal effect.</w:t>
      </w:r>
    </w:p>
    <w:p>
      <w:pPr>
        <w:spacing w:after="60" w:before="6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00450"/>
                    </a:xfrm>
                    <a:prstGeom prst="rect">
                      <a:avLst/>
                    </a:prstGeom>
                  </pic:spPr>
                </pic:pic>
              </a:graphicData>
            </a:graphic>
          </wp:inline>
        </w:drawing>
      </w:r>
    </w:p>
    <w:p>
      <w:pPr>
        <w:spacing w:after="120"/>
        <w:jc w:val="center"/>
      </w:pPr>
      <w:r>
        <w:rPr>
          <w:rFonts w:ascii="Arial" w:cs="Arial" w:eastAsia="Arial" w:hAnsi="Arial"/>
          <w:i/>
          <w:iCs/>
          <w:color w:val="404040"/>
          <w:sz w:val="17"/>
          <w:szCs w:val="17"/>
        </w:rPr>
        <w:t xml:space="preserve">Figure 1. The Kenya soil-food-body nutrient pathway. Stages 1-3 are estimable cross-sectionally with current data; Stages 4-5 require the county policy panel set out in the forward data plan.</w:t>
      </w:r>
    </w:p>
    <w:p>
      <w:r>
        <w:br w:type="page"/>
      </w:r>
    </w:p>
    <w:p>
      <w:pPr>
        <w:pStyle w:val="Heading1"/>
      </w:pPr>
      <w:r>
        <w:rPr>
          <w:rFonts w:ascii="Arial" w:cs="Arial" w:eastAsia="Arial" w:hAnsi="Arial"/>
        </w:rPr>
        <w:t xml:space="preserve">1. Kenya case study rationale</w:t>
      </w:r>
    </w:p>
    <w:p>
      <w:pPr>
        <w:spacing w:after="120" w:line="264"/>
        <w:jc w:val="both"/>
      </w:pPr>
      <w:r>
        <w:rPr>
          <w:rFonts w:ascii="Arial" w:cs="Arial" w:eastAsia="Arial" w:hAnsi="Arial"/>
          <w:sz w:val="21"/>
          <w:szCs w:val="21"/>
        </w:rPr>
        <w:t xml:space="preserve">Kenya is an unusually strong case for operationalizing the soil-food-body framework. Child undernutrition remains high and spatially uneven: national child stunting is about 18 percent in the 2022 Demographic and Health Survey, but the county range is wide, from roughly 8 percent to 37 percent, which provides the cross-sectional variation an empirical test requires. Soil conditions vary sharply across the high-potential highlands, the lake basin and the arid and semi-arid lands, generating independent variation in the upstream state variable. Devolution makes the county the operational unit of agricultural and nutrition policy, so a county-level analysis maps directly onto the level at which budgets are set and programs are delivered. Finally, Kenya has an explicit food systems agenda, the Food Systems and Land Use Action Plan 2024-2030, that names targets and instruments, giving the analysis a concrete policy object.</w:t>
      </w:r>
    </w:p>
    <w:p>
      <w:pPr>
        <w:spacing w:after="120" w:line="264"/>
        <w:jc w:val="both"/>
      </w:pPr>
      <w:r>
        <w:rPr>
          <w:rFonts w:ascii="Arial" w:cs="Arial" w:eastAsia="Arial" w:hAnsi="Arial"/>
          <w:sz w:val="21"/>
          <w:szCs w:val="21"/>
        </w:rPr>
        <w:t xml:space="preserve">The distinctive opportunity is data. For this study a reproducible, provenance-tracked pipeline assembled gridded soil properties, national and county crop production, a national food composition table, market prices, the full 2019 census denominators, the 2022 DHS child anthropometry computed from microdata, and the structured policy document, all aligned to one county crosswalk. This is, to our knowledge, the first county-scale dataset that links every node of the pathway for Kenya, and it is what makes an empirical implementation feasible rather than purely conceptual.</w:t>
      </w:r>
    </w:p>
    <w:p>
      <w:pPr>
        <w:pStyle w:val="Heading1"/>
      </w:pPr>
      <w:r>
        <w:rPr>
          <w:rFonts w:ascii="Arial" w:cs="Arial" w:eastAsia="Arial" w:hAnsi="Arial"/>
        </w:rPr>
        <w:t xml:space="preserve">2. Data sources and variable construction</w:t>
      </w:r>
    </w:p>
    <w:p>
      <w:pPr>
        <w:spacing w:after="120" w:line="264"/>
        <w:jc w:val="both"/>
      </w:pPr>
      <w:r>
        <w:rPr>
          <w:rFonts w:ascii="Arial" w:cs="Arial" w:eastAsia="Arial" w:hAnsi="Arial"/>
          <w:b/>
          <w:bCs/>
          <w:sz w:val="21"/>
          <w:szCs w:val="21"/>
        </w:rPr>
        <w:t xml:space="preserve">Conceptual data architecture. </w:t>
      </w:r>
      <w:r>
        <w:rPr>
          <w:rFonts w:ascii="Arial" w:cs="Arial" w:eastAsia="Arial" w:hAnsi="Arial"/>
          <w:sz w:val="21"/>
          <w:szCs w:val="21"/>
        </w:rPr>
        <w:t xml:space="preserve">The unit of analysis is the county. Every source is keyed to a master crosswalk built from the OCHA COD-AB boundaries (47 counties, 290 sub-counties) by normalised-name matching, and is organised into five layers (geography, soil, food, health, policy) in a single database with a provenance record on every object. The layers are merged on the county key into one analytical table of 45 fields that is the input to estimation.</w:t>
      </w:r>
    </w:p>
    <w:p>
      <w:pPr>
        <w:spacing w:after="120" w:line="264"/>
        <w:jc w:val="both"/>
      </w:pPr>
      <w:r>
        <w:rPr>
          <w:rFonts w:ascii="Arial" w:cs="Arial" w:eastAsia="Arial" w:hAnsi="Arial"/>
          <w:b/>
          <w:bCs/>
          <w:sz w:val="21"/>
          <w:szCs w:val="21"/>
        </w:rPr>
        <w:t xml:space="preserve">Data inventory. </w:t>
      </w:r>
      <w:r>
        <w:rPr>
          <w:rFonts w:ascii="Arial" w:cs="Arial" w:eastAsia="Arial" w:hAnsi="Arial"/>
          <w:sz w:val="21"/>
          <w:szCs w:val="21"/>
        </w:rPr>
        <w:t xml:space="preserve">Table 1 lists the sources behind each state variable, with spatial level, time coverage, access and current status. It is explicit about what is in hand and what remains to be assembled.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350"/>
        <w:gridCol w:w="1200"/>
        <w:gridCol w:w="2010"/>
      </w:tblGrid>
      <w:tr>
        <w:trPr>
          <w:tblHeader/>
        </w:trPr>
        <w:tc>
          <w:tcPr>
            <w:tcW w:type="dxa" w:w="23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Source</w:t>
            </w:r>
          </w:p>
        </w:tc>
        <w:tc>
          <w:tcPr>
            <w:tcW w:type="dxa" w:w="2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Variables</w:t>
            </w:r>
          </w:p>
        </w:tc>
        <w:tc>
          <w:tcPr>
            <w:tcW w:type="dxa" w:w="13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Level</w:t>
            </w:r>
          </w:p>
        </w:tc>
        <w:tc>
          <w:tcPr>
            <w:tcW w:type="dxa" w:w="12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Time</w:t>
            </w:r>
          </w:p>
        </w:tc>
        <w:tc>
          <w:tcPr>
            <w:tcW w:type="dxa" w:w="201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Access / status</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ISRIC SoilGrids 250 m</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SOC, total N, pH, CEC, texture (0-30 cm)</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county (gridded)</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static (2020)</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open; acquired 47/47</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iSDAsoil 30 m</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P, K, Zn, Fe (extractable)</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 (gridded)</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static (2021)</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open (GEE); acquired 47/47</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AfSIS / SoilHive points</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 K, Zn, Fe</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point</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various</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open / agreement; 2/47 (sparse sentinel validation set)</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NAPR 2024</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crop area and production by crop</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2019-2023</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open; acquired (9-10 crops)</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KFCT 2018</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food nutrient composition</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food item</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static</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open; acquired (572 foods)</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FAOSTAT</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production, food balance sheets</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national</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1961-2025</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open; acquired</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WFP prices (HDX)</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retail maize price and volatility</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market to county</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2006-2026</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open; acquired (17/47 counties)</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2019 KPHC census</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population, households, density</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 / sub-county</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2019</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open; acquired 47/47</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2019 census agriculture</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agricultural land, farming households</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county / sub-county</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2019</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open; acquired 47/47</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KDHS 2022 (children recode)</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stunting, wasting, underweight</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 (from microdata)</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2022</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registration; acquired 47/47</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KDHS 2022 (extendable)</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dietary diversity (IYCF), wealth, maternal education, WASH</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individual to county</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2022</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registration; extracted (MDD and wealth / education / WASH controls)</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KDHS 2014 (phase 72)</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stunting, wasting, underweight; 2014 to 2022 trend</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 (from microdata)</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2014</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registration; acquired 47/47 (no anaemia module)</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World Bank HNP</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health and nutrition indicators</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national</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panel</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open; acquired</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Action Plan 2024-2030</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budget, targets, county nutrition</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national + 4 counties</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2024</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open; acquired</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Fertilizer subsidy rollout (NFSP)</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staggered county entry 2023-2024 (the instrument)</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county</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2023-2024</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public record; assembled 47/47</w:t>
            </w:r>
          </w:p>
        </w:tc>
      </w:tr>
      <w:tr>
        <w:tc>
          <w:tcPr>
            <w:tcW w:type="dxa" w:w="23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Controller of Budget CBIRR</w:t>
            </w:r>
          </w:p>
        </w:tc>
        <w:tc>
          <w:tcPr>
            <w:tcW w:type="dxa" w:w="2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 agricultural expenditure</w:t>
            </w:r>
          </w:p>
        </w:tc>
        <w:tc>
          <w:tcPr>
            <w:tcW w:type="dxa" w:w="13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w:t>
            </w:r>
          </w:p>
        </w:tc>
        <w:tc>
          <w:tcPr>
            <w:tcW w:type="dxa" w:w="12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FY2013/14 onward</w:t>
            </w:r>
          </w:p>
        </w:tc>
        <w:tc>
          <w:tcPr>
            <w:tcW w:type="dxa" w:w="2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open; scaffolded, ingests CSVs</w:t>
            </w:r>
          </w:p>
        </w:tc>
      </w:tr>
      <w:tr>
        <w:tc>
          <w:tcPr>
            <w:tcW w:type="dxa" w:w="23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Remote sensing (CHIRPS, NDVI, drought)</w:t>
            </w:r>
          </w:p>
        </w:tc>
        <w:tc>
          <w:tcPr>
            <w:tcW w:type="dxa" w:w="2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rainfall, vegetation, degradation</w:t>
            </w:r>
          </w:p>
        </w:tc>
        <w:tc>
          <w:tcPr>
            <w:tcW w:type="dxa" w:w="13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gridded to county</w:t>
            </w:r>
          </w:p>
        </w:tc>
        <w:tc>
          <w:tcPr>
            <w:tcW w:type="dxa" w:w="1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time series</w:t>
            </w:r>
          </w:p>
        </w:tc>
        <w:tc>
          <w:tcPr>
            <w:tcW w:type="dxa" w:w="2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open (GEE / CHC); built to county by zonal stats (acquired 47/47)</w:t>
            </w:r>
          </w:p>
        </w:tc>
      </w:tr>
    </w:tbl>
    <w:p>
      <w:pPr>
        <w:spacing w:after="120"/>
        <w:jc w:val="center"/>
      </w:pPr>
      <w:r>
        <w:rPr>
          <w:rFonts w:ascii="Arial" w:cs="Arial" w:eastAsia="Arial" w:hAnsi="Arial"/>
          <w:i/>
          <w:iCs/>
          <w:color w:val="404040"/>
          <w:sz w:val="17"/>
          <w:szCs w:val="17"/>
        </w:rPr>
        <w:t xml:space="preserve">Table 1. Kenya data inventory for the soil-food-body pathway.</w:t>
      </w:r>
    </w:p>
    <w:p>
      <w:pPr>
        <w:spacing w:after="120" w:line="264"/>
        <w:jc w:val="both"/>
      </w:pPr>
      <w:r>
        <w:rPr>
          <w:rFonts w:ascii="Arial" w:cs="Arial" w:eastAsia="Arial" w:hAnsi="Arial"/>
          <w:b/>
          <w:bCs/>
          <w:sz w:val="21"/>
          <w:szCs w:val="21"/>
        </w:rPr>
        <w:t xml:space="preserve">Variable construction. </w:t>
      </w:r>
      <w:r>
        <w:rPr>
          <w:rFonts w:ascii="Arial" w:cs="Arial" w:eastAsia="Arial" w:hAnsi="Arial"/>
          <w:sz w:val="21"/>
          <w:szCs w:val="21"/>
        </w:rPr>
        <w:t xml:space="preserve">Each state vector is built as follows; alternative constructions are carried as robustness checks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1700"/>
        <w:gridCol w:w="4010"/>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Vector</w:t>
            </w:r>
          </w:p>
        </w:tc>
        <w:tc>
          <w:tcPr>
            <w:tcW w:type="dxa" w:w="21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Construct</w:t>
            </w:r>
          </w:p>
        </w:tc>
        <w:tc>
          <w:tcPr>
            <w:tcW w:type="dxa" w:w="17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Source</w:t>
            </w:r>
          </w:p>
        </w:tc>
        <w:tc>
          <w:tcPr>
            <w:tcW w:type="dxa" w:w="401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Method</w:t>
            </w:r>
          </w:p>
        </w:tc>
      </w:tr>
      <w:tr>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Soil index S</w:t>
            </w:r>
          </w:p>
        </w:tc>
        <w:tc>
          <w:tcPr>
            <w:tcW w:type="dxa" w:w="21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Soil Nutrient and Health Index</w:t>
            </w:r>
          </w:p>
        </w:tc>
        <w:tc>
          <w:tcPr>
            <w:tcW w:type="dxa" w:w="17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SoilGrids + iSDA</w:t>
            </w:r>
          </w:p>
        </w:tc>
        <w:tc>
          <w:tcPr>
            <w:tcW w:type="dxa" w:w="4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standardize the fertility-positive properties (SOC, total N, CEC and the iSDA extractable micronutrients P, K, Zn, Fe) to z-scores and average; pH entered as distance from agronomic optimum; PCA and target-gap variants; 0-30 cm thickness-weighted</w:t>
            </w:r>
          </w:p>
        </w:tc>
      </w:tr>
      <w:tr>
        <w:tc>
          <w:tcPr>
            <w:tcW w:type="dxa" w:w="1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Food density F</w:t>
            </w:r>
          </w:p>
        </w:tc>
        <w:tc>
          <w:tcPr>
            <w:tcW w:type="dxa" w:w="21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Food Nutrient Density Index</w:t>
            </w:r>
          </w:p>
        </w:tc>
        <w:tc>
          <w:tcPr>
            <w:tcW w:type="dxa" w:w="17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NAPR x KFCT</w:t>
            </w:r>
          </w:p>
        </w:tc>
        <w:tc>
          <w:tcPr>
            <w:tcW w:type="dxa" w:w="4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supply = production quantity x nutrient content per unit, summed across crops, per capita; per-nutrient supplies (energy, protein, iron, zinc, vitamin A, folate, calcium), a composite, and a per-1000-kcal density variant</w:t>
            </w:r>
          </w:p>
        </w:tc>
      </w:tr>
      <w:tr>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Body B</w:t>
            </w:r>
          </w:p>
        </w:tc>
        <w:tc>
          <w:tcPr>
            <w:tcW w:type="dxa" w:w="21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child anthropometry and maternal BMI</w:t>
            </w:r>
          </w:p>
        </w:tc>
        <w:tc>
          <w:tcPr>
            <w:tcW w:type="dxa" w:w="17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KDHS 2022 + 2014</w:t>
            </w:r>
          </w:p>
        </w:tc>
        <w:tc>
          <w:tcPr>
            <w:tcW w:type="dxa" w:w="4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survey-weighted county prevalence of stunting, wasting, underweight (2022 and 2014) and maternal BMI; child-level z-scores retained for multilevel models</w:t>
            </w:r>
          </w:p>
        </w:tc>
      </w:tr>
      <w:tr>
        <w:tc>
          <w:tcPr>
            <w:tcW w:type="dxa" w:w="1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Body B (extend)</w:t>
            </w:r>
          </w:p>
        </w:tc>
        <w:tc>
          <w:tcPr>
            <w:tcW w:type="dxa" w:w="21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minimum dietary diversity</w:t>
            </w:r>
          </w:p>
        </w:tc>
        <w:tc>
          <w:tcPr>
            <w:tcW w:type="dxa" w:w="17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KDHS IYCF module</w:t>
            </w:r>
          </w:p>
        </w:tc>
        <w:tc>
          <w:tcPr>
            <w:tcW w:type="dxa" w:w="4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survey-weighted county MDD (6-23 months); extracted</w:t>
            </w:r>
          </w:p>
        </w:tc>
      </w:tr>
      <w:tr>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Controls X</w:t>
            </w:r>
          </w:p>
        </w:tc>
        <w:tc>
          <w:tcPr>
            <w:tcW w:type="dxa" w:w="21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rainfall, drought, NDVI; wealth, education, WASH, diarrhoea, vitamin A, crop diversity</w:t>
            </w:r>
          </w:p>
        </w:tc>
        <w:tc>
          <w:tcPr>
            <w:tcW w:type="dxa" w:w="17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CHIRPS / MODIS; KDHS; NAPR</w:t>
            </w:r>
          </w:p>
        </w:tc>
        <w:tc>
          <w:tcPr>
            <w:tcW w:type="dxa" w:w="4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county zonal statistics; survey-weighted county means and shares; Shannon crop diversity</w:t>
            </w:r>
          </w:p>
        </w:tc>
      </w:tr>
      <w:tr>
        <w:tc>
          <w:tcPr>
            <w:tcW w:type="dxa" w:w="1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Health H</w:t>
            </w:r>
          </w:p>
        </w:tc>
        <w:tc>
          <w:tcPr>
            <w:tcW w:type="dxa" w:w="21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child growth, productivity proxies</w:t>
            </w:r>
          </w:p>
        </w:tc>
        <w:tc>
          <w:tcPr>
            <w:tcW w:type="dxa" w:w="17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WB HNP, MoH</w:t>
            </w:r>
          </w:p>
        </w:tc>
        <w:tc>
          <w:tcPr>
            <w:tcW w:type="dxa" w:w="4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as available at county level (no distinct county health outcome yet, so Stage 3 is not estimated)</w:t>
            </w:r>
          </w:p>
        </w:tc>
      </w:tr>
      <w:tr>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Policy P</w:t>
            </w:r>
          </w:p>
        </w:tc>
        <w:tc>
          <w:tcPr>
            <w:tcW w:type="dxa" w:w="21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Policy Signal Index and sub-indices</w:t>
            </w:r>
          </w:p>
        </w:tc>
        <w:tc>
          <w:tcPr>
            <w:tcW w:type="dxa" w:w="17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Fertilizer rollout + CBIRR + Action Plan</w:t>
            </w:r>
          </w:p>
        </w:tc>
        <w:tc>
          <w:tcPr>
            <w:tcW w:type="dxa" w:w="401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fertilizer-rollout priority and agricultural expenditure intensity z-scored into a Policy Signal Index, with a soil-food sub-signal; target-gap weighting; built</w:t>
            </w:r>
          </w:p>
        </w:tc>
      </w:tr>
      <w:tr>
        <w:tc>
          <w:tcPr>
            <w:tcW w:type="dxa" w:w="15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Gaps G</w:t>
            </w:r>
          </w:p>
        </w:tc>
        <w:tc>
          <w:tcPr>
            <w:tcW w:type="dxa" w:w="21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deviation from targets</w:t>
            </w:r>
          </w:p>
        </w:tc>
        <w:tc>
          <w:tcPr>
            <w:tcW w:type="dxa" w:w="17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each vector</w:t>
            </w:r>
          </w:p>
        </w:tc>
        <w:tc>
          <w:tcPr>
            <w:tcW w:type="dxa" w:w="401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target-gap scaling against national, WHO, SDG and Kenya policy targets</w:t>
            </w:r>
          </w:p>
        </w:tc>
      </w:tr>
    </w:tbl>
    <w:p>
      <w:pPr>
        <w:spacing w:after="120"/>
        <w:jc w:val="center"/>
      </w:pPr>
      <w:r>
        <w:rPr>
          <w:rFonts w:ascii="Arial" w:cs="Arial" w:eastAsia="Arial" w:hAnsi="Arial"/>
          <w:i/>
          <w:iCs/>
          <w:color w:val="404040"/>
          <w:sz w:val="17"/>
          <w:szCs w:val="17"/>
        </w:rPr>
        <w:t xml:space="preserve">Table 2. Variable-construction guide.</w:t>
      </w:r>
    </w:p>
    <w:p>
      <w:pPr>
        <w:spacing w:after="120" w:line="264"/>
        <w:jc w:val="both"/>
      </w:pPr>
      <w:r>
        <w:rPr>
          <w:rFonts w:ascii="Arial" w:cs="Arial" w:eastAsia="Arial" w:hAnsi="Arial"/>
          <w:b/>
          <w:bCs/>
          <w:sz w:val="21"/>
          <w:szCs w:val="21"/>
        </w:rPr>
        <w:t xml:space="preserve">Honest constraints. </w:t>
      </w:r>
      <w:r>
        <w:rPr>
          <w:rFonts w:ascii="Arial" w:cs="Arial" w:eastAsia="Arial" w:hAnsi="Arial"/>
          <w:sz w:val="21"/>
          <w:szCs w:val="21"/>
        </w:rPr>
        <w:t xml:space="preserve">The framework is now largely instrumented, with four points stated up front. The county soil vector covers the SoilGrids macro-properties (organic carbon, nitrogen, pH, CEC, texture) and the extractable micronutrients central to the framework (phosphorus, potassium, zinc, iron), which the gridded iSDAsoil layer now supplies for all 47 counties; the sparse AfSIS sentinel-site points (two counties) are retained as an independent validation set rather than as the primary source. The food nutrient density index is a production-based availability proxy, not measured consumption, built from the NAPR staples, so it abstracts from animal-source and purchased foods, trade, post-harvest loss and within-county distribution. On the body side, neither the 2022 nor the 2014 KDHS measured haemoglobin, so anaemia is unavailable from the DHS entirely; Kenyan anaemia was carried by the 2010 and 2015 Malaria Indicator Surveys, which are malaria-frame and not county-representative, so anaemia is treated as a documented gap rather than a pending download. What the surveys do supply is now extracted to county: stunting, wasting and underweight for both 2022 and 2014 (a genuine second time point and a 2014-to-2022 trend), minimum dietary diversity, maternal BMI, diarrhoea and vitamin A supplementation, and the wealth, education and WASH controls, alongside rainfall, drought and vegetation from CHIRPS and MODIS and a Shannon crop-diversity measure. A full variable-by-variable readiness audit accompanies this note in the data dictionary workbook.</w:t>
      </w:r>
    </w:p>
    <w:p>
      <w:pPr>
        <w:pStyle w:val="Heading1"/>
      </w:pPr>
      <w:r>
        <w:rPr>
          <w:rFonts w:ascii="Arial" w:cs="Arial" w:eastAsia="Arial" w:hAnsi="Arial"/>
        </w:rPr>
        <w:t xml:space="preserve">3. Empirical identification strategy</w:t>
      </w:r>
    </w:p>
    <w:p>
      <w:pPr>
        <w:spacing w:after="120" w:line="264"/>
        <w:jc w:val="both"/>
      </w:pPr>
      <w:r>
        <w:rPr>
          <w:rFonts w:ascii="Arial" w:cs="Arial" w:eastAsia="Arial" w:hAnsi="Arial"/>
          <w:sz w:val="21"/>
          <w:szCs w:val="21"/>
        </w:rPr>
        <w:t xml:space="preserve">The pathway is a chain of jointly determined outcomes, so naive regressions confound several mechanisms: reverse causality (wealthier, healthier counties invest more in soil and diets), omitted agroecology and market access, and measurement error (SoilGrids is modeled, DHS county estimates carry sampling error). The identification strategy addresses these in order of feasibility.</w:t>
      </w:r>
    </w:p>
    <w:p>
      <w:pPr>
        <w:spacing w:after="120" w:line="264"/>
        <w:jc w:val="both"/>
      </w:pPr>
      <w:r>
        <w:rPr>
          <w:rFonts w:ascii="Arial" w:cs="Arial" w:eastAsia="Arial" w:hAnsi="Arial"/>
          <w:b/>
          <w:bCs/>
          <w:sz w:val="21"/>
          <w:szCs w:val="21"/>
        </w:rPr>
        <w:t xml:space="preserve">Time-invariant soil and the fixed-effects problem. </w:t>
      </w:r>
      <w:r>
        <w:rPr>
          <w:rFonts w:ascii="Arial" w:cs="Arial" w:eastAsia="Arial" w:hAnsi="Arial"/>
          <w:sz w:val="21"/>
          <w:szCs w:val="21"/>
        </w:rPr>
        <w:t xml:space="preserve">Because SoilGrids is a single cross-section, soil is time-invariant. A county fixed-effects panel therefore cannot identify the soil coefficient: its effect is absorbed by the county dummy. Soil effects are consequently identified between counties, not within them. The primary soil-stage specification is cross-sectional (or a between-estimator, or random effects with a Mundlak correction), conditioning on agroecological zone, long-run rainfall and market access rather than on county fixed effects. This is a deliberate departure from the canonical panel form and is dictated by the data.</w:t>
      </w:r>
    </w:p>
    <w:p>
      <w:pPr>
        <w:spacing w:after="120" w:line="264"/>
        <w:jc w:val="both"/>
      </w:pPr>
      <w:r>
        <w:rPr>
          <w:rFonts w:ascii="Arial" w:cs="Arial" w:eastAsia="Arial" w:hAnsi="Arial"/>
          <w:b/>
          <w:bCs/>
          <w:sz w:val="21"/>
          <w:szCs w:val="21"/>
        </w:rPr>
        <w:t xml:space="preserve">Instrumental variation. </w:t>
      </w:r>
      <w:r>
        <w:rPr>
          <w:rFonts w:ascii="Arial" w:cs="Arial" w:eastAsia="Arial" w:hAnsi="Arial"/>
          <w:sz w:val="21"/>
          <w:szCs w:val="21"/>
        </w:rPr>
        <w:t xml:space="preserve">Where causal claims are sought, candidate instruments are mapped to the stage they serve: geological parent material, long-run soil endowment and agroecological suitability as instruments for the soil index and, through it, for food nutrient density in the body equation (the exclusion restriction being that deep soil endowment affects child nutrition only through food, which must be defended against the concern that soil correlates with wealth and disease ecology); rainfall and drought shocks (CHIRPS), which are time-varying and exploit the 2019-2023 crop panel, as instruments for food availability; and the staggered rollout of the National Fertilizer Subsidy Programme, now assembled (maize-belt counties first in 2023, the remainder in 2024), which supplies a difference-in-differences and event-study instrument for the policy stage, with school feeding and fortification rollout to follow as their timing is compiled.</w:t>
      </w:r>
    </w:p>
    <w:p>
      <w:pPr>
        <w:spacing w:after="120" w:line="264"/>
        <w:jc w:val="both"/>
      </w:pPr>
      <w:r>
        <w:rPr>
          <w:rFonts w:ascii="Arial" w:cs="Arial" w:eastAsia="Arial" w:hAnsi="Arial"/>
          <w:b/>
          <w:bCs/>
          <w:sz w:val="21"/>
          <w:szCs w:val="21"/>
        </w:rPr>
        <w:t xml:space="preserve">Individual-level identification. </w:t>
      </w:r>
      <w:r>
        <w:rPr>
          <w:rFonts w:ascii="Arial" w:cs="Arial" w:eastAsia="Arial" w:hAnsi="Arial"/>
          <w:sz w:val="21"/>
          <w:szCs w:val="21"/>
        </w:rPr>
        <w:t xml:space="preserve">Because the DHS microdata are in hand, the food-to-body stage is best estimated at the child level, with children nested in counties and the county soil and food indices merged onto each child. Multilevel (mixed) models with county random effects and rich individual controls (household wealth, maternal education, water and sanitation, child age and sex, birth order) reduce the ecological-inference bias of county-aggregate regressions and sharpen the mediation analysis. This is a central methodological strength of the design.</w:t>
      </w:r>
    </w:p>
    <w:p>
      <w:pPr>
        <w:spacing w:after="120" w:line="264"/>
        <w:jc w:val="both"/>
      </w:pPr>
      <w:r>
        <w:rPr>
          <w:rFonts w:ascii="Arial" w:cs="Arial" w:eastAsia="Arial" w:hAnsi="Arial"/>
          <w:b/>
          <w:bCs/>
          <w:sz w:val="21"/>
          <w:szCs w:val="21"/>
        </w:rPr>
        <w:t xml:space="preserve">Spatial dependence. </w:t>
      </w:r>
      <w:r>
        <w:rPr>
          <w:rFonts w:ascii="Arial" w:cs="Arial" w:eastAsia="Arial" w:hAnsi="Arial"/>
          <w:sz w:val="21"/>
          <w:szCs w:val="21"/>
        </w:rPr>
        <w:t xml:space="preserve">Counties are spatially autocorrelated in both soil and nutrition. Spatial lag and spatial error models, and Conley spatial-HAC standard errors, guard against understated uncertainty and capture cross-county spillovers (Section 6).</w:t>
      </w:r>
    </w:p>
    <w:p>
      <w:pPr>
        <w:spacing w:after="120" w:line="264"/>
        <w:jc w:val="both"/>
      </w:pPr>
      <w:r>
        <w:rPr>
          <w:rFonts w:ascii="Arial" w:cs="Arial" w:eastAsia="Arial" w:hAnsi="Arial"/>
          <w:b/>
          <w:bCs/>
          <w:sz w:val="21"/>
          <w:szCs w:val="21"/>
        </w:rPr>
        <w:t xml:space="preserve">Statement on causality. </w:t>
      </w:r>
      <w:r>
        <w:rPr>
          <w:rFonts w:ascii="Arial" w:cs="Arial" w:eastAsia="Arial" w:hAnsi="Arial"/>
          <w:sz w:val="21"/>
          <w:szCs w:val="21"/>
        </w:rPr>
        <w:t xml:space="preserve">With a single cross-section of body outcomes and time-invariant soil, Stages 1-3 yield conditional associations absent valid instruments. Causal interpretation rests on the instrumental and panel extensions set out here and on the forward data plan. The default reporting standard is heteroskedasticity-robust (HC3) and spatial standard errors, with associations described as conditional gradients rather than effects.</w:t>
      </w:r>
    </w:p>
    <w:p>
      <w:pPr>
        <w:pStyle w:val="Heading1"/>
      </w:pPr>
      <w:r>
        <w:rPr>
          <w:rFonts w:ascii="Arial" w:cs="Arial" w:eastAsia="Arial" w:hAnsi="Arial"/>
        </w:rPr>
        <w:t xml:space="preserve">4. Econometric specification</w:t>
      </w:r>
    </w:p>
    <w:p>
      <w:pPr>
        <w:spacing w:after="120" w:line="264"/>
        <w:jc w:val="both"/>
      </w:pPr>
      <w:r>
        <w:rPr>
          <w:rFonts w:ascii="Arial" w:cs="Arial" w:eastAsia="Arial" w:hAnsi="Arial"/>
          <w:sz w:val="21"/>
          <w:szCs w:val="21"/>
        </w:rPr>
        <w:t xml:space="preserve">The framework is estimated in three measurement stages along the pathway, each given in its general panel form and in the feasible specification.</w:t>
      </w:r>
    </w:p>
    <w:p>
      <w:pPr>
        <w:pStyle w:val="Heading2"/>
      </w:pPr>
      <w:r>
        <w:rPr>
          <w:rFonts w:ascii="Arial" w:cs="Arial" w:eastAsia="Arial" w:hAnsi="Arial"/>
        </w:rPr>
        <w:t xml:space="preserve">Stage 1: soil to food nutrient density</w:t>
      </w:r>
    </w:p>
    <w:p>
      <w:pPr>
        <w:spacing w:after="120" w:before="40"/>
        <w:jc w:val="center"/>
      </w:pPr>
      <w:r>
        <w:rPr>
          <w:rFonts w:ascii="Arial" w:cs="Arial" w:eastAsia="Arial" w:hAnsi="Arial"/>
          <w:i/>
          <w:iCs/>
          <w:sz w:val="21"/>
          <w:szCs w:val="21"/>
        </w:rPr>
        <w:t xml:space="preserve">F</w:t>
      </w:r>
      <w:r>
        <w:rPr>
          <w:rFonts w:ascii="Arial" w:cs="Arial" w:eastAsia="Arial" w:hAnsi="Arial"/>
          <w:i/>
          <w:iCs/>
          <w:sz w:val="21"/>
          <w:szCs w:val="21"/>
          <w:vertAlign w:val="subscript"/>
        </w:rPr>
        <w:t xml:space="preserve">it</w:t>
      </w:r>
      <w:r>
        <w:rPr>
          <w:rFonts w:ascii="Arial" w:cs="Arial" w:eastAsia="Arial" w:hAnsi="Arial"/>
          <w:sz w:val="21"/>
          <w:szCs w:val="21"/>
        </w:rPr>
        <w:t xml:space="preserve"> = α + β </w:t>
      </w:r>
      <w:r>
        <w:rPr>
          <w:rFonts w:ascii="Arial" w:cs="Arial" w:eastAsia="Arial" w:hAnsi="Arial"/>
          <w:i/>
          <w:iCs/>
          <w:sz w:val="21"/>
          <w:szCs w:val="21"/>
        </w:rPr>
        <w:t xml:space="preserve">S</w:t>
      </w:r>
      <w:r>
        <w:rPr>
          <w:rFonts w:ascii="Arial" w:cs="Arial" w:eastAsia="Arial" w:hAnsi="Arial"/>
          <w:i/>
          <w:iCs/>
          <w:sz w:val="21"/>
          <w:szCs w:val="21"/>
          <w:vertAlign w:val="subscript"/>
        </w:rPr>
        <w:t xml:space="preserve">it</w:t>
      </w:r>
      <w:r>
        <w:rPr>
          <w:rFonts w:ascii="Arial" w:cs="Arial" w:eastAsia="Arial" w:hAnsi="Arial"/>
          <w:sz w:val="21"/>
          <w:szCs w:val="21"/>
        </w:rPr>
        <w:t xml:space="preserve"> + γ </w:t>
      </w:r>
      <w:r>
        <w:rPr>
          <w:rFonts w:ascii="Arial" w:cs="Arial" w:eastAsia="Arial" w:hAnsi="Arial"/>
          <w:i/>
          <w:iCs/>
          <w:sz w:val="21"/>
          <w:szCs w:val="21"/>
        </w:rPr>
        <w:t xml:space="preserve">X</w:t>
      </w:r>
      <w:r>
        <w:rPr>
          <w:rFonts w:ascii="Arial" w:cs="Arial" w:eastAsia="Arial" w:hAnsi="Arial"/>
          <w:i/>
          <w:iCs/>
          <w:sz w:val="21"/>
          <w:szCs w:val="21"/>
          <w:vertAlign w:val="subscript"/>
        </w:rPr>
        <w:t xml:space="preserve">it</w:t>
      </w:r>
      <w:r>
        <w:rPr>
          <w:rFonts w:ascii="Arial" w:cs="Arial" w:eastAsia="Arial" w:hAnsi="Arial"/>
          <w:sz w:val="21"/>
          <w:szCs w:val="21"/>
        </w:rPr>
        <w:t xml:space="preserve"> + μ</w:t>
      </w:r>
      <w:r>
        <w:rPr>
          <w:rFonts w:ascii="Arial" w:cs="Arial" w:eastAsia="Arial" w:hAnsi="Arial"/>
          <w:i/>
          <w:iCs/>
          <w:sz w:val="21"/>
          <w:szCs w:val="21"/>
          <w:vertAlign w:val="subscript"/>
        </w:rPr>
        <w:t xml:space="preserve">i</w:t>
      </w:r>
      <w:r>
        <w:rPr>
          <w:rFonts w:ascii="Arial" w:cs="Arial" w:eastAsia="Arial" w:hAnsi="Arial"/>
          <w:sz w:val="21"/>
          <w:szCs w:val="21"/>
        </w:rPr>
        <w:t xml:space="preserve"> + δ</w:t>
      </w:r>
      <w:r>
        <w:rPr>
          <w:rFonts w:ascii="Arial" w:cs="Arial" w:eastAsia="Arial" w:hAnsi="Arial"/>
          <w:i/>
          <w:iCs/>
          <w:sz w:val="21"/>
          <w:szCs w:val="21"/>
          <w:vertAlign w:val="subscript"/>
        </w:rPr>
        <w:t xml:space="preserve">t</w:t>
      </w:r>
      <w:r>
        <w:rPr>
          <w:rFonts w:ascii="Arial" w:cs="Arial" w:eastAsia="Arial" w:hAnsi="Arial"/>
          <w:sz w:val="21"/>
          <w:szCs w:val="21"/>
        </w:rPr>
        <w:t xml:space="preserve"> + ε</w:t>
      </w:r>
      <w:r>
        <w:rPr>
          <w:rFonts w:ascii="Arial" w:cs="Arial" w:eastAsia="Arial" w:hAnsi="Arial"/>
          <w:i/>
          <w:iCs/>
          <w:sz w:val="21"/>
          <w:szCs w:val="21"/>
          <w:vertAlign w:val="subscript"/>
        </w:rPr>
        <w:t xml:space="preserve">it</w:t>
      </w:r>
    </w:p>
    <w:p>
      <w:pPr>
        <w:spacing w:after="120" w:line="264"/>
        <w:jc w:val="both"/>
      </w:pPr>
      <w:r>
        <w:rPr>
          <w:rFonts w:ascii="Arial" w:cs="Arial" w:eastAsia="Arial" w:hAnsi="Arial"/>
          <w:sz w:val="21"/>
          <w:szCs w:val="21"/>
        </w:rPr>
        <w:t xml:space="preserve">where </w:t>
      </w:r>
      <w:r>
        <w:rPr>
          <w:rFonts w:ascii="Arial" w:cs="Arial" w:eastAsia="Arial" w:hAnsi="Arial"/>
          <w:i/>
          <w:iCs/>
          <w:sz w:val="21"/>
          <w:szCs w:val="21"/>
        </w:rPr>
        <w:t xml:space="preserve">F</w:t>
      </w:r>
      <w:r>
        <w:rPr>
          <w:rFonts w:ascii="Arial" w:cs="Arial" w:eastAsia="Arial" w:hAnsi="Arial"/>
          <w:i/>
          <w:iCs/>
          <w:sz w:val="21"/>
          <w:szCs w:val="21"/>
          <w:vertAlign w:val="subscript"/>
        </w:rPr>
        <w:t xml:space="preserve">it</w:t>
      </w:r>
      <w:r>
        <w:rPr>
          <w:rFonts w:ascii="Arial" w:cs="Arial" w:eastAsia="Arial" w:hAnsi="Arial"/>
          <w:sz w:val="21"/>
          <w:szCs w:val="21"/>
        </w:rPr>
        <w:t xml:space="preserve"> is the food nutrient density index, </w:t>
      </w:r>
      <w:r>
        <w:rPr>
          <w:rFonts w:ascii="Arial" w:cs="Arial" w:eastAsia="Arial" w:hAnsi="Arial"/>
          <w:i/>
          <w:iCs/>
          <w:sz w:val="21"/>
          <w:szCs w:val="21"/>
        </w:rPr>
        <w:t xml:space="preserve">S</w:t>
      </w:r>
      <w:r>
        <w:rPr>
          <w:rFonts w:ascii="Arial" w:cs="Arial" w:eastAsia="Arial" w:hAnsi="Arial"/>
          <w:i/>
          <w:iCs/>
          <w:sz w:val="21"/>
          <w:szCs w:val="21"/>
          <w:vertAlign w:val="subscript"/>
        </w:rPr>
        <w:t xml:space="preserve">it</w:t>
      </w:r>
      <w:r>
        <w:rPr>
          <w:rFonts w:ascii="Arial" w:cs="Arial" w:eastAsia="Arial" w:hAnsi="Arial"/>
          <w:sz w:val="21"/>
          <w:szCs w:val="21"/>
        </w:rPr>
        <w:t xml:space="preserve"> the soil index, and </w:t>
      </w:r>
      <w:r>
        <w:rPr>
          <w:rFonts w:ascii="Arial" w:cs="Arial" w:eastAsia="Arial" w:hAnsi="Arial"/>
          <w:i/>
          <w:iCs/>
          <w:sz w:val="21"/>
          <w:szCs w:val="21"/>
        </w:rPr>
        <w:t xml:space="preserve">X</w:t>
      </w:r>
      <w:r>
        <w:rPr>
          <w:rFonts w:ascii="Arial" w:cs="Arial" w:eastAsia="Arial" w:hAnsi="Arial"/>
          <w:i/>
          <w:iCs/>
          <w:sz w:val="21"/>
          <w:szCs w:val="21"/>
          <w:vertAlign w:val="subscript"/>
        </w:rPr>
        <w:t xml:space="preserve">it</w:t>
      </w:r>
      <w:r>
        <w:rPr>
          <w:rFonts w:ascii="Arial" w:cs="Arial" w:eastAsia="Arial" w:hAnsi="Arial"/>
          <w:sz w:val="21"/>
          <w:szCs w:val="21"/>
        </w:rPr>
        <w:t xml:space="preserve"> controls for rainfall, agroecological zone, irrigation share, fertilizer use, crop mix, market access, population density and infrastructure. Given time-invariant soil, the feasible form is a cross-sectional county regression. This stage is now estimated across the 47 counties, with the rainfall, drought and crop-mix (Shannon diversity) controls in the fit, and is reported as a conditional gradient with HC3 errors. Hypothesis: β &gt; 0.</w:t>
      </w:r>
    </w:p>
    <w:p>
      <w:pPr>
        <w:pStyle w:val="Heading2"/>
      </w:pPr>
      <w:r>
        <w:rPr>
          <w:rFonts w:ascii="Arial" w:cs="Arial" w:eastAsia="Arial" w:hAnsi="Arial"/>
        </w:rPr>
        <w:t xml:space="preserve">Stage 2: food to body nutrients</w:t>
      </w:r>
    </w:p>
    <w:p>
      <w:pPr>
        <w:spacing w:after="120" w:before="40"/>
        <w:jc w:val="center"/>
      </w:pPr>
      <w:r>
        <w:rPr>
          <w:rFonts w:ascii="Arial" w:cs="Arial" w:eastAsia="Arial" w:hAnsi="Arial"/>
          <w:i/>
          <w:iCs/>
          <w:sz w:val="21"/>
          <w:szCs w:val="21"/>
        </w:rPr>
        <w:t xml:space="preserve">B</w:t>
      </w:r>
      <w:r>
        <w:rPr>
          <w:rFonts w:ascii="Arial" w:cs="Arial" w:eastAsia="Arial" w:hAnsi="Arial"/>
          <w:i/>
          <w:iCs/>
          <w:sz w:val="21"/>
          <w:szCs w:val="21"/>
          <w:vertAlign w:val="subscript"/>
        </w:rPr>
        <w:t xml:space="preserve">it</w:t>
      </w:r>
      <w:r>
        <w:rPr>
          <w:rFonts w:ascii="Arial" w:cs="Arial" w:eastAsia="Arial" w:hAnsi="Arial"/>
          <w:sz w:val="21"/>
          <w:szCs w:val="21"/>
        </w:rPr>
        <w:t xml:space="preserve"> = α + β </w:t>
      </w:r>
      <w:r>
        <w:rPr>
          <w:rFonts w:ascii="Arial" w:cs="Arial" w:eastAsia="Arial" w:hAnsi="Arial"/>
          <w:i/>
          <w:iCs/>
          <w:sz w:val="21"/>
          <w:szCs w:val="21"/>
        </w:rPr>
        <w:t xml:space="preserve">F̂</w:t>
      </w:r>
      <w:r>
        <w:rPr>
          <w:rFonts w:ascii="Arial" w:cs="Arial" w:eastAsia="Arial" w:hAnsi="Arial"/>
          <w:i/>
          <w:iCs/>
          <w:sz w:val="21"/>
          <w:szCs w:val="21"/>
          <w:vertAlign w:val="subscript"/>
        </w:rPr>
        <w:t xml:space="preserve">it</w:t>
      </w:r>
      <w:r>
        <w:rPr>
          <w:rFonts w:ascii="Arial" w:cs="Arial" w:eastAsia="Arial" w:hAnsi="Arial"/>
          <w:sz w:val="21"/>
          <w:szCs w:val="21"/>
        </w:rPr>
        <w:t xml:space="preserve"> + γ </w:t>
      </w:r>
      <w:r>
        <w:rPr>
          <w:rFonts w:ascii="Arial" w:cs="Arial" w:eastAsia="Arial" w:hAnsi="Arial"/>
          <w:i/>
          <w:iCs/>
          <w:sz w:val="21"/>
          <w:szCs w:val="21"/>
        </w:rPr>
        <w:t xml:space="preserve">X</w:t>
      </w:r>
      <w:r>
        <w:rPr>
          <w:rFonts w:ascii="Arial" w:cs="Arial" w:eastAsia="Arial" w:hAnsi="Arial"/>
          <w:i/>
          <w:iCs/>
          <w:sz w:val="21"/>
          <w:szCs w:val="21"/>
          <w:vertAlign w:val="subscript"/>
        </w:rPr>
        <w:t xml:space="preserve">it</w:t>
      </w:r>
      <w:r>
        <w:rPr>
          <w:rFonts w:ascii="Arial" w:cs="Arial" w:eastAsia="Arial" w:hAnsi="Arial"/>
          <w:sz w:val="21"/>
          <w:szCs w:val="21"/>
        </w:rPr>
        <w:t xml:space="preserve"> + μ</w:t>
      </w:r>
      <w:r>
        <w:rPr>
          <w:rFonts w:ascii="Arial" w:cs="Arial" w:eastAsia="Arial" w:hAnsi="Arial"/>
          <w:i/>
          <w:iCs/>
          <w:sz w:val="21"/>
          <w:szCs w:val="21"/>
          <w:vertAlign w:val="subscript"/>
        </w:rPr>
        <w:t xml:space="preserve">i</w:t>
      </w:r>
      <w:r>
        <w:rPr>
          <w:rFonts w:ascii="Arial" w:cs="Arial" w:eastAsia="Arial" w:hAnsi="Arial"/>
          <w:sz w:val="21"/>
          <w:szCs w:val="21"/>
        </w:rPr>
        <w:t xml:space="preserve"> + δ</w:t>
      </w:r>
      <w:r>
        <w:rPr>
          <w:rFonts w:ascii="Arial" w:cs="Arial" w:eastAsia="Arial" w:hAnsi="Arial"/>
          <w:i/>
          <w:iCs/>
          <w:sz w:val="21"/>
          <w:szCs w:val="21"/>
          <w:vertAlign w:val="subscript"/>
        </w:rPr>
        <w:t xml:space="preserve">t</w:t>
      </w:r>
      <w:r>
        <w:rPr>
          <w:rFonts w:ascii="Arial" w:cs="Arial" w:eastAsia="Arial" w:hAnsi="Arial"/>
          <w:sz w:val="21"/>
          <w:szCs w:val="21"/>
        </w:rPr>
        <w:t xml:space="preserve"> + ε</w:t>
      </w:r>
      <w:r>
        <w:rPr>
          <w:rFonts w:ascii="Arial" w:cs="Arial" w:eastAsia="Arial" w:hAnsi="Arial"/>
          <w:i/>
          <w:iCs/>
          <w:sz w:val="21"/>
          <w:szCs w:val="21"/>
          <w:vertAlign w:val="subscript"/>
        </w:rPr>
        <w:t xml:space="preserve">it</w:t>
      </w:r>
    </w:p>
    <w:p>
      <w:pPr>
        <w:spacing w:after="120" w:line="264"/>
        <w:jc w:val="both"/>
      </w:pPr>
      <w:r>
        <w:rPr>
          <w:rFonts w:ascii="Arial" w:cs="Arial" w:eastAsia="Arial" w:hAnsi="Arial"/>
          <w:sz w:val="21"/>
          <w:szCs w:val="21"/>
        </w:rPr>
        <w:t xml:space="preserve">where </w:t>
      </w:r>
      <w:r>
        <w:rPr>
          <w:rFonts w:ascii="Arial" w:cs="Arial" w:eastAsia="Arial" w:hAnsi="Arial"/>
          <w:i/>
          <w:iCs/>
          <w:sz w:val="21"/>
          <w:szCs w:val="21"/>
        </w:rPr>
        <w:t xml:space="preserve">B</w:t>
      </w:r>
      <w:r>
        <w:rPr>
          <w:rFonts w:ascii="Arial" w:cs="Arial" w:eastAsia="Arial" w:hAnsi="Arial"/>
          <w:i/>
          <w:iCs/>
          <w:sz w:val="21"/>
          <w:szCs w:val="21"/>
          <w:vertAlign w:val="subscript"/>
        </w:rPr>
        <w:t xml:space="preserve">it</w:t>
      </w:r>
      <w:r>
        <w:rPr>
          <w:rFonts w:ascii="Arial" w:cs="Arial" w:eastAsia="Arial" w:hAnsi="Arial"/>
          <w:sz w:val="21"/>
          <w:szCs w:val="21"/>
        </w:rPr>
        <w:t xml:space="preserve"> is a body nutrient outcome (stunting, wasting, underweight, with minimum dietary diversity now extracted) and </w:t>
      </w:r>
      <w:r>
        <w:rPr>
          <w:rFonts w:ascii="Arial" w:cs="Arial" w:eastAsia="Arial" w:hAnsi="Arial"/>
          <w:i/>
          <w:iCs/>
          <w:sz w:val="21"/>
          <w:szCs w:val="21"/>
        </w:rPr>
        <w:t xml:space="preserve">F̂</w:t>
      </w:r>
      <w:r>
        <w:rPr>
          <w:rFonts w:ascii="Arial" w:cs="Arial" w:eastAsia="Arial" w:hAnsi="Arial"/>
          <w:i/>
          <w:iCs/>
          <w:sz w:val="21"/>
          <w:szCs w:val="21"/>
          <w:vertAlign w:val="subscript"/>
        </w:rPr>
        <w:t xml:space="preserve">it</w:t>
      </w:r>
      <w:r>
        <w:rPr>
          <w:rFonts w:ascii="Arial" w:cs="Arial" w:eastAsia="Arial" w:hAnsi="Arial"/>
          <w:sz w:val="21"/>
          <w:szCs w:val="21"/>
        </w:rPr>
        <w:t xml:space="preserve"> is food nutrient density, entered directly or as a prediction from Stage 1 (control function) or instrumented. Controls include household wealth, maternal education, sanitation, disease burden (diarrhoea), dietary diversity, food prices, social protection, urban or rural status and health-service access. This stage is now estimated at the county level (n = 47) with the wealth, education, WASH and diarrhoea controls; a child-level multilevel model is the preferred extension once cluster coordinates are merged. Hypothesis: β &gt; 0, with the effect mediated by affordability, diet diversity, sanitation and disease.</w:t>
      </w:r>
    </w:p>
    <w:p>
      <w:pPr>
        <w:pStyle w:val="Heading2"/>
      </w:pPr>
      <w:r>
        <w:rPr>
          <w:rFonts w:ascii="Arial" w:cs="Arial" w:eastAsia="Arial" w:hAnsi="Arial"/>
        </w:rPr>
        <w:t xml:space="preserve">Stage 3: body nutrients to health and well-being</w:t>
      </w:r>
    </w:p>
    <w:p>
      <w:pPr>
        <w:spacing w:after="120" w:before="40"/>
        <w:jc w:val="center"/>
      </w:pPr>
      <w:r>
        <w:rPr>
          <w:rFonts w:ascii="Arial" w:cs="Arial" w:eastAsia="Arial" w:hAnsi="Arial"/>
          <w:i/>
          <w:iCs/>
          <w:sz w:val="21"/>
          <w:szCs w:val="21"/>
        </w:rPr>
        <w:t xml:space="preserve">H</w:t>
      </w:r>
      <w:r>
        <w:rPr>
          <w:rFonts w:ascii="Arial" w:cs="Arial" w:eastAsia="Arial" w:hAnsi="Arial"/>
          <w:i/>
          <w:iCs/>
          <w:sz w:val="21"/>
          <w:szCs w:val="21"/>
          <w:vertAlign w:val="subscript"/>
        </w:rPr>
        <w:t xml:space="preserve">it</w:t>
      </w:r>
      <w:r>
        <w:rPr>
          <w:rFonts w:ascii="Arial" w:cs="Arial" w:eastAsia="Arial" w:hAnsi="Arial"/>
          <w:sz w:val="21"/>
          <w:szCs w:val="21"/>
        </w:rPr>
        <w:t xml:space="preserve"> = α + β </w:t>
      </w:r>
      <w:r>
        <w:rPr>
          <w:rFonts w:ascii="Arial" w:cs="Arial" w:eastAsia="Arial" w:hAnsi="Arial"/>
          <w:i/>
          <w:iCs/>
          <w:sz w:val="21"/>
          <w:szCs w:val="21"/>
        </w:rPr>
        <w:t xml:space="preserve">B̂</w:t>
      </w:r>
      <w:r>
        <w:rPr>
          <w:rFonts w:ascii="Arial" w:cs="Arial" w:eastAsia="Arial" w:hAnsi="Arial"/>
          <w:i/>
          <w:iCs/>
          <w:sz w:val="21"/>
          <w:szCs w:val="21"/>
          <w:vertAlign w:val="subscript"/>
        </w:rPr>
        <w:t xml:space="preserve">it</w:t>
      </w:r>
      <w:r>
        <w:rPr>
          <w:rFonts w:ascii="Arial" w:cs="Arial" w:eastAsia="Arial" w:hAnsi="Arial"/>
          <w:sz w:val="21"/>
          <w:szCs w:val="21"/>
        </w:rPr>
        <w:t xml:space="preserve"> + γ </w:t>
      </w:r>
      <w:r>
        <w:rPr>
          <w:rFonts w:ascii="Arial" w:cs="Arial" w:eastAsia="Arial" w:hAnsi="Arial"/>
          <w:i/>
          <w:iCs/>
          <w:sz w:val="21"/>
          <w:szCs w:val="21"/>
        </w:rPr>
        <w:t xml:space="preserve">X</w:t>
      </w:r>
      <w:r>
        <w:rPr>
          <w:rFonts w:ascii="Arial" w:cs="Arial" w:eastAsia="Arial" w:hAnsi="Arial"/>
          <w:i/>
          <w:iCs/>
          <w:sz w:val="21"/>
          <w:szCs w:val="21"/>
          <w:vertAlign w:val="subscript"/>
        </w:rPr>
        <w:t xml:space="preserve">it</w:t>
      </w:r>
      <w:r>
        <w:rPr>
          <w:rFonts w:ascii="Arial" w:cs="Arial" w:eastAsia="Arial" w:hAnsi="Arial"/>
          <w:sz w:val="21"/>
          <w:szCs w:val="21"/>
        </w:rPr>
        <w:t xml:space="preserve"> + μ</w:t>
      </w:r>
      <w:r>
        <w:rPr>
          <w:rFonts w:ascii="Arial" w:cs="Arial" w:eastAsia="Arial" w:hAnsi="Arial"/>
          <w:i/>
          <w:iCs/>
          <w:sz w:val="21"/>
          <w:szCs w:val="21"/>
          <w:vertAlign w:val="subscript"/>
        </w:rPr>
        <w:t xml:space="preserve">i</w:t>
      </w:r>
      <w:r>
        <w:rPr>
          <w:rFonts w:ascii="Arial" w:cs="Arial" w:eastAsia="Arial" w:hAnsi="Arial"/>
          <w:sz w:val="21"/>
          <w:szCs w:val="21"/>
        </w:rPr>
        <w:t xml:space="preserve"> + δ</w:t>
      </w:r>
      <w:r>
        <w:rPr>
          <w:rFonts w:ascii="Arial" w:cs="Arial" w:eastAsia="Arial" w:hAnsi="Arial"/>
          <w:i/>
          <w:iCs/>
          <w:sz w:val="21"/>
          <w:szCs w:val="21"/>
          <w:vertAlign w:val="subscript"/>
        </w:rPr>
        <w:t xml:space="preserve">t</w:t>
      </w:r>
      <w:r>
        <w:rPr>
          <w:rFonts w:ascii="Arial" w:cs="Arial" w:eastAsia="Arial" w:hAnsi="Arial"/>
          <w:sz w:val="21"/>
          <w:szCs w:val="21"/>
        </w:rPr>
        <w:t xml:space="preserve"> + ε</w:t>
      </w:r>
      <w:r>
        <w:rPr>
          <w:rFonts w:ascii="Arial" w:cs="Arial" w:eastAsia="Arial" w:hAnsi="Arial"/>
          <w:i/>
          <w:iCs/>
          <w:sz w:val="21"/>
          <w:szCs w:val="21"/>
          <w:vertAlign w:val="subscript"/>
        </w:rPr>
        <w:t xml:space="preserve">it</w:t>
      </w:r>
    </w:p>
    <w:p>
      <w:pPr>
        <w:spacing w:after="120" w:line="264"/>
        <w:jc w:val="both"/>
      </w:pPr>
      <w:r>
        <w:rPr>
          <w:rFonts w:ascii="Arial" w:cs="Arial" w:eastAsia="Arial" w:hAnsi="Arial"/>
          <w:sz w:val="21"/>
          <w:szCs w:val="21"/>
        </w:rPr>
        <w:t xml:space="preserve">where </w:t>
      </w:r>
      <w:r>
        <w:rPr>
          <w:rFonts w:ascii="Arial" w:cs="Arial" w:eastAsia="Arial" w:hAnsi="Arial"/>
          <w:i/>
          <w:iCs/>
          <w:sz w:val="21"/>
          <w:szCs w:val="21"/>
        </w:rPr>
        <w:t xml:space="preserve">H</w:t>
      </w:r>
      <w:r>
        <w:rPr>
          <w:rFonts w:ascii="Arial" w:cs="Arial" w:eastAsia="Arial" w:hAnsi="Arial"/>
          <w:i/>
          <w:iCs/>
          <w:sz w:val="21"/>
          <w:szCs w:val="21"/>
          <w:vertAlign w:val="subscript"/>
        </w:rPr>
        <w:t xml:space="preserve">it</w:t>
      </w:r>
      <w:r>
        <w:rPr>
          <w:rFonts w:ascii="Arial" w:cs="Arial" w:eastAsia="Arial" w:hAnsi="Arial"/>
          <w:sz w:val="21"/>
          <w:szCs w:val="21"/>
        </w:rPr>
        <w:t xml:space="preserve"> is a health, productivity or resilience outcome and </w:t>
      </w:r>
      <w:r>
        <w:rPr>
          <w:rFonts w:ascii="Arial" w:cs="Arial" w:eastAsia="Arial" w:hAnsi="Arial"/>
          <w:i/>
          <w:iCs/>
          <w:sz w:val="21"/>
          <w:szCs w:val="21"/>
        </w:rPr>
        <w:t xml:space="preserve">B̂</w:t>
      </w:r>
      <w:r>
        <w:rPr>
          <w:rFonts w:ascii="Arial" w:cs="Arial" w:eastAsia="Arial" w:hAnsi="Arial"/>
          <w:i/>
          <w:iCs/>
          <w:sz w:val="21"/>
          <w:szCs w:val="21"/>
          <w:vertAlign w:val="subscript"/>
        </w:rPr>
        <w:t xml:space="preserve">it</w:t>
      </w:r>
      <w:r>
        <w:rPr>
          <w:rFonts w:ascii="Arial" w:cs="Arial" w:eastAsia="Arial" w:hAnsi="Arial"/>
          <w:sz w:val="21"/>
          <w:szCs w:val="21"/>
        </w:rPr>
        <w:t xml:space="preserve"> is predicted body nutrient status. This is the most data-constrained stage: no distinct county-level health, productivity or resilience outcome is yet available, so it is specified for completeness but not estimated. Hypothesis: β &gt; 0.</w:t>
      </w:r>
    </w:p>
    <w:p>
      <w:pPr>
        <w:spacing w:after="120" w:line="264"/>
        <w:jc w:val="both"/>
      </w:pPr>
      <w:r>
        <w:rPr>
          <w:rFonts w:ascii="Arial" w:cs="Arial" w:eastAsia="Arial" w:hAnsi="Arial"/>
          <w:b/>
          <w:bCs/>
          <w:sz w:val="21"/>
          <w:szCs w:val="21"/>
        </w:rPr>
        <w:t xml:space="preserve">Estimation workflow. </w:t>
      </w:r>
      <w:r>
        <w:rPr>
          <w:rFonts w:ascii="Arial" w:cs="Arial" w:eastAsia="Arial" w:hAnsi="Arial"/>
          <w:sz w:val="21"/>
          <w:szCs w:val="21"/>
        </w:rPr>
        <w:t xml:space="preserve">The estimation proceeds in ten steps:</w:t>
      </w:r>
    </w:p>
    <w:p>
      <w:pPr>
        <w:pStyle w:val="ListParagraph"/>
        <w:numPr>
          <w:ilvl w:val="0"/>
          <w:numId w:val="2"/>
        </w:numPr>
        <w:spacing w:after="60"/>
      </w:pPr>
      <w:r>
        <w:rPr>
          <w:rFonts w:ascii="Arial" w:cs="Arial" w:eastAsia="Arial" w:hAnsi="Arial"/>
          <w:sz w:val="21"/>
          <w:szCs w:val="21"/>
        </w:rPr>
        <w:t xml:space="preserve">Construct the soil, food, body and policy indices and the analytical table.</w:t>
      </w:r>
    </w:p>
    <w:p>
      <w:pPr>
        <w:pStyle w:val="ListParagraph"/>
        <w:numPr>
          <w:ilvl w:val="0"/>
          <w:numId w:val="2"/>
        </w:numPr>
        <w:spacing w:after="60"/>
      </w:pPr>
      <w:r>
        <w:rPr>
          <w:rFonts w:ascii="Arial" w:cs="Arial" w:eastAsia="Arial" w:hAnsi="Arial"/>
          <w:sz w:val="21"/>
          <w:szCs w:val="21"/>
        </w:rPr>
        <w:t xml:space="preserve">Describe and map each vector; test spatial autocorrelation (Moran I) and define agroecological strata.</w:t>
      </w:r>
    </w:p>
    <w:p>
      <w:pPr>
        <w:pStyle w:val="ListParagraph"/>
        <w:numPr>
          <w:ilvl w:val="0"/>
          <w:numId w:val="2"/>
        </w:numPr>
        <w:spacing w:after="60"/>
      </w:pPr>
      <w:r>
        <w:rPr>
          <w:rFonts w:ascii="Arial" w:cs="Arial" w:eastAsia="Arial" w:hAnsi="Arial"/>
          <w:sz w:val="21"/>
          <w:szCs w:val="21"/>
        </w:rPr>
        <w:t xml:space="preserve">Estimate Stage 1 cross-sectionally with rainfall, drought and crop-mix controls (done, n = 47).</w:t>
      </w:r>
    </w:p>
    <w:p>
      <w:pPr>
        <w:pStyle w:val="ListParagraph"/>
        <w:numPr>
          <w:ilvl w:val="0"/>
          <w:numId w:val="2"/>
        </w:numPr>
        <w:spacing w:after="60"/>
      </w:pPr>
      <w:r>
        <w:rPr>
          <w:rFonts w:ascii="Arial" w:cs="Arial" w:eastAsia="Arial" w:hAnsi="Arial"/>
          <w:sz w:val="21"/>
          <w:szCs w:val="21"/>
        </w:rPr>
        <w:t xml:space="preserve">Construct instruments (geology, agroecological suitability, rainfall and drought, fertilizer-rollout timing).</w:t>
      </w:r>
    </w:p>
    <w:p>
      <w:pPr>
        <w:pStyle w:val="ListParagraph"/>
        <w:numPr>
          <w:ilvl w:val="0"/>
          <w:numId w:val="2"/>
        </w:numPr>
        <w:spacing w:after="60"/>
      </w:pPr>
      <w:r>
        <w:rPr>
          <w:rFonts w:ascii="Arial" w:cs="Arial" w:eastAsia="Arial" w:hAnsi="Arial"/>
          <w:sz w:val="21"/>
          <w:szCs w:val="21"/>
        </w:rPr>
        <w:t xml:space="preserve">Estimate Stage 2 at county level now (done, n = 47), extending to a child-level multilevel model with control-function and instrumental-variable variants once cluster coordinates are merged.</w:t>
      </w:r>
    </w:p>
    <w:p>
      <w:pPr>
        <w:pStyle w:val="ListParagraph"/>
        <w:numPr>
          <w:ilvl w:val="0"/>
          <w:numId w:val="2"/>
        </w:numPr>
        <w:spacing w:after="60"/>
      </w:pPr>
      <w:r>
        <w:rPr>
          <w:rFonts w:ascii="Arial" w:cs="Arial" w:eastAsia="Arial" w:hAnsi="Arial"/>
          <w:sz w:val="21"/>
          <w:szCs w:val="21"/>
        </w:rPr>
        <w:t xml:space="preserve">Estimate Stage 3 where county health outcomes permit (not estimated: no distinct county health outcome yet).</w:t>
      </w:r>
    </w:p>
    <w:p>
      <w:pPr>
        <w:pStyle w:val="ListParagraph"/>
        <w:numPr>
          <w:ilvl w:val="0"/>
          <w:numId w:val="2"/>
        </w:numPr>
        <w:spacing w:after="60"/>
      </w:pPr>
      <w:r>
        <w:rPr>
          <w:rFonts w:ascii="Arial" w:cs="Arial" w:eastAsia="Arial" w:hAnsi="Arial"/>
          <w:sz w:val="21"/>
          <w:szCs w:val="21"/>
        </w:rPr>
        <w:t xml:space="preserve">Estimate Stage 4 (policy response to gaps) on the assembled policy panel and fertilizer rollout (done, n = 40).</w:t>
      </w:r>
    </w:p>
    <w:p>
      <w:pPr>
        <w:pStyle w:val="ListParagraph"/>
        <w:numPr>
          <w:ilvl w:val="0"/>
          <w:numId w:val="2"/>
        </w:numPr>
        <w:spacing w:after="60"/>
      </w:pPr>
      <w:r>
        <w:rPr>
          <w:rFonts w:ascii="Arial" w:cs="Arial" w:eastAsia="Arial" w:hAnsi="Arial"/>
          <w:sz w:val="21"/>
          <w:szCs w:val="21"/>
        </w:rPr>
        <w:t xml:space="preserve">Estimate Stage 5 as a lagged-outcome model on the 2014 and 2022 body panel (done, n = 47); the full dynamic system remains reserved for additional rounds.</w:t>
      </w:r>
    </w:p>
    <w:p>
      <w:pPr>
        <w:pStyle w:val="ListParagraph"/>
        <w:numPr>
          <w:ilvl w:val="0"/>
          <w:numId w:val="2"/>
        </w:numPr>
        <w:spacing w:after="60"/>
      </w:pPr>
      <w:r>
        <w:rPr>
          <w:rFonts w:ascii="Arial" w:cs="Arial" w:eastAsia="Arial" w:hAnsi="Arial"/>
          <w:sz w:val="21"/>
          <w:szCs w:val="21"/>
        </w:rPr>
        <w:t xml:space="preserve">Run the full robustness and sensitivity battery (Section 6).</w:t>
      </w:r>
    </w:p>
    <w:p>
      <w:pPr>
        <w:pStyle w:val="ListParagraph"/>
        <w:numPr>
          <w:ilvl w:val="0"/>
          <w:numId w:val="2"/>
        </w:numPr>
        <w:spacing w:after="60"/>
      </w:pPr>
      <w:r>
        <w:rPr>
          <w:rFonts w:ascii="Arial" w:cs="Arial" w:eastAsia="Arial" w:hAnsi="Arial"/>
          <w:sz w:val="21"/>
          <w:szCs w:val="21"/>
        </w:rPr>
        <w:t xml:space="preserve">Run the policy simulation and assemble the policy interpretation (Sections 7 and 10).</w:t>
      </w:r>
    </w:p>
    <w:p>
      <w:pPr>
        <w:pStyle w:val="Heading1"/>
      </w:pPr>
      <w:r>
        <w:rPr>
          <w:rFonts w:ascii="Arial" w:cs="Arial" w:eastAsia="Arial" w:hAnsi="Arial"/>
        </w:rPr>
        <w:t xml:space="preserve">5. Dynamic policy-signal model</w:t>
      </w:r>
    </w:p>
    <w:p>
      <w:pPr>
        <w:pStyle w:val="Heading2"/>
      </w:pPr>
      <w:r>
        <w:rPr>
          <w:rFonts w:ascii="Arial" w:cs="Arial" w:eastAsia="Arial" w:hAnsi="Arial"/>
        </w:rPr>
        <w:t xml:space="preserve">Stage 4: policy response to nutrient gaps</w:t>
      </w:r>
    </w:p>
    <w:p>
      <w:pPr>
        <w:spacing w:after="120" w:before="40"/>
        <w:jc w:val="center"/>
      </w:pPr>
      <w:r>
        <w:rPr>
          <w:rFonts w:ascii="Arial" w:cs="Arial" w:eastAsia="Arial" w:hAnsi="Arial"/>
          <w:i/>
          <w:iCs/>
          <w:sz w:val="21"/>
          <w:szCs w:val="21"/>
        </w:rPr>
        <w:t xml:space="preserve">P</w:t>
      </w:r>
      <w:r>
        <w:rPr>
          <w:rFonts w:ascii="Arial" w:cs="Arial" w:eastAsia="Arial" w:hAnsi="Arial"/>
          <w:i/>
          <w:iCs/>
          <w:sz w:val="21"/>
          <w:szCs w:val="21"/>
          <w:vertAlign w:val="subscript"/>
        </w:rPr>
        <w:t xml:space="preserve">it</w:t>
      </w:r>
      <w:r>
        <w:rPr>
          <w:rFonts w:ascii="Arial" w:cs="Arial" w:eastAsia="Arial" w:hAnsi="Arial"/>
          <w:sz w:val="21"/>
          <w:szCs w:val="21"/>
        </w:rPr>
        <w:t xml:space="preserve"> = α + β</w:t>
      </w:r>
      <w:r>
        <w:rPr>
          <w:rFonts w:ascii="Arial" w:cs="Arial" w:eastAsia="Arial" w:hAnsi="Arial"/>
          <w:i/>
          <w:iCs/>
          <w:sz w:val="21"/>
          <w:szCs w:val="21"/>
          <w:vertAlign w:val="subscript"/>
        </w:rPr>
        <w:t xml:space="preserve">1</w:t>
      </w:r>
      <w:r>
        <w:rPr>
          <w:rFonts w:ascii="Arial" w:cs="Arial" w:eastAsia="Arial" w:hAnsi="Arial"/>
          <w:sz w:val="21"/>
          <w:szCs w:val="21"/>
        </w:rPr>
        <w:t xml:space="preserve"> </w:t>
      </w:r>
      <w:r>
        <w:rPr>
          <w:rFonts w:ascii="Arial" w:cs="Arial" w:eastAsia="Arial" w:hAnsi="Arial"/>
          <w:i/>
          <w:iCs/>
          <w:sz w:val="21"/>
          <w:szCs w:val="21"/>
        </w:rPr>
        <w:t xml:space="preserve">G</w:t>
      </w:r>
      <w:r>
        <w:rPr>
          <w:rFonts w:ascii="Arial" w:cs="Arial" w:eastAsia="Arial" w:hAnsi="Arial"/>
          <w:i/>
          <w:iCs/>
          <w:sz w:val="21"/>
          <w:szCs w:val="21"/>
          <w:vertAlign w:val="superscript"/>
        </w:rPr>
        <w:t xml:space="preserve">B</w:t>
      </w:r>
      <w:r>
        <w:rPr>
          <w:rFonts w:ascii="Arial" w:cs="Arial" w:eastAsia="Arial" w:hAnsi="Arial"/>
          <w:i/>
          <w:iCs/>
          <w:sz w:val="21"/>
          <w:szCs w:val="21"/>
          <w:vertAlign w:val="subscript"/>
        </w:rPr>
        <w:t xml:space="preserve">i,t-1</w:t>
      </w:r>
      <w:r>
        <w:rPr>
          <w:rFonts w:ascii="Arial" w:cs="Arial" w:eastAsia="Arial" w:hAnsi="Arial"/>
          <w:sz w:val="21"/>
          <w:szCs w:val="21"/>
        </w:rPr>
        <w:t xml:space="preserve"> + β</w:t>
      </w:r>
      <w:r>
        <w:rPr>
          <w:rFonts w:ascii="Arial" w:cs="Arial" w:eastAsia="Arial" w:hAnsi="Arial"/>
          <w:i/>
          <w:iCs/>
          <w:sz w:val="21"/>
          <w:szCs w:val="21"/>
          <w:vertAlign w:val="subscript"/>
        </w:rPr>
        <w:t xml:space="preserve">2</w:t>
      </w:r>
      <w:r>
        <w:rPr>
          <w:rFonts w:ascii="Arial" w:cs="Arial" w:eastAsia="Arial" w:hAnsi="Arial"/>
          <w:sz w:val="21"/>
          <w:szCs w:val="21"/>
        </w:rPr>
        <w:t xml:space="preserve"> </w:t>
      </w:r>
      <w:r>
        <w:rPr>
          <w:rFonts w:ascii="Arial" w:cs="Arial" w:eastAsia="Arial" w:hAnsi="Arial"/>
          <w:i/>
          <w:iCs/>
          <w:sz w:val="21"/>
          <w:szCs w:val="21"/>
        </w:rPr>
        <w:t xml:space="preserve">G</w:t>
      </w:r>
      <w:r>
        <w:rPr>
          <w:rFonts w:ascii="Arial" w:cs="Arial" w:eastAsia="Arial" w:hAnsi="Arial"/>
          <w:i/>
          <w:iCs/>
          <w:sz w:val="21"/>
          <w:szCs w:val="21"/>
          <w:vertAlign w:val="superscript"/>
        </w:rPr>
        <w:t xml:space="preserve">S</w:t>
      </w:r>
      <w:r>
        <w:rPr>
          <w:rFonts w:ascii="Arial" w:cs="Arial" w:eastAsia="Arial" w:hAnsi="Arial"/>
          <w:i/>
          <w:iCs/>
          <w:sz w:val="21"/>
          <w:szCs w:val="21"/>
          <w:vertAlign w:val="subscript"/>
        </w:rPr>
        <w:t xml:space="preserve">i,t-1</w:t>
      </w:r>
      <w:r>
        <w:rPr>
          <w:rFonts w:ascii="Arial" w:cs="Arial" w:eastAsia="Arial" w:hAnsi="Arial"/>
          <w:sz w:val="21"/>
          <w:szCs w:val="21"/>
        </w:rPr>
        <w:t xml:space="preserve"> + β</w:t>
      </w:r>
      <w:r>
        <w:rPr>
          <w:rFonts w:ascii="Arial" w:cs="Arial" w:eastAsia="Arial" w:hAnsi="Arial"/>
          <w:i/>
          <w:iCs/>
          <w:sz w:val="21"/>
          <w:szCs w:val="21"/>
          <w:vertAlign w:val="subscript"/>
        </w:rPr>
        <w:t xml:space="preserve">3</w:t>
      </w:r>
      <w:r>
        <w:rPr>
          <w:rFonts w:ascii="Arial" w:cs="Arial" w:eastAsia="Arial" w:hAnsi="Arial"/>
          <w:sz w:val="21"/>
          <w:szCs w:val="21"/>
        </w:rPr>
        <w:t xml:space="preserve"> </w:t>
      </w:r>
      <w:r>
        <w:rPr>
          <w:rFonts w:ascii="Arial" w:cs="Arial" w:eastAsia="Arial" w:hAnsi="Arial"/>
          <w:i/>
          <w:iCs/>
          <w:sz w:val="21"/>
          <w:szCs w:val="21"/>
        </w:rPr>
        <w:t xml:space="preserve">G</w:t>
      </w:r>
      <w:r>
        <w:rPr>
          <w:rFonts w:ascii="Arial" w:cs="Arial" w:eastAsia="Arial" w:hAnsi="Arial"/>
          <w:i/>
          <w:iCs/>
          <w:sz w:val="21"/>
          <w:szCs w:val="21"/>
          <w:vertAlign w:val="superscript"/>
        </w:rPr>
        <w:t xml:space="preserve">F</w:t>
      </w:r>
      <w:r>
        <w:rPr>
          <w:rFonts w:ascii="Arial" w:cs="Arial" w:eastAsia="Arial" w:hAnsi="Arial"/>
          <w:i/>
          <w:iCs/>
          <w:sz w:val="21"/>
          <w:szCs w:val="21"/>
          <w:vertAlign w:val="subscript"/>
        </w:rPr>
        <w:t xml:space="preserve">i,t-1</w:t>
      </w:r>
      <w:r>
        <w:rPr>
          <w:rFonts w:ascii="Arial" w:cs="Arial" w:eastAsia="Arial" w:hAnsi="Arial"/>
          <w:sz w:val="21"/>
          <w:szCs w:val="21"/>
        </w:rPr>
        <w:t xml:space="preserve"> + β</w:t>
      </w:r>
      <w:r>
        <w:rPr>
          <w:rFonts w:ascii="Arial" w:cs="Arial" w:eastAsia="Arial" w:hAnsi="Arial"/>
          <w:i/>
          <w:iCs/>
          <w:sz w:val="21"/>
          <w:szCs w:val="21"/>
          <w:vertAlign w:val="subscript"/>
        </w:rPr>
        <w:t xml:space="preserve">4</w:t>
      </w:r>
      <w:r>
        <w:rPr>
          <w:rFonts w:ascii="Arial" w:cs="Arial" w:eastAsia="Arial" w:hAnsi="Arial"/>
          <w:sz w:val="21"/>
          <w:szCs w:val="21"/>
        </w:rPr>
        <w:t xml:space="preserve"> </w:t>
      </w:r>
      <w:r>
        <w:rPr>
          <w:rFonts w:ascii="Arial" w:cs="Arial" w:eastAsia="Arial" w:hAnsi="Arial"/>
          <w:i/>
          <w:iCs/>
          <w:sz w:val="21"/>
          <w:szCs w:val="21"/>
        </w:rPr>
        <w:t xml:space="preserve">G</w:t>
      </w:r>
      <w:r>
        <w:rPr>
          <w:rFonts w:ascii="Arial" w:cs="Arial" w:eastAsia="Arial" w:hAnsi="Arial"/>
          <w:i/>
          <w:iCs/>
          <w:sz w:val="21"/>
          <w:szCs w:val="21"/>
          <w:vertAlign w:val="superscript"/>
        </w:rPr>
        <w:t xml:space="preserve">H</w:t>
      </w:r>
      <w:r>
        <w:rPr>
          <w:rFonts w:ascii="Arial" w:cs="Arial" w:eastAsia="Arial" w:hAnsi="Arial"/>
          <w:i/>
          <w:iCs/>
          <w:sz w:val="21"/>
          <w:szCs w:val="21"/>
          <w:vertAlign w:val="subscript"/>
        </w:rPr>
        <w:t xml:space="preserve">i,t-1</w:t>
      </w:r>
      <w:r>
        <w:rPr>
          <w:rFonts w:ascii="Arial" w:cs="Arial" w:eastAsia="Arial" w:hAnsi="Arial"/>
          <w:sz w:val="21"/>
          <w:szCs w:val="21"/>
        </w:rPr>
        <w:t xml:space="preserve"> + μ</w:t>
      </w:r>
      <w:r>
        <w:rPr>
          <w:rFonts w:ascii="Arial" w:cs="Arial" w:eastAsia="Arial" w:hAnsi="Arial"/>
          <w:i/>
          <w:iCs/>
          <w:sz w:val="21"/>
          <w:szCs w:val="21"/>
          <w:vertAlign w:val="subscript"/>
        </w:rPr>
        <w:t xml:space="preserve">i</w:t>
      </w:r>
      <w:r>
        <w:rPr>
          <w:rFonts w:ascii="Arial" w:cs="Arial" w:eastAsia="Arial" w:hAnsi="Arial"/>
          <w:sz w:val="21"/>
          <w:szCs w:val="21"/>
        </w:rPr>
        <w:t xml:space="preserve"> + δ</w:t>
      </w:r>
      <w:r>
        <w:rPr>
          <w:rFonts w:ascii="Arial" w:cs="Arial" w:eastAsia="Arial" w:hAnsi="Arial"/>
          <w:i/>
          <w:iCs/>
          <w:sz w:val="21"/>
          <w:szCs w:val="21"/>
          <w:vertAlign w:val="subscript"/>
        </w:rPr>
        <w:t xml:space="preserve">t</w:t>
      </w:r>
      <w:r>
        <w:rPr>
          <w:rFonts w:ascii="Arial" w:cs="Arial" w:eastAsia="Arial" w:hAnsi="Arial"/>
          <w:sz w:val="21"/>
          <w:szCs w:val="21"/>
        </w:rPr>
        <w:t xml:space="preserve"> + ε</w:t>
      </w:r>
      <w:r>
        <w:rPr>
          <w:rFonts w:ascii="Arial" w:cs="Arial" w:eastAsia="Arial" w:hAnsi="Arial"/>
          <w:i/>
          <w:iCs/>
          <w:sz w:val="21"/>
          <w:szCs w:val="21"/>
          <w:vertAlign w:val="subscript"/>
        </w:rPr>
        <w:t xml:space="preserve">it</w:t>
      </w:r>
    </w:p>
    <w:p>
      <w:pPr>
        <w:spacing w:after="120" w:line="264"/>
        <w:jc w:val="both"/>
      </w:pPr>
      <w:r>
        <w:rPr>
          <w:rFonts w:ascii="Arial" w:cs="Arial" w:eastAsia="Arial" w:hAnsi="Arial"/>
          <w:sz w:val="21"/>
          <w:szCs w:val="21"/>
        </w:rPr>
        <w:t xml:space="preserve">where </w:t>
      </w:r>
      <w:r>
        <w:rPr>
          <w:rFonts w:ascii="Arial" w:cs="Arial" w:eastAsia="Arial" w:hAnsi="Arial"/>
          <w:i/>
          <w:iCs/>
          <w:sz w:val="21"/>
          <w:szCs w:val="21"/>
        </w:rPr>
        <w:t xml:space="preserve">P</w:t>
      </w:r>
      <w:r>
        <w:rPr>
          <w:rFonts w:ascii="Arial" w:cs="Arial" w:eastAsia="Arial" w:hAnsi="Arial"/>
          <w:i/>
          <w:iCs/>
          <w:sz w:val="21"/>
          <w:szCs w:val="21"/>
          <w:vertAlign w:val="subscript"/>
        </w:rPr>
        <w:t xml:space="preserve">it</w:t>
      </w:r>
      <w:r>
        <w:rPr>
          <w:rFonts w:ascii="Arial" w:cs="Arial" w:eastAsia="Arial" w:hAnsi="Arial"/>
          <w:sz w:val="21"/>
          <w:szCs w:val="21"/>
        </w:rPr>
        <w:t xml:space="preserve"> is policy intensity and the </w:t>
      </w:r>
      <w:r>
        <w:rPr>
          <w:rFonts w:ascii="Arial" w:cs="Arial" w:eastAsia="Arial" w:hAnsi="Arial"/>
          <w:i/>
          <w:iCs/>
          <w:sz w:val="21"/>
          <w:szCs w:val="21"/>
        </w:rPr>
        <w:t xml:space="preserve">G</w:t>
      </w:r>
      <w:r>
        <w:rPr>
          <w:rFonts w:ascii="Arial" w:cs="Arial" w:eastAsia="Arial" w:hAnsi="Arial"/>
          <w:sz w:val="21"/>
          <w:szCs w:val="21"/>
        </w:rPr>
        <w:t xml:space="preserve"> terms are lagged soil, food, body and health gaps relative to national, WHO, SDG and Kenya targets. The test is whether counties with larger gaps receive stronger and better-targeted responses. The county policy panel is now assembled from the staggered fertilizer-subsidy rollout and a Policy Signal Index (rollout priority and agricultural expenditure intensity, with a soil-food sub-signal), and this stage is estimated across 40 counties. The result to date is that the policy signal loads on agricultural potential (maize production and yield) rather than on the body or food gaps, that is, the rollout has followed productive capacity more than measured need, a finding of direct relevance to targeting. The Controller of Budget expenditure series will sharpen the effort dimension once its county tables are ingested.</w:t>
      </w:r>
    </w:p>
    <w:p>
      <w:pPr>
        <w:pStyle w:val="Heading2"/>
      </w:pPr>
      <w:r>
        <w:rPr>
          <w:rFonts w:ascii="Arial" w:cs="Arial" w:eastAsia="Arial" w:hAnsi="Arial"/>
        </w:rPr>
        <w:t xml:space="preserve">Stage 5: dynamic system</w:t>
      </w:r>
    </w:p>
    <w:p>
      <w:pPr>
        <w:spacing w:after="120" w:before="40"/>
        <w:jc w:val="center"/>
      </w:pPr>
      <w:r>
        <w:rPr>
          <w:rFonts w:ascii="Arial" w:cs="Arial" w:eastAsia="Arial" w:hAnsi="Arial"/>
          <w:i/>
          <w:iCs/>
          <w:sz w:val="21"/>
          <w:szCs w:val="21"/>
        </w:rPr>
        <w:t xml:space="preserve">Y</w:t>
      </w:r>
      <w:r>
        <w:rPr>
          <w:rFonts w:ascii="Arial" w:cs="Arial" w:eastAsia="Arial" w:hAnsi="Arial"/>
          <w:i/>
          <w:iCs/>
          <w:sz w:val="21"/>
          <w:szCs w:val="21"/>
          <w:vertAlign w:val="subscript"/>
        </w:rPr>
        <w:t xml:space="preserve">it</w:t>
      </w:r>
      <w:r>
        <w:rPr>
          <w:rFonts w:ascii="Arial" w:cs="Arial" w:eastAsia="Arial" w:hAnsi="Arial"/>
          <w:sz w:val="21"/>
          <w:szCs w:val="21"/>
        </w:rPr>
        <w:t xml:space="preserve"> = </w:t>
      </w:r>
      <w:r>
        <w:rPr>
          <w:rFonts w:ascii="Arial" w:cs="Arial" w:eastAsia="Arial" w:hAnsi="Arial"/>
          <w:i/>
          <w:iCs/>
          <w:sz w:val="21"/>
          <w:szCs w:val="21"/>
        </w:rPr>
        <w:t xml:space="preserve">A</w:t>
      </w:r>
      <w:r>
        <w:rPr>
          <w:rFonts w:ascii="Arial" w:cs="Arial" w:eastAsia="Arial" w:hAnsi="Arial"/>
          <w:sz w:val="21"/>
          <w:szCs w:val="21"/>
        </w:rPr>
        <w:t xml:space="preserve"> </w:t>
      </w:r>
      <w:r>
        <w:rPr>
          <w:rFonts w:ascii="Arial" w:cs="Arial" w:eastAsia="Arial" w:hAnsi="Arial"/>
          <w:i/>
          <w:iCs/>
          <w:sz w:val="21"/>
          <w:szCs w:val="21"/>
        </w:rPr>
        <w:t xml:space="preserve">Y</w:t>
      </w:r>
      <w:r>
        <w:rPr>
          <w:rFonts w:ascii="Arial" w:cs="Arial" w:eastAsia="Arial" w:hAnsi="Arial"/>
          <w:i/>
          <w:iCs/>
          <w:sz w:val="21"/>
          <w:szCs w:val="21"/>
          <w:vertAlign w:val="subscript"/>
        </w:rPr>
        <w:t xml:space="preserve">i,t-1</w:t>
      </w:r>
      <w:r>
        <w:rPr>
          <w:rFonts w:ascii="Arial" w:cs="Arial" w:eastAsia="Arial" w:hAnsi="Arial"/>
          <w:sz w:val="21"/>
          <w:szCs w:val="21"/>
        </w:rPr>
        <w:t xml:space="preserve"> + </w:t>
      </w:r>
      <w:r>
        <w:rPr>
          <w:rFonts w:ascii="Arial" w:cs="Arial" w:eastAsia="Arial" w:hAnsi="Arial"/>
          <w:i/>
          <w:iCs/>
          <w:sz w:val="21"/>
          <w:szCs w:val="21"/>
        </w:rPr>
        <w:t xml:space="preserve">B</w:t>
      </w:r>
      <w:r>
        <w:rPr>
          <w:rFonts w:ascii="Arial" w:cs="Arial" w:eastAsia="Arial" w:hAnsi="Arial"/>
          <w:sz w:val="21"/>
          <w:szCs w:val="21"/>
        </w:rPr>
        <w:t xml:space="preserve"> </w:t>
      </w:r>
      <w:r>
        <w:rPr>
          <w:rFonts w:ascii="Arial" w:cs="Arial" w:eastAsia="Arial" w:hAnsi="Arial"/>
          <w:i/>
          <w:iCs/>
          <w:sz w:val="21"/>
          <w:szCs w:val="21"/>
        </w:rPr>
        <w:t xml:space="preserve">Z</w:t>
      </w:r>
      <w:r>
        <w:rPr>
          <w:rFonts w:ascii="Arial" w:cs="Arial" w:eastAsia="Arial" w:hAnsi="Arial"/>
          <w:i/>
          <w:iCs/>
          <w:sz w:val="21"/>
          <w:szCs w:val="21"/>
          <w:vertAlign w:val="subscript"/>
        </w:rPr>
        <w:t xml:space="preserve">i,t-1</w:t>
      </w:r>
      <w:r>
        <w:rPr>
          <w:rFonts w:ascii="Arial" w:cs="Arial" w:eastAsia="Arial" w:hAnsi="Arial"/>
          <w:sz w:val="21"/>
          <w:szCs w:val="21"/>
        </w:rPr>
        <w:t xml:space="preserve"> + </w:t>
      </w:r>
      <w:r>
        <w:rPr>
          <w:rFonts w:ascii="Arial" w:cs="Arial" w:eastAsia="Arial" w:hAnsi="Arial"/>
          <w:i/>
          <w:iCs/>
          <w:sz w:val="21"/>
          <w:szCs w:val="21"/>
        </w:rPr>
        <w:t xml:space="preserve">C</w:t>
      </w:r>
      <w:r>
        <w:rPr>
          <w:rFonts w:ascii="Arial" w:cs="Arial" w:eastAsia="Arial" w:hAnsi="Arial"/>
          <w:sz w:val="21"/>
          <w:szCs w:val="21"/>
        </w:rPr>
        <w:t xml:space="preserve"> </w:t>
      </w:r>
      <w:r>
        <w:rPr>
          <w:rFonts w:ascii="Arial" w:cs="Arial" w:eastAsia="Arial" w:hAnsi="Arial"/>
          <w:i/>
          <w:iCs/>
          <w:sz w:val="21"/>
          <w:szCs w:val="21"/>
        </w:rPr>
        <w:t xml:space="preserve">P</w:t>
      </w:r>
      <w:r>
        <w:rPr>
          <w:rFonts w:ascii="Arial" w:cs="Arial" w:eastAsia="Arial" w:hAnsi="Arial"/>
          <w:i/>
          <w:iCs/>
          <w:sz w:val="21"/>
          <w:szCs w:val="21"/>
          <w:vertAlign w:val="subscript"/>
        </w:rPr>
        <w:t xml:space="preserve">it</w:t>
      </w:r>
      <w:r>
        <w:rPr>
          <w:rFonts w:ascii="Arial" w:cs="Arial" w:eastAsia="Arial" w:hAnsi="Arial"/>
          <w:sz w:val="21"/>
          <w:szCs w:val="21"/>
        </w:rPr>
        <w:t xml:space="preserve"> + μ</w:t>
      </w:r>
      <w:r>
        <w:rPr>
          <w:rFonts w:ascii="Arial" w:cs="Arial" w:eastAsia="Arial" w:hAnsi="Arial"/>
          <w:i/>
          <w:iCs/>
          <w:sz w:val="21"/>
          <w:szCs w:val="21"/>
          <w:vertAlign w:val="subscript"/>
        </w:rPr>
        <w:t xml:space="preserve">i</w:t>
      </w:r>
      <w:r>
        <w:rPr>
          <w:rFonts w:ascii="Arial" w:cs="Arial" w:eastAsia="Arial" w:hAnsi="Arial"/>
          <w:sz w:val="21"/>
          <w:szCs w:val="21"/>
        </w:rPr>
        <w:t xml:space="preserve"> + δ</w:t>
      </w:r>
      <w:r>
        <w:rPr>
          <w:rFonts w:ascii="Arial" w:cs="Arial" w:eastAsia="Arial" w:hAnsi="Arial"/>
          <w:i/>
          <w:iCs/>
          <w:sz w:val="21"/>
          <w:szCs w:val="21"/>
          <w:vertAlign w:val="subscript"/>
        </w:rPr>
        <w:t xml:space="preserve">t</w:t>
      </w:r>
      <w:r>
        <w:rPr>
          <w:rFonts w:ascii="Arial" w:cs="Arial" w:eastAsia="Arial" w:hAnsi="Arial"/>
          <w:sz w:val="21"/>
          <w:szCs w:val="21"/>
        </w:rPr>
        <w:t xml:space="preserve"> + ε</w:t>
      </w:r>
      <w:r>
        <w:rPr>
          <w:rFonts w:ascii="Arial" w:cs="Arial" w:eastAsia="Arial" w:hAnsi="Arial"/>
          <w:i/>
          <w:iCs/>
          <w:sz w:val="21"/>
          <w:szCs w:val="21"/>
          <w:vertAlign w:val="subscript"/>
        </w:rPr>
        <w:t xml:space="preserve">it</w:t>
      </w:r>
      <w:r>
        <w:rPr>
          <w:rFonts w:ascii="Arial" w:cs="Arial" w:eastAsia="Arial" w:hAnsi="Arial"/>
          <w:sz w:val="21"/>
          <w:szCs w:val="21"/>
        </w:rPr>
        <w:t xml:space="preserve">,   with  </w:t>
      </w:r>
      <w:r>
        <w:rPr>
          <w:rFonts w:ascii="Arial" w:cs="Arial" w:eastAsia="Arial" w:hAnsi="Arial"/>
          <w:i/>
          <w:iCs/>
          <w:sz w:val="21"/>
          <w:szCs w:val="21"/>
        </w:rPr>
        <w:t xml:space="preserve">Y</w:t>
      </w:r>
      <w:r>
        <w:rPr>
          <w:rFonts w:ascii="Arial" w:cs="Arial" w:eastAsia="Arial" w:hAnsi="Arial"/>
          <w:i/>
          <w:iCs/>
          <w:sz w:val="21"/>
          <w:szCs w:val="21"/>
          <w:vertAlign w:val="subscript"/>
        </w:rPr>
        <w:t xml:space="preserve">it</w:t>
      </w:r>
      <w:r>
        <w:rPr>
          <w:rFonts w:ascii="Arial" w:cs="Arial" w:eastAsia="Arial" w:hAnsi="Arial"/>
          <w:sz w:val="21"/>
          <w:szCs w:val="21"/>
        </w:rPr>
        <w:t xml:space="preserve"> = [</w:t>
      </w:r>
      <w:r>
        <w:rPr>
          <w:rFonts w:ascii="Arial" w:cs="Arial" w:eastAsia="Arial" w:hAnsi="Arial"/>
          <w:i/>
          <w:iCs/>
          <w:sz w:val="21"/>
          <w:szCs w:val="21"/>
        </w:rPr>
        <w:t xml:space="preserve">S</w:t>
      </w:r>
      <w:r>
        <w:rPr>
          <w:rFonts w:ascii="Arial" w:cs="Arial" w:eastAsia="Arial" w:hAnsi="Arial"/>
          <w:i/>
          <w:iCs/>
          <w:sz w:val="21"/>
          <w:szCs w:val="21"/>
          <w:vertAlign w:val="subscript"/>
        </w:rPr>
        <w:t xml:space="preserve">it</w:t>
      </w:r>
      <w:r>
        <w:rPr>
          <w:rFonts w:ascii="Arial" w:cs="Arial" w:eastAsia="Arial" w:hAnsi="Arial"/>
          <w:sz w:val="21"/>
          <w:szCs w:val="21"/>
        </w:rPr>
        <w:t xml:space="preserve">, </w:t>
      </w:r>
      <w:r>
        <w:rPr>
          <w:rFonts w:ascii="Arial" w:cs="Arial" w:eastAsia="Arial" w:hAnsi="Arial"/>
          <w:i/>
          <w:iCs/>
          <w:sz w:val="21"/>
          <w:szCs w:val="21"/>
        </w:rPr>
        <w:t xml:space="preserve">F</w:t>
      </w:r>
      <w:r>
        <w:rPr>
          <w:rFonts w:ascii="Arial" w:cs="Arial" w:eastAsia="Arial" w:hAnsi="Arial"/>
          <w:i/>
          <w:iCs/>
          <w:sz w:val="21"/>
          <w:szCs w:val="21"/>
          <w:vertAlign w:val="subscript"/>
        </w:rPr>
        <w:t xml:space="preserve">it</w:t>
      </w:r>
      <w:r>
        <w:rPr>
          <w:rFonts w:ascii="Arial" w:cs="Arial" w:eastAsia="Arial" w:hAnsi="Arial"/>
          <w:sz w:val="21"/>
          <w:szCs w:val="21"/>
        </w:rPr>
        <w:t xml:space="preserve">, </w:t>
      </w:r>
      <w:r>
        <w:rPr>
          <w:rFonts w:ascii="Arial" w:cs="Arial" w:eastAsia="Arial" w:hAnsi="Arial"/>
          <w:i/>
          <w:iCs/>
          <w:sz w:val="21"/>
          <w:szCs w:val="21"/>
        </w:rPr>
        <w:t xml:space="preserve">B</w:t>
      </w:r>
      <w:r>
        <w:rPr>
          <w:rFonts w:ascii="Arial" w:cs="Arial" w:eastAsia="Arial" w:hAnsi="Arial"/>
          <w:i/>
          <w:iCs/>
          <w:sz w:val="21"/>
          <w:szCs w:val="21"/>
          <w:vertAlign w:val="subscript"/>
        </w:rPr>
        <w:t xml:space="preserve">it</w:t>
      </w:r>
      <w:r>
        <w:rPr>
          <w:rFonts w:ascii="Arial" w:cs="Arial" w:eastAsia="Arial" w:hAnsi="Arial"/>
          <w:sz w:val="21"/>
          <w:szCs w:val="21"/>
        </w:rPr>
        <w:t xml:space="preserve">, </w:t>
      </w:r>
      <w:r>
        <w:rPr>
          <w:rFonts w:ascii="Arial" w:cs="Arial" w:eastAsia="Arial" w:hAnsi="Arial"/>
          <w:i/>
          <w:iCs/>
          <w:sz w:val="21"/>
          <w:szCs w:val="21"/>
        </w:rPr>
        <w:t xml:space="preserve">H</w:t>
      </w:r>
      <w:r>
        <w:rPr>
          <w:rFonts w:ascii="Arial" w:cs="Arial" w:eastAsia="Arial" w:hAnsi="Arial"/>
          <w:i/>
          <w:iCs/>
          <w:sz w:val="21"/>
          <w:szCs w:val="21"/>
          <w:vertAlign w:val="subscript"/>
        </w:rPr>
        <w:t xml:space="preserve">it</w:t>
      </w:r>
      <w:r>
        <w:rPr>
          <w:rFonts w:ascii="Arial" w:cs="Arial" w:eastAsia="Arial" w:hAnsi="Arial"/>
          <w:sz w:val="21"/>
          <w:szCs w:val="21"/>
        </w:rPr>
        <w:t xml:space="preserve">]</w:t>
      </w:r>
    </w:p>
    <w:p>
      <w:pPr>
        <w:spacing w:after="120" w:line="264"/>
        <w:jc w:val="both"/>
      </w:pPr>
      <w:r>
        <w:rPr>
          <w:rFonts w:ascii="Arial" w:cs="Arial" w:eastAsia="Arial" w:hAnsi="Arial"/>
          <w:sz w:val="21"/>
          <w:szCs w:val="21"/>
        </w:rPr>
        <w:t xml:space="preserve">The full system would be estimated by panel vector autoregression or system GMM (Blundell-Bond), with structural equation and spatial panel variants, to recover direct, indirect, lagged and feedback effects. Feasibility is the binding constraint: with soil time-invariant and only two body time points, a full four-vector dynamic panel is not yet identified. The 2014 round does, however, supply a genuine second body time point, so the feasible substitute is now estimated: a lagged-outcome (persistence) model in which 2022 stunting is regressed on its 2014 level together with the soil index, food nutrient density and the body-vector controls (n = 47). Descriptively, county stunting fell by about nine percentage points between 2014 and 2022, with 46 of the 47 counties improving. The lagged-outcome model recovers the persistence term and the conditional soil and food gradients net of the 2014 baseline, which is the closest the data allow to the dynamic specification; the full system is reserved for when further survey rounds and the expenditure panel are in place.</w:t>
      </w:r>
    </w:p>
    <w:p>
      <w:pPr>
        <w:pStyle w:val="Heading1"/>
      </w:pPr>
      <w:r>
        <w:rPr>
          <w:rFonts w:ascii="Arial" w:cs="Arial" w:eastAsia="Arial" w:hAnsi="Arial"/>
        </w:rPr>
        <w:t xml:space="preserve">6. Robustness and sensitivity analysis</w:t>
      </w:r>
    </w:p>
    <w:p>
      <w:pPr>
        <w:spacing w:after="120" w:line="264"/>
        <w:jc w:val="both"/>
      </w:pPr>
      <w:r>
        <w:rPr>
          <w:rFonts w:ascii="Arial" w:cs="Arial" w:eastAsia="Arial" w:hAnsi="Arial"/>
          <w:sz w:val="21"/>
          <w:szCs w:val="21"/>
        </w:rPr>
        <w:t xml:space="preserve">The following battery is specified in advance:</w:t>
      </w:r>
    </w:p>
    <w:p>
      <w:pPr>
        <w:pStyle w:val="ListParagraph"/>
        <w:numPr>
          <w:ilvl w:val="0"/>
          <w:numId w:val="3"/>
        </w:numPr>
        <w:spacing w:after="60"/>
      </w:pPr>
      <w:r>
        <w:rPr>
          <w:rFonts w:ascii="Arial" w:cs="Arial" w:eastAsia="Arial" w:hAnsi="Arial"/>
          <w:sz w:val="21"/>
          <w:szCs w:val="21"/>
        </w:rPr>
        <w:t xml:space="preserve">Composite versus components: replace the soil index with individual soil indicators (organic carbon, nitrogen, pH, CEC, texture).</w:t>
      </w:r>
    </w:p>
    <w:p>
      <w:pPr>
        <w:pStyle w:val="ListParagraph"/>
        <w:numPr>
          <w:ilvl w:val="0"/>
          <w:numId w:val="3"/>
        </w:numPr>
        <w:spacing w:after="60"/>
      </w:pPr>
      <w:r>
        <w:rPr>
          <w:rFonts w:ascii="Arial" w:cs="Arial" w:eastAsia="Arial" w:hAnsi="Arial"/>
          <w:sz w:val="21"/>
          <w:szCs w:val="21"/>
        </w:rPr>
        <w:t xml:space="preserve">Alternative body outcomes: stunting (2022 and 2014), wasting, underweight and minimum dietary diversity; anaemia is unavailable in either KDHS round and so cannot enter the outcome set.</w:t>
      </w:r>
    </w:p>
    <w:p>
      <w:pPr>
        <w:pStyle w:val="ListParagraph"/>
        <w:numPr>
          <w:ilvl w:val="0"/>
          <w:numId w:val="3"/>
        </w:numPr>
        <w:spacing w:after="60"/>
      </w:pPr>
      <w:r>
        <w:rPr>
          <w:rFonts w:ascii="Arial" w:cs="Arial" w:eastAsia="Arial" w:hAnsi="Arial"/>
          <w:sz w:val="21"/>
          <w:szCs w:val="21"/>
        </w:rPr>
        <w:t xml:space="preserve">Index construction: z-score, min-max, target-gap and rank-normalization variants of every index.</w:t>
      </w:r>
    </w:p>
    <w:p>
      <w:pPr>
        <w:pStyle w:val="ListParagraph"/>
        <w:numPr>
          <w:ilvl w:val="0"/>
          <w:numId w:val="3"/>
        </w:numPr>
        <w:spacing w:after="60"/>
      </w:pPr>
      <w:r>
        <w:rPr>
          <w:rFonts w:ascii="Arial" w:cs="Arial" w:eastAsia="Arial" w:hAnsi="Arial"/>
          <w:sz w:val="21"/>
          <w:szCs w:val="21"/>
        </w:rPr>
        <w:t xml:space="preserve">Lag structure: contemporaneous, one-year, three-year and five-year lags where the panel dimension allows.</w:t>
      </w:r>
    </w:p>
    <w:p>
      <w:pPr>
        <w:pStyle w:val="ListParagraph"/>
        <w:numPr>
          <w:ilvl w:val="0"/>
          <w:numId w:val="3"/>
        </w:numPr>
        <w:spacing w:after="60"/>
      </w:pPr>
      <w:r>
        <w:rPr>
          <w:rFonts w:ascii="Arial" w:cs="Arial" w:eastAsia="Arial" w:hAnsi="Arial"/>
          <w:sz w:val="21"/>
          <w:szCs w:val="21"/>
        </w:rPr>
        <w:t xml:space="preserve">No-soil counterfactual: drop soil from the food equation and assess the change in fit and downstream predictions.</w:t>
      </w:r>
    </w:p>
    <w:p>
      <w:pPr>
        <w:pStyle w:val="ListParagraph"/>
        <w:numPr>
          <w:ilvl w:val="0"/>
          <w:numId w:val="3"/>
        </w:numPr>
        <w:spacing w:after="60"/>
      </w:pPr>
      <w:r>
        <w:rPr>
          <w:rFonts w:ascii="Arial" w:cs="Arial" w:eastAsia="Arial" w:hAnsi="Arial"/>
          <w:sz w:val="21"/>
          <w:szCs w:val="21"/>
        </w:rPr>
        <w:t xml:space="preserve">No-feedback counterfactual: impose that policy does not respond to gaps and compare system dynamics.</w:t>
      </w:r>
    </w:p>
    <w:p>
      <w:pPr>
        <w:pStyle w:val="ListParagraph"/>
        <w:numPr>
          <w:ilvl w:val="0"/>
          <w:numId w:val="3"/>
        </w:numPr>
        <w:spacing w:after="60"/>
      </w:pPr>
      <w:r>
        <w:rPr>
          <w:rFonts w:ascii="Arial" w:cs="Arial" w:eastAsia="Arial" w:hAnsi="Arial"/>
          <w:sz w:val="21"/>
          <w:szCs w:val="21"/>
        </w:rPr>
        <w:t xml:space="preserve">Single-sector versus integrated: compare soil-only, nutrition-only and affordability-only specifications against the integrated portfolio.</w:t>
      </w:r>
    </w:p>
    <w:p>
      <w:pPr>
        <w:pStyle w:val="ListParagraph"/>
        <w:numPr>
          <w:ilvl w:val="0"/>
          <w:numId w:val="3"/>
        </w:numPr>
        <w:spacing w:after="60"/>
      </w:pPr>
      <w:r>
        <w:rPr>
          <w:rFonts w:ascii="Arial" w:cs="Arial" w:eastAsia="Arial" w:hAnsi="Arial"/>
          <w:sz w:val="21"/>
          <w:szCs w:val="21"/>
        </w:rPr>
        <w:t xml:space="preserve">Placebo tests: outcomes that should not respond to soil nutrients (a falsification check).</w:t>
      </w:r>
    </w:p>
    <w:p>
      <w:pPr>
        <w:pStyle w:val="ListParagraph"/>
        <w:numPr>
          <w:ilvl w:val="0"/>
          <w:numId w:val="3"/>
        </w:numPr>
        <w:spacing w:after="60"/>
      </w:pPr>
      <w:r>
        <w:rPr>
          <w:rFonts w:ascii="Arial" w:cs="Arial" w:eastAsia="Arial" w:hAnsi="Arial"/>
          <w:sz w:val="21"/>
          <w:szCs w:val="21"/>
        </w:rPr>
        <w:t xml:space="preserve">Subsamples: arid and semi-arid versus high-potential zones; rural versus urban; high versus low poverty; high versus low market access; high versus low nutrition burden.</w:t>
      </w:r>
    </w:p>
    <w:p>
      <w:pPr>
        <w:pStyle w:val="ListParagraph"/>
        <w:numPr>
          <w:ilvl w:val="0"/>
          <w:numId w:val="3"/>
        </w:numPr>
        <w:spacing w:after="60"/>
      </w:pPr>
      <w:r>
        <w:rPr>
          <w:rFonts w:ascii="Arial" w:cs="Arial" w:eastAsia="Arial" w:hAnsi="Arial"/>
          <w:sz w:val="21"/>
          <w:szCs w:val="21"/>
        </w:rPr>
        <w:t xml:space="preserve">Spatial spillovers: spatial lag and spatial error models and neighbor effects across counties.</w:t>
      </w:r>
    </w:p>
    <w:p>
      <w:pPr>
        <w:pStyle w:val="Heading1"/>
      </w:pPr>
      <w:r>
        <w:rPr>
          <w:rFonts w:ascii="Arial" w:cs="Arial" w:eastAsia="Arial" w:hAnsi="Arial"/>
        </w:rPr>
        <w:t xml:space="preserve">7. Policy simulation design</w:t>
      </w:r>
    </w:p>
    <w:p>
      <w:pPr>
        <w:spacing w:after="120" w:line="264"/>
        <w:jc w:val="both"/>
      </w:pPr>
      <w:r>
        <w:rPr>
          <w:rFonts w:ascii="Arial" w:cs="Arial" w:eastAsia="Arial" w:hAnsi="Arial"/>
          <w:sz w:val="21"/>
          <w:szCs w:val="21"/>
        </w:rPr>
        <w:t xml:space="preserve">Four policy portfolios are simulated by applying the estimated pathway elasticities to county baselines and projecting counterfactual outcomes, with a cost layer from Action Plan budget lines and program unit costs.</w:t>
      </w:r>
    </w:p>
    <w:p>
      <w:pPr>
        <w:pStyle w:val="ListParagraph"/>
        <w:numPr>
          <w:ilvl w:val="0"/>
          <w:numId w:val="3"/>
        </w:numPr>
        <w:spacing w:after="60"/>
      </w:pPr>
      <w:r>
        <w:rPr>
          <w:rFonts w:ascii="Arial" w:cs="Arial" w:eastAsia="Arial" w:hAnsi="Arial"/>
          <w:sz w:val="21"/>
          <w:szCs w:val="21"/>
        </w:rPr>
        <w:t xml:space="preserve">Scenario A, soil-health only: soil testing, balanced fertilizer use, organic amendments, erosion control, conservation agriculture and extension.</w:t>
      </w:r>
    </w:p>
    <w:p>
      <w:pPr>
        <w:pStyle w:val="ListParagraph"/>
        <w:numPr>
          <w:ilvl w:val="0"/>
          <w:numId w:val="3"/>
        </w:numPr>
        <w:spacing w:after="60"/>
      </w:pPr>
      <w:r>
        <w:rPr>
          <w:rFonts w:ascii="Arial" w:cs="Arial" w:eastAsia="Arial" w:hAnsi="Arial"/>
          <w:sz w:val="21"/>
          <w:szCs w:val="21"/>
        </w:rPr>
        <w:t xml:space="preserve">Scenario B, nutrition only: supplementation, fortification, nutrition education and maternal-and-child nutrition programs.</w:t>
      </w:r>
    </w:p>
    <w:p>
      <w:pPr>
        <w:pStyle w:val="ListParagraph"/>
        <w:numPr>
          <w:ilvl w:val="0"/>
          <w:numId w:val="3"/>
        </w:numPr>
        <w:spacing w:after="60"/>
      </w:pPr>
      <w:r>
        <w:rPr>
          <w:rFonts w:ascii="Arial" w:cs="Arial" w:eastAsia="Arial" w:hAnsi="Arial"/>
          <w:sz w:val="21"/>
          <w:szCs w:val="21"/>
        </w:rPr>
        <w:t xml:space="preserve">Scenario C, affordability only: food subsidies, cash transfers, school feeding and social protection.</w:t>
      </w:r>
    </w:p>
    <w:p>
      <w:pPr>
        <w:pStyle w:val="ListParagraph"/>
        <w:numPr>
          <w:ilvl w:val="0"/>
          <w:numId w:val="3"/>
        </w:numPr>
        <w:spacing w:after="60"/>
      </w:pPr>
      <w:r>
        <w:rPr>
          <w:rFonts w:ascii="Arial" w:cs="Arial" w:eastAsia="Arial" w:hAnsi="Arial"/>
          <w:sz w:val="21"/>
          <w:szCs w:val="21"/>
        </w:rPr>
        <w:t xml:space="preserve">Scenario D, integrated soil-food-body portfolio: soil-health measures, nutrition-sensitive agriculture, fortification, affordability measures, social protection, school feeding, nutrition education, water and sanitation and health interventions.</w:t>
      </w:r>
    </w:p>
    <w:p>
      <w:pPr>
        <w:spacing w:after="120" w:line="264"/>
        <w:jc w:val="both"/>
      </w:pPr>
      <w:r>
        <w:rPr>
          <w:rFonts w:ascii="Arial" w:cs="Arial" w:eastAsia="Arial" w:hAnsi="Arial"/>
          <w:sz w:val="21"/>
          <w:szCs w:val="21"/>
        </w:rPr>
        <w:t xml:space="preserve">Scenarios are compared on reductions in stunting, gains in dietary diversity, food nutrient density and soil health, cost-effectiveness, county targeting performance, equity and sustainability, and the optimal portfolio is identified on a cost-effectiveness frontier with equity weighting. Anaemia is not measured in the available surveys and so is excluded from the simulated outcomes. The simulation rests on associational elasticities until identification is strengthened, which is stated in every reported result.</w:t>
      </w:r>
    </w:p>
    <w:p>
      <w:pPr>
        <w:pStyle w:val="Heading1"/>
      </w:pPr>
      <w:r>
        <w:rPr>
          <w:rFonts w:ascii="Arial" w:cs="Arial" w:eastAsia="Arial" w:hAnsi="Arial"/>
        </w:rPr>
        <w:t xml:space="preserve">8. Expected contributions</w:t>
      </w:r>
    </w:p>
    <w:p>
      <w:pPr>
        <w:pStyle w:val="ListParagraph"/>
        <w:numPr>
          <w:ilvl w:val="0"/>
          <w:numId w:val="3"/>
        </w:numPr>
        <w:spacing w:after="60"/>
      </w:pPr>
      <w:r>
        <w:rPr>
          <w:rFonts w:ascii="Arial" w:cs="Arial" w:eastAsia="Arial" w:hAnsi="Arial"/>
          <w:sz w:val="21"/>
          <w:szCs w:val="21"/>
        </w:rPr>
        <w:t xml:space="preserve">The first county-level empirical operationalization of the soil-food-body framework for Kenya, linking every node of the pathway in one dataset.</w:t>
      </w:r>
    </w:p>
    <w:p>
      <w:pPr>
        <w:pStyle w:val="ListParagraph"/>
        <w:numPr>
          <w:ilvl w:val="0"/>
          <w:numId w:val="3"/>
        </w:numPr>
        <w:spacing w:after="60"/>
      </w:pPr>
      <w:r>
        <w:rPr>
          <w:rFonts w:ascii="Arial" w:cs="Arial" w:eastAsia="Arial" w:hAnsi="Arial"/>
          <w:sz w:val="21"/>
          <w:szCs w:val="21"/>
        </w:rPr>
        <w:t xml:space="preserve">A method for deriving county food nutrient density from crop production and a national food composition table, transferable to other countries with the same inputs.</w:t>
      </w:r>
    </w:p>
    <w:p>
      <w:pPr>
        <w:pStyle w:val="ListParagraph"/>
        <w:numPr>
          <w:ilvl w:val="0"/>
          <w:numId w:val="3"/>
        </w:numPr>
        <w:spacing w:after="60"/>
      </w:pPr>
      <w:r>
        <w:rPr>
          <w:rFonts w:ascii="Arial" w:cs="Arial" w:eastAsia="Arial" w:hAnsi="Arial"/>
          <w:sz w:val="21"/>
          <w:szCs w:val="21"/>
        </w:rPr>
        <w:t xml:space="preserve">A multilevel design that merges gridded soil and county food indices onto DHS children, reducing ecological-inference bias in the food-to-body link.</w:t>
      </w:r>
    </w:p>
    <w:p>
      <w:pPr>
        <w:pStyle w:val="ListParagraph"/>
        <w:numPr>
          <w:ilvl w:val="0"/>
          <w:numId w:val="3"/>
        </w:numPr>
        <w:spacing w:after="60"/>
      </w:pPr>
      <w:r>
        <w:rPr>
          <w:rFonts w:ascii="Arial" w:cs="Arial" w:eastAsia="Arial" w:hAnsi="Arial"/>
          <w:sz w:val="21"/>
          <w:szCs w:val="21"/>
        </w:rPr>
        <w:t xml:space="preserve">A reproducible, provenance-tracked pipeline that makes the analysis auditable and rerunnable.</w:t>
      </w:r>
    </w:p>
    <w:p>
      <w:pPr>
        <w:pStyle w:val="ListParagraph"/>
        <w:numPr>
          <w:ilvl w:val="0"/>
          <w:numId w:val="3"/>
        </w:numPr>
        <w:spacing w:after="60"/>
      </w:pPr>
      <w:r>
        <w:rPr>
          <w:rFonts w:ascii="Arial" w:cs="Arial" w:eastAsia="Arial" w:hAnsi="Arial"/>
          <w:sz w:val="21"/>
          <w:szCs w:val="21"/>
        </w:rPr>
        <w:t xml:space="preserve">A policy-signal mapping that connects Kenya instruments to the specific nutrient gaps they address.</w:t>
      </w:r>
    </w:p>
    <w:p>
      <w:pPr>
        <w:pStyle w:val="Heading1"/>
      </w:pPr>
      <w:r>
        <w:rPr>
          <w:rFonts w:ascii="Arial" w:cs="Arial" w:eastAsia="Arial" w:hAnsi="Arial"/>
        </w:rPr>
        <w:t xml:space="preserve">9. Limitations</w:t>
      </w:r>
    </w:p>
    <w:p>
      <w:pPr>
        <w:pStyle w:val="ListParagraph"/>
        <w:numPr>
          <w:ilvl w:val="0"/>
          <w:numId w:val="3"/>
        </w:numPr>
        <w:spacing w:after="60"/>
      </w:pPr>
      <w:r>
        <w:rPr>
          <w:rFonts w:ascii="Arial" w:cs="Arial" w:eastAsia="Arial" w:hAnsi="Arial"/>
          <w:sz w:val="21"/>
          <w:szCs w:val="21"/>
        </w:rPr>
        <w:t xml:space="preserve">Most estimates remain cross-sectional, and soil is time-invariant. The 2014 round adds a second body time point, which supports a lagged-outcome Stage 5, but two points and a single soil cross-section still leave the full four-vector dynamic system aspirational pending further survey rounds and the expenditure panel.</w:t>
      </w:r>
    </w:p>
    <w:p>
      <w:pPr>
        <w:pStyle w:val="ListParagraph"/>
        <w:numPr>
          <w:ilvl w:val="0"/>
          <w:numId w:val="3"/>
        </w:numPr>
        <w:spacing w:after="60"/>
      </w:pPr>
      <w:r>
        <w:rPr>
          <w:rFonts w:ascii="Arial" w:cs="Arial" w:eastAsia="Arial" w:hAnsi="Arial"/>
          <w:sz w:val="21"/>
          <w:szCs w:val="21"/>
        </w:rPr>
        <w:t xml:space="preserve">Soil micronutrients (P, K, Zn, Fe) are supplied for all 47 counties by the gridded iSDAsoil layer, with the sparse AfSIS sentinel points (two counties) retained as an independent validation set; the SoilGrids macro-properties are modeled rather than measured, and all soil layers are single cross-sections, so soil is identified between counties, not within them.</w:t>
      </w:r>
    </w:p>
    <w:p>
      <w:pPr>
        <w:pStyle w:val="ListParagraph"/>
        <w:numPr>
          <w:ilvl w:val="0"/>
          <w:numId w:val="3"/>
        </w:numPr>
        <w:spacing w:after="60"/>
      </w:pPr>
      <w:r>
        <w:rPr>
          <w:rFonts w:ascii="Arial" w:cs="Arial" w:eastAsia="Arial" w:hAnsi="Arial"/>
          <w:sz w:val="21"/>
          <w:szCs w:val="21"/>
        </w:rPr>
        <w:t xml:space="preserve">Food nutrient density is production-based availability, not consumption, and abstracts from trade, losses and intra-county distribution.</w:t>
      </w:r>
    </w:p>
    <w:p>
      <w:pPr>
        <w:pStyle w:val="ListParagraph"/>
        <w:numPr>
          <w:ilvl w:val="0"/>
          <w:numId w:val="3"/>
        </w:numPr>
        <w:spacing w:after="60"/>
      </w:pPr>
      <w:r>
        <w:rPr>
          <w:rFonts w:ascii="Arial" w:cs="Arial" w:eastAsia="Arial" w:hAnsi="Arial"/>
          <w:sz w:val="21"/>
          <w:szCs w:val="21"/>
        </w:rPr>
        <w:t xml:space="preserve">Minimum dietary diversity, maternal BMI, diarrhoea and vitamin A supplementation are extracted to county, and the 2014 round adds a second time point and a stunting trend. Anaemia, however, is unavailable: neither the 2014 nor the 2022 KDHS measured haemoglobin, and the only Kenyan anaemia readings come from the malaria-frame 2010 and 2015 MIS, which are not county-representative, so anaemia stays a genuine gap rather than a pending extraction.</w:t>
      </w:r>
    </w:p>
    <w:p>
      <w:pPr>
        <w:pStyle w:val="ListParagraph"/>
        <w:numPr>
          <w:ilvl w:val="0"/>
          <w:numId w:val="3"/>
        </w:numPr>
        <w:spacing w:after="60"/>
      </w:pPr>
      <w:r>
        <w:rPr>
          <w:rFonts w:ascii="Arial" w:cs="Arial" w:eastAsia="Arial" w:hAnsi="Arial"/>
          <w:sz w:val="21"/>
          <w:szCs w:val="21"/>
        </w:rPr>
        <w:t xml:space="preserve">The county policy panel is now assembled for the fertilizer-subsidy rollout (the staggered instrument), with the Controller of Budget agricultural expenditure series scaffolded and awaiting its county CSVs; Stage 3 (body to health) is not estimated because no distinct county-level health outcome is yet available. These are the principal remaining data gaps.</w:t>
      </w:r>
    </w:p>
    <w:p>
      <w:pPr>
        <w:pStyle w:val="ListParagraph"/>
        <w:numPr>
          <w:ilvl w:val="0"/>
          <w:numId w:val="3"/>
        </w:numPr>
        <w:spacing w:after="60"/>
      </w:pPr>
      <w:r>
        <w:rPr>
          <w:rFonts w:ascii="Arial" w:cs="Arial" w:eastAsia="Arial" w:hAnsi="Arial"/>
          <w:sz w:val="21"/>
          <w:szCs w:val="21"/>
        </w:rPr>
        <w:t xml:space="preserve">Market price coverage is 17 of 47 counties, limiting affordability controls in the price-using specifications.</w:t>
      </w:r>
    </w:p>
    <w:p>
      <w:pPr>
        <w:pStyle w:val="ListParagraph"/>
        <w:numPr>
          <w:ilvl w:val="0"/>
          <w:numId w:val="3"/>
        </w:numPr>
        <w:spacing w:after="60"/>
      </w:pPr>
      <w:r>
        <w:rPr>
          <w:rFonts w:ascii="Arial" w:cs="Arial" w:eastAsia="Arial" w:hAnsi="Arial"/>
          <w:sz w:val="21"/>
          <w:szCs w:val="21"/>
        </w:rPr>
        <w:t xml:space="preserve">County-level aggregation risks ecological inference, mitigated but not eliminated by the child-level models.</w:t>
      </w:r>
    </w:p>
    <w:p>
      <w:pPr>
        <w:pStyle w:val="Heading1"/>
      </w:pPr>
      <w:r>
        <w:rPr>
          <w:rFonts w:ascii="Arial" w:cs="Arial" w:eastAsia="Arial" w:hAnsi="Arial"/>
        </w:rPr>
        <w:t xml:space="preserve">10. Policy implications for Kenya</w:t>
      </w:r>
    </w:p>
    <w:p>
      <w:pPr>
        <w:spacing w:after="120" w:line="264"/>
        <w:jc w:val="both"/>
      </w:pPr>
      <w:r>
        <w:rPr>
          <w:rFonts w:ascii="Arial" w:cs="Arial" w:eastAsia="Arial" w:hAnsi="Arial"/>
          <w:sz w:val="21"/>
          <w:szCs w:val="21"/>
        </w:rPr>
        <w:t xml:space="preserve">The strategy is built to answer a policy question: where in the chain, and in which counties, is the binding constraint, and which instruments relieve it. If, as expected, soil-to-food gradients are present but the food-to-body link is mediated by affordability, diet quality and sanitation, the implication is that single-sector programs will underperform an integrated portfolio (Scenario D), and that instruments should be matched county by county to the weakest link. Table 3 maps Kenya instruments to the gaps they address and the pathway stage they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2750"/>
        <w:gridCol w:w="900"/>
        <w:gridCol w:w="3160"/>
      </w:tblGrid>
      <w:tr>
        <w:trPr>
          <w:tblHeader/>
        </w:trPr>
        <w:tc>
          <w:tcPr>
            <w:tcW w:type="dxa" w:w="25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Policy instrument</w:t>
            </w:r>
          </w:p>
        </w:tc>
        <w:tc>
          <w:tcPr>
            <w:tcW w:type="dxa" w:w="275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Gap addressed</w:t>
            </w:r>
          </w:p>
        </w:tc>
        <w:tc>
          <w:tcPr>
            <w:tcW w:type="dxa" w:w="90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Stage</w:t>
            </w:r>
          </w:p>
        </w:tc>
        <w:tc>
          <w:tcPr>
            <w:tcW w:type="dxa" w:w="3160"/>
            <w:tcBorders>
              <w:top w:val="single" w:color="BFBFBF" w:sz="1"/>
              <w:left w:val="single" w:color="BFBFBF" w:sz="1"/>
              <w:bottom w:val="single" w:color="BFBFBF" w:sz="1"/>
              <w:right w:val="single" w:color="BFBFBF" w:sz="1"/>
            </w:tcBorders>
            <w:shd w:fill="2E75B6" w:val="clear"/>
            <w:tcMar>
              <w:top w:type="dxa" w:w="50"/>
              <w:left w:type="dxa" w:w="100"/>
              <w:bottom w:type="dxa" w:w="50"/>
              <w:right w:type="dxa" w:w="100"/>
            </w:tcMar>
          </w:tcPr>
          <w:p>
            <w:r>
              <w:rPr>
                <w:rFonts w:ascii="Arial" w:cs="Arial" w:eastAsia="Arial" w:hAnsi="Arial"/>
                <w:b/>
                <w:bCs/>
                <w:color w:val="FFFFFF"/>
                <w:sz w:val="16"/>
                <w:szCs w:val="16"/>
              </w:rPr>
              <w:t xml:space="preserve">Kenya status</w:t>
            </w:r>
          </w:p>
        </w:tc>
      </w:tr>
      <w:tr>
        <w:tc>
          <w:tcPr>
            <w:tcW w:type="dxa" w:w="25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Fertilizer subsidy (e-voucher)</w:t>
            </w:r>
          </w:p>
        </w:tc>
        <w:tc>
          <w:tcPr>
            <w:tcW w:type="dxa" w:w="27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soil macronutrient depletion to food</w:t>
            </w:r>
          </w:p>
        </w:tc>
        <w:tc>
          <w:tcPr>
            <w:tcW w:type="dxa" w:w="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1, 5</w:t>
            </w:r>
          </w:p>
        </w:tc>
        <w:tc>
          <w:tcPr>
            <w:tcW w:type="dxa" w:w="3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active; targeting debated</w:t>
            </w:r>
          </w:p>
        </w:tc>
      </w:tr>
      <w:tr>
        <w:tc>
          <w:tcPr>
            <w:tcW w:type="dxa" w:w="25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Soil testing and extension</w:t>
            </w:r>
          </w:p>
        </w:tc>
        <w:tc>
          <w:tcPr>
            <w:tcW w:type="dxa" w:w="27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soil knowledge to practice</w:t>
            </w:r>
          </w:p>
        </w:tc>
        <w:tc>
          <w:tcPr>
            <w:tcW w:type="dxa" w:w="9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1, 5</w:t>
            </w:r>
          </w:p>
        </w:tc>
        <w:tc>
          <w:tcPr>
            <w:tcW w:type="dxa" w:w="316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limited county coverage</w:t>
            </w:r>
          </w:p>
        </w:tc>
      </w:tr>
      <w:tr>
        <w:tc>
          <w:tcPr>
            <w:tcW w:type="dxa" w:w="25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Biofortification (iron beans, vitamin-A maize and sweet potato)</w:t>
            </w:r>
          </w:p>
        </w:tc>
        <w:tc>
          <w:tcPr>
            <w:tcW w:type="dxa" w:w="27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food micronutrient density</w:t>
            </w:r>
          </w:p>
        </w:tc>
        <w:tc>
          <w:tcPr>
            <w:tcW w:type="dxa" w:w="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1, 2</w:t>
            </w:r>
          </w:p>
        </w:tc>
        <w:tc>
          <w:tcPr>
            <w:tcW w:type="dxa" w:w="3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scaling</w:t>
            </w:r>
          </w:p>
        </w:tc>
      </w:tr>
      <w:tr>
        <w:tc>
          <w:tcPr>
            <w:tcW w:type="dxa" w:w="25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Fortification mandates (flour, oil, salt)</w:t>
            </w:r>
          </w:p>
        </w:tc>
        <w:tc>
          <w:tcPr>
            <w:tcW w:type="dxa" w:w="27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food micronutrient content</w:t>
            </w:r>
          </w:p>
        </w:tc>
        <w:tc>
          <w:tcPr>
            <w:tcW w:type="dxa" w:w="9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w:t>
            </w:r>
          </w:p>
        </w:tc>
        <w:tc>
          <w:tcPr>
            <w:tcW w:type="dxa" w:w="316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mandated; compliance gaps</w:t>
            </w:r>
          </w:p>
        </w:tc>
      </w:tr>
      <w:tr>
        <w:tc>
          <w:tcPr>
            <w:tcW w:type="dxa" w:w="25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School feeding</w:t>
            </w:r>
          </w:p>
        </w:tc>
        <w:tc>
          <w:tcPr>
            <w:tcW w:type="dxa" w:w="27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child diet and affordability</w:t>
            </w:r>
          </w:p>
        </w:tc>
        <w:tc>
          <w:tcPr>
            <w:tcW w:type="dxa" w:w="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2, 3</w:t>
            </w:r>
          </w:p>
        </w:tc>
        <w:tc>
          <w:tcPr>
            <w:tcW w:type="dxa" w:w="3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expanding</w:t>
            </w:r>
          </w:p>
        </w:tc>
      </w:tr>
      <w:tr>
        <w:tc>
          <w:tcPr>
            <w:tcW w:type="dxa" w:w="25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Social protection (cash transfers, hunger safety net)</w:t>
            </w:r>
          </w:p>
        </w:tc>
        <w:tc>
          <w:tcPr>
            <w:tcW w:type="dxa" w:w="27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affordability to diet</w:t>
            </w:r>
          </w:p>
        </w:tc>
        <w:tc>
          <w:tcPr>
            <w:tcW w:type="dxa" w:w="9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w:t>
            </w:r>
          </w:p>
        </w:tc>
        <w:tc>
          <w:tcPr>
            <w:tcW w:type="dxa" w:w="316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active in arid lands</w:t>
            </w:r>
          </w:p>
        </w:tc>
      </w:tr>
      <w:tr>
        <w:tc>
          <w:tcPr>
            <w:tcW w:type="dxa" w:w="25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Price policy and strategic reserve</w:t>
            </w:r>
          </w:p>
        </w:tc>
        <w:tc>
          <w:tcPr>
            <w:tcW w:type="dxa" w:w="27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staple affordability</w:t>
            </w:r>
          </w:p>
        </w:tc>
        <w:tc>
          <w:tcPr>
            <w:tcW w:type="dxa" w:w="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2</w:t>
            </w:r>
          </w:p>
        </w:tc>
        <w:tc>
          <w:tcPr>
            <w:tcW w:type="dxa" w:w="3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active</w:t>
            </w:r>
          </w:p>
        </w:tc>
      </w:tr>
      <w:tr>
        <w:tc>
          <w:tcPr>
            <w:tcW w:type="dxa" w:w="25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Nutrition education and infant feeding</w:t>
            </w:r>
          </w:p>
        </w:tc>
        <w:tc>
          <w:tcPr>
            <w:tcW w:type="dxa" w:w="27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diet quality</w:t>
            </w:r>
          </w:p>
        </w:tc>
        <w:tc>
          <w:tcPr>
            <w:tcW w:type="dxa" w:w="9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2</w:t>
            </w:r>
          </w:p>
        </w:tc>
        <w:tc>
          <w:tcPr>
            <w:tcW w:type="dxa" w:w="316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county-led</w:t>
            </w:r>
          </w:p>
        </w:tc>
      </w:tr>
      <w:tr>
        <w:tc>
          <w:tcPr>
            <w:tcW w:type="dxa" w:w="25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Water, sanitation and hygiene</w:t>
            </w:r>
          </w:p>
        </w:tc>
        <w:tc>
          <w:tcPr>
            <w:tcW w:type="dxa" w:w="275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absorption and disease</w:t>
            </w:r>
          </w:p>
        </w:tc>
        <w:tc>
          <w:tcPr>
            <w:tcW w:type="dxa" w:w="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3</w:t>
            </w:r>
          </w:p>
        </w:tc>
        <w:tc>
          <w:tcPr>
            <w:tcW w:type="dxa" w:w="316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rFonts w:ascii="Arial" w:cs="Arial" w:eastAsia="Arial" w:hAnsi="Arial"/>
                <w:b w:val="false"/>
                <w:bCs w:val="false"/>
                <w:color w:val="000000"/>
                <w:sz w:val="16"/>
                <w:szCs w:val="16"/>
              </w:rPr>
              <w:t xml:space="preserve">nutrition-sensitive</w:t>
            </w:r>
          </w:p>
        </w:tc>
      </w:tr>
      <w:tr>
        <w:tc>
          <w:tcPr>
            <w:tcW w:type="dxa" w:w="25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County nutrition budgets and development plans</w:t>
            </w:r>
          </w:p>
        </w:tc>
        <w:tc>
          <w:tcPr>
            <w:tcW w:type="dxa" w:w="275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targeting and integration</w:t>
            </w:r>
          </w:p>
        </w:tc>
        <w:tc>
          <w:tcPr>
            <w:tcW w:type="dxa" w:w="90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4, 5</w:t>
            </w:r>
          </w:p>
        </w:tc>
        <w:tc>
          <w:tcPr>
            <w:tcW w:type="dxa" w:w="3160"/>
            <w:tcBorders>
              <w:top w:val="single" w:color="BFBFBF" w:sz="1"/>
              <w:left w:val="single" w:color="BFBFBF" w:sz="1"/>
              <w:bottom w:val="single" w:color="BFBFBF" w:sz="1"/>
              <w:right w:val="single" w:color="BFBFBF" w:sz="1"/>
            </w:tcBorders>
            <w:shd w:fill="EAF0F9" w:val="clear"/>
            <w:tcMar>
              <w:top w:type="dxa" w:w="50"/>
              <w:left w:type="dxa" w:w="100"/>
              <w:bottom w:type="dxa" w:w="50"/>
              <w:right w:type="dxa" w:w="100"/>
            </w:tcMar>
          </w:tcPr>
          <w:p>
            <w:r>
              <w:rPr>
                <w:rFonts w:ascii="Arial" w:cs="Arial" w:eastAsia="Arial" w:hAnsi="Arial"/>
                <w:b w:val="false"/>
                <w:bCs w:val="false"/>
                <w:color w:val="000000"/>
                <w:sz w:val="16"/>
                <w:szCs w:val="16"/>
              </w:rPr>
              <w:t xml:space="preserve">devolved; variable</w:t>
            </w:r>
          </w:p>
        </w:tc>
      </w:tr>
    </w:tbl>
    <w:p>
      <w:pPr>
        <w:spacing w:after="120"/>
        <w:jc w:val="center"/>
      </w:pPr>
      <w:r>
        <w:rPr>
          <w:rFonts w:ascii="Arial" w:cs="Arial" w:eastAsia="Arial" w:hAnsi="Arial"/>
          <w:i/>
          <w:iCs/>
          <w:color w:val="404040"/>
          <w:sz w:val="17"/>
          <w:szCs w:val="17"/>
        </w:rPr>
        <w:t xml:space="preserve">Table 3. Kenya policy instruments matched to the nutrient gaps they address.</w:t>
      </w:r>
    </w:p>
    <w:p>
      <w:pPr>
        <w:spacing w:after="120" w:line="264"/>
        <w:jc w:val="both"/>
      </w:pPr>
      <w:r>
        <w:rPr>
          <w:rFonts w:ascii="Arial" w:cs="Arial" w:eastAsia="Arial" w:hAnsi="Arial"/>
          <w:sz w:val="21"/>
          <w:szCs w:val="21"/>
        </w:rPr>
        <w:t xml:space="preserve">The validation of the survey aggregates against the policy document (county child stunting of 37.4 percent in Kilifi against the 37 cited in the Action Plan, and a county mean of 17.7 percent against the national 18) shows that the dataset is accurate enough to hold policy targets to account and to rank counties by need. The high-gap cluster (including Kilifi, West Pokot and Samburu, alongside the arid and semi-arid counties) is where an integrated portfolio should be concentrated first.</w:t>
      </w:r>
    </w:p>
    <w:p>
      <w:r>
        <w:br w:type="page"/>
      </w:r>
    </w:p>
    <w:p>
      <w:pPr>
        <w:pStyle w:val="Heading1"/>
      </w:pPr>
      <w:r>
        <w:rPr>
          <w:rFonts w:ascii="Arial" w:cs="Arial" w:eastAsia="Arial" w:hAnsi="Arial"/>
        </w:rPr>
        <w:t xml:space="preserve">Appendix: Policy brief</w:t>
      </w:r>
    </w:p>
    <w:p>
      <w:pPr>
        <w:spacing w:after="120" w:line="264"/>
        <w:jc w:val="both"/>
      </w:pPr>
      <w:r>
        <w:rPr>
          <w:rFonts w:ascii="Arial" w:cs="Arial" w:eastAsia="Arial" w:hAnsi="Arial"/>
          <w:b/>
          <w:bCs/>
          <w:sz w:val="21"/>
          <w:szCs w:val="21"/>
        </w:rPr>
        <w:t xml:space="preserve">Soil, food and child nutrition in Kenya: aligning the instruments. </w:t>
      </w:r>
      <w:r>
        <w:rPr>
          <w:rFonts w:ascii="Arial" w:cs="Arial" w:eastAsia="Arial" w:hAnsi="Arial"/>
          <w:sz w:val="21"/>
          <w:szCs w:val="21"/>
        </w:rPr>
        <w:t xml:space="preserve">Kenya child stunting is high and spatially uneven, and the counties that carry the heaviest burden are also, in many cases, those with the weakest soils and the thinnest markets. A new county dataset that links soil quality, the nutrient density of food produced, child anthropometry and policy now makes it possible to ask where each link in the chain breaks, county by county.</w:t>
      </w:r>
    </w:p>
    <w:p>
      <w:pPr>
        <w:spacing w:after="120" w:line="264"/>
        <w:jc w:val="both"/>
      </w:pPr>
      <w:r>
        <w:rPr>
          <w:rFonts w:ascii="Arial" w:cs="Arial" w:eastAsia="Arial" w:hAnsi="Arial"/>
          <w:b/>
          <w:bCs/>
          <w:sz w:val="21"/>
          <w:szCs w:val="21"/>
        </w:rPr>
        <w:t xml:space="preserve">What the analysis can show. </w:t>
      </w:r>
      <w:r>
        <w:rPr>
          <w:rFonts w:ascii="Arial" w:cs="Arial" w:eastAsia="Arial" w:hAnsi="Arial"/>
          <w:sz w:val="21"/>
          <w:szCs w:val="21"/>
        </w:rPr>
        <w:t xml:space="preserve">Whether counties with better soils produce more nutrient-dense food; whether that food translates into better child growth or is blocked by affordability, diet quality and sanitation; and whether current policy is directed to the counties with the largest gaps.</w:t>
      </w:r>
    </w:p>
    <w:p>
      <w:pPr>
        <w:spacing w:after="120" w:line="264"/>
        <w:jc w:val="both"/>
      </w:pPr>
      <w:r>
        <w:rPr>
          <w:rFonts w:ascii="Arial" w:cs="Arial" w:eastAsia="Arial" w:hAnsi="Arial"/>
          <w:b/>
          <w:bCs/>
          <w:sz w:val="21"/>
          <w:szCs w:val="21"/>
        </w:rPr>
        <w:t xml:space="preserve">What it implies for policy. </w:t>
      </w:r>
      <w:r>
        <w:rPr>
          <w:rFonts w:ascii="Arial" w:cs="Arial" w:eastAsia="Arial" w:hAnsi="Arial"/>
          <w:sz w:val="21"/>
          <w:szCs w:val="21"/>
        </w:rPr>
        <w:t xml:space="preserve">Single-sector fixes are unlikely to be enough. Closing the soil-to-food link (fertilizer, soil testing, biofortification) raises the nutrient content of what is grown, but the food-to-body link also needs affordability and sanitation measures (social protection, school feeding, fortification, water and sanitation) to convert better food into better nutrition. The strongest returns come from an integrated portfolio targeted to the highest-gap counties rather than spread evenly.</w:t>
      </w:r>
    </w:p>
    <w:p>
      <w:pPr>
        <w:spacing w:after="120" w:line="264"/>
        <w:jc w:val="both"/>
      </w:pPr>
      <w:r>
        <w:rPr>
          <w:rFonts w:ascii="Arial" w:cs="Arial" w:eastAsia="Arial" w:hAnsi="Arial"/>
          <w:b/>
          <w:bCs/>
          <w:sz w:val="21"/>
          <w:szCs w:val="21"/>
        </w:rPr>
        <w:t xml:space="preserve">What is needed next. </w:t>
      </w:r>
      <w:r>
        <w:rPr>
          <w:rFonts w:ascii="Arial" w:cs="Arial" w:eastAsia="Arial" w:hAnsi="Arial"/>
          <w:sz w:val="21"/>
          <w:szCs w:val="21"/>
        </w:rPr>
        <w:t xml:space="preserve">With soil micronutrients, food nutrient density, dietary diversity, maternal BMI, the 2014 second time point and the climate and household controls now in place, and the fertilizer-subsidy rollout assembled as the policy instrument, the main remaining data step is ingesting the Controller of Budget county expenditure series so the effort dimension of the policy response can be measured. Anaemia cannot be recovered from the DHS, since neither round measured it, and so is set aside as a documented gap.</w:t>
      </w:r>
    </w:p>
    <w:p>
      <w:pPr>
        <w:spacing w:after="120" w:line="264"/>
        <w:jc w:val="both"/>
      </w:pPr>
      <w:r>
        <w:rPr>
          <w:rFonts w:ascii="Arial" w:cs="Arial" w:eastAsia="Arial" w:hAnsi="Arial"/>
          <w:b/>
          <w:bCs/>
          <w:sz w:val="21"/>
          <w:szCs w:val="21"/>
        </w:rPr>
        <w:t xml:space="preserve">Note on evidence. </w:t>
      </w:r>
      <w:r>
        <w:rPr>
          <w:rFonts w:ascii="Arial" w:cs="Arial" w:eastAsia="Arial" w:hAnsi="Arial"/>
          <w:sz w:val="21"/>
          <w:szCs w:val="21"/>
        </w:rPr>
        <w:t xml:space="preserve">Current results are associational and should guide prioritization and further study; causal claims await the instrumental and panel extensions described in the empirical strategy.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Soil-Food-Body Nutrient Pathway in Kenya - Empirical strategy  |  Aboubacar HEMA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30"/>
      </w:pPr>
    </w:lvl>
  </w:abstractNum>
  <w:abstractNum w:abstractNumId="3" w15:restartNumberingAfterBreak="0">
    <w:multiLevelType w:val="hybridMultilevel"/>
    <w:lvl w:ilvl="0" w15:tentative="1">
      <w:start w:val="1"/>
      <w:numFmt w:val="decimal"/>
      <w:lvlText w:val="%1."/>
      <w:lvlJc w:val="left"/>
      <w:pPr>
        <w:ind w:left="440"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Arial" w:cs="Arial" w:eastAsia="Arial" w:hAnsi="Arial"/>
      <w:b/>
      <w:bCs/>
      <w:color w:val="1F3864"/>
      <w:sz w:val="25"/>
      <w:szCs w:val="25"/>
    </w:rPr>
  </w:style>
  <w:style w:type="paragraph" w:styleId="Heading2">
    <w:name w:val="Heading 2"/>
    <w:basedOn w:val="Normal"/>
    <w:next w:val="Normal"/>
    <w:qFormat/>
    <w:pPr>
      <w:spacing w:after="70" w:before="140"/>
      <w:outlineLvl w:val="1"/>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8e1640cc9e7cc6a2615da3e2af87de82698d7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Operationalizing the Soil-Food-Body Nutrient Pathway in Kenya - Empirical strategy</dc:title>
  <dc:creator>Aboubacar HEMA</dc:creator>
  <dc:description>Submission-quality empirical strategy section for a county-level Kenya analysis</dc:description>
  <cp:lastModifiedBy>Aboubacar HEMA</cp:lastModifiedBy>
  <cp:revision>1</cp:revision>
  <dcterms:created xsi:type="dcterms:W3CDTF">2026-06-25T17:16:45.905Z</dcterms:created>
  <dcterms:modified xsi:type="dcterms:W3CDTF">2026-06-25T17:16:45.906Z</dcterms:modified>
</cp:coreProperties>
</file>

<file path=docProps/custom.xml><?xml version="1.0" encoding="utf-8"?>
<Properties xmlns="http://schemas.openxmlformats.org/officeDocument/2006/custom-properties" xmlns:vt="http://schemas.openxmlformats.org/officeDocument/2006/docPropsVTypes"/>
</file>