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b/>
          <w:bCs/>
          <w:color w:val="1F3864"/>
          <w:sz w:val="44"/>
          <w:szCs w:val="44"/>
        </w:rPr>
        <w:t xml:space="preserve">`mediaite-ghostink`: Robustness, Integrity, and Forensic Credibility Report</w:t>
      </w:r>
    </w:p>
    <w:p>
      <w:pPr>
        <w:pStyle w:val="Heading2"/>
        <w:spacing w:after="160" w:before="320"/>
      </w:pPr>
      <w:r>
        <w:rPr>
          <w:rFonts w:ascii="Calibri" w:cs="Calibri" w:eastAsia="Calibri" w:hAnsi="Calibri"/>
          <w:b/>
          <w:bCs/>
          <w:color w:val="1F3864"/>
          <w:sz w:val="32"/>
          <w:szCs w:val="32"/>
        </w:rPr>
        <w:t xml:space="preserve">A codebase-level review of the protocols and systems that underpin the project's evidentiary claims</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Executive Summary</w:t>
      </w:r>
    </w:p>
    <w:p>
      <w:pPr>
        <w:spacing w:after="140" w:before="80" w:line="320"/>
        <w:jc w:val="both"/>
      </w:pPr>
      <w:r>
        <w:rPr>
          <w:rFonts w:ascii="Calibri" w:cs="Calibri" w:eastAsia="Calibri" w:hAnsi="Calibri"/>
          <w:sz w:val="22"/>
          <w:szCs w:val="22"/>
        </w:rPr>
        <w:t xml:space="preserve">This document evaluates the operational protocols and systems implemented within the </w:t>
      </w:r>
      <w:r>
        <w:rPr>
          <w:rFonts w:ascii="Consolas" w:cs="Consolas" w:eastAsia="Consolas" w:hAnsi="Consolas"/>
          <w:sz w:val="20"/>
          <w:szCs w:val="20"/>
          <w:shd w:fill="F2F2F2" w:color="auto" w:val="clear"/>
        </w:rPr>
        <w:t xml:space="preserve">mediaite-ghostink</w:t>
      </w:r>
      <w:r>
        <w:rPr>
          <w:rFonts w:ascii="Calibri" w:cs="Calibri" w:eastAsia="Calibri" w:hAnsi="Calibri"/>
          <w:sz w:val="22"/>
          <w:szCs w:val="22"/>
        </w:rPr>
        <w:t xml:space="preserve"> codebase that support three pillars of credibility: </w:t>
      </w:r>
      <w:r>
        <w:rPr>
          <w:rFonts w:ascii="Calibri" w:cs="Calibri" w:eastAsia="Calibri" w:hAnsi="Calibri"/>
          <w:b/>
          <w:bCs/>
          <w:sz w:val="22"/>
          <w:szCs w:val="22"/>
        </w:rPr>
        <w:t xml:space="preserve">forensic credibility</w:t>
      </w:r>
      <w:r>
        <w:rPr>
          <w:rFonts w:ascii="Calibri" w:cs="Calibri" w:eastAsia="Calibri" w:hAnsi="Calibri"/>
          <w:sz w:val="22"/>
          <w:szCs w:val="22"/>
        </w:rPr>
        <w:t xml:space="preserve"> (the ability to defend a finding before an adversarial reviewer), </w:t>
      </w:r>
      <w:r>
        <w:rPr>
          <w:rFonts w:ascii="Calibri" w:cs="Calibri" w:eastAsia="Calibri" w:hAnsi="Calibri"/>
          <w:b/>
          <w:bCs/>
          <w:sz w:val="22"/>
          <w:szCs w:val="22"/>
        </w:rPr>
        <w:t xml:space="preserve">data security and integrity</w:t>
      </w:r>
      <w:r>
        <w:rPr>
          <w:rFonts w:ascii="Calibri" w:cs="Calibri" w:eastAsia="Calibri" w:hAnsi="Calibri"/>
          <w:sz w:val="22"/>
          <w:szCs w:val="22"/>
        </w:rPr>
        <w:t xml:space="preserve"> (the assurance that the corpus and its derivatives are not silently corrupted, mutated, or contaminated), and </w:t>
      </w:r>
      <w:r>
        <w:rPr>
          <w:rFonts w:ascii="Calibri" w:cs="Calibri" w:eastAsia="Calibri" w:hAnsi="Calibri"/>
          <w:b/>
          <w:bCs/>
          <w:sz w:val="22"/>
          <w:szCs w:val="22"/>
        </w:rPr>
        <w:t xml:space="preserve">research credibility</w:t>
      </w:r>
      <w:r>
        <w:rPr>
          <w:rFonts w:ascii="Calibri" w:cs="Calibri" w:eastAsia="Calibri" w:hAnsi="Calibri"/>
          <w:sz w:val="22"/>
          <w:szCs w:val="22"/>
        </w:rPr>
        <w:t xml:space="preserve"> (the statistical and methodological rigor required for findings to be reproducible and publishable).</w:t>
      </w:r>
    </w:p>
    <w:p>
      <w:pPr>
        <w:spacing w:after="140" w:before="80" w:line="320"/>
        <w:jc w:val="both"/>
      </w:pPr>
      <w:r>
        <w:rPr>
          <w:rFonts w:ascii="Calibri" w:cs="Calibri" w:eastAsia="Calibri" w:hAnsi="Calibri"/>
          <w:sz w:val="22"/>
          <w:szCs w:val="22"/>
        </w:rPr>
        <w:t xml:space="preserve">The pipeline does not rely on a single safeguard. It is built as a layered system of </w:t>
      </w:r>
      <w:r>
        <w:rPr>
          <w:rFonts w:ascii="Calibri" w:cs="Calibri" w:eastAsia="Calibri" w:hAnsi="Calibri"/>
          <w:i/>
          <w:iCs/>
          <w:sz w:val="22"/>
          <w:szCs w:val="22"/>
        </w:rPr>
        <w:t xml:space="preserve">enforceable</w:t>
      </w:r>
      <w:r>
        <w:rPr>
          <w:rFonts w:ascii="Calibri" w:cs="Calibri" w:eastAsia="Calibri" w:hAnsi="Calibri"/>
          <w:sz w:val="22"/>
          <w:szCs w:val="22"/>
        </w:rPr>
        <w:t xml:space="preserve"> controls — pre-registration locks with cryptographic verification, per-article and corpus-level content hashing, configuration-hash invalidation of stale results, byte-identical parallel parity testing, schema-constrained storage, multiple-comparison correction, calibration against synthetic ground truth, and a continuously growing registry of guardrail "Signs" that encode lessons learned from past failures. These controls are concrete: each maps to specific files, functions, and tests in the repository, and most are wired to hard-fail the pipeline if violated.</w:t>
      </w:r>
    </w:p>
    <w:p>
      <w:pPr>
        <w:spacing w:after="140" w:before="80" w:line="320"/>
        <w:jc w:val="both"/>
      </w:pPr>
      <w:r>
        <w:rPr>
          <w:rFonts w:ascii="Calibri" w:cs="Calibri" w:eastAsia="Calibri" w:hAnsi="Calibri"/>
          <w:sz w:val="22"/>
          <w:szCs w:val="22"/>
        </w:rPr>
        <w:t xml:space="preserve">The pipeline is honest about what it does not yet enforce. ProcessPoolExecutor byte-identity across spawned processes, centralized prompt-registry versioning, and effective-N correction for positive within-family correlation are documented limitations rather than silent compromises. The result is a system that an external auditor — academic, legal, or journalistic — can cross-examine clause by clause.</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1. Scope and Purpose of This Document</w:t>
      </w:r>
    </w:p>
    <w:p>
      <w:pPr>
        <w:spacing w:after="140" w:before="80" w:line="320"/>
        <w:jc w:val="both"/>
      </w:pPr>
      <w:r>
        <w:rPr>
          <w:rFonts w:ascii="Calibri" w:cs="Calibri" w:eastAsia="Calibri" w:hAnsi="Calibri"/>
          <w:sz w:val="22"/>
          <w:szCs w:val="22"/>
        </w:rPr>
        <w:t xml:space="preserve">This is a defensive review. It exists to answer a single question: </w:t>
      </w:r>
      <w:r>
        <w:rPr>
          <w:rFonts w:ascii="Calibri" w:cs="Calibri" w:eastAsia="Calibri" w:hAnsi="Calibri"/>
          <w:i/>
          <w:iCs/>
          <w:sz w:val="22"/>
          <w:szCs w:val="22"/>
        </w:rPr>
        <w:t xml:space="preserve">if a Mediaite editor, a defamation attorney, a peer reviewer, or a methodological skeptic asked the project to demonstrate that its findings are not the product of analyst discretion, dataset drift, or post-hoc rationalization, what concrete artifacts in the codebase would constitute the answer?</w:t>
      </w:r>
    </w:p>
    <w:p>
      <w:pPr>
        <w:spacing w:after="140" w:before="80" w:line="320"/>
        <w:jc w:val="both"/>
      </w:pPr>
      <w:r>
        <w:rPr>
          <w:rFonts w:ascii="Calibri" w:cs="Calibri" w:eastAsia="Calibri" w:hAnsi="Calibri"/>
          <w:sz w:val="22"/>
          <w:szCs w:val="22"/>
        </w:rPr>
        <w:t xml:space="preserve">The review draws on the project's governance documents (</w:t>
      </w:r>
      <w:r>
        <w:rPr>
          <w:rFonts w:ascii="Consolas" w:cs="Consolas" w:eastAsia="Consolas" w:hAnsi="Consolas"/>
          <w:sz w:val="20"/>
          <w:szCs w:val="20"/>
          <w:shd w:fill="F2F2F2" w:color="auto" w:val="clear"/>
        </w:rPr>
        <w:t xml:space="preserve">AGENTS.md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docs/ARCHITECTURE.md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docs/GUARDRAILS.md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docs/TESTING.md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docs/RUNBOOK.md</w:t>
      </w:r>
      <w:r>
        <w:rPr>
          <w:rFonts w:ascii="Calibri" w:cs="Calibri" w:eastAsia="Calibri" w:hAnsi="Calibri"/>
          <w:sz w:val="22"/>
          <w:szCs w:val="22"/>
        </w:rPr>
        <w:t xml:space="preserve">), configuration surfaces (</w:t>
      </w:r>
      <w:r>
        <w:rPr>
          <w:rFonts w:ascii="Consolas" w:cs="Consolas" w:eastAsia="Consolas" w:hAnsi="Consolas"/>
          <w:sz w:val="20"/>
          <w:szCs w:val="20"/>
          <w:shd w:fill="F2F2F2" w:color="auto" w:val="clear"/>
        </w:rPr>
        <w:t xml:space="preserve">config.toml</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src/forensics/config/settings.py</w:t>
      </w:r>
      <w:r>
        <w:rPr>
          <w:rFonts w:ascii="Calibri" w:cs="Calibri" w:eastAsia="Calibri" w:hAnsi="Calibri"/>
          <w:sz w:val="22"/>
          <w:szCs w:val="22"/>
        </w:rPr>
        <w:t xml:space="preserve">), the analysis modules under </w:t>
      </w:r>
      <w:r>
        <w:rPr>
          <w:rFonts w:ascii="Consolas" w:cs="Consolas" w:eastAsia="Consolas" w:hAnsi="Consolas"/>
          <w:sz w:val="20"/>
          <w:szCs w:val="20"/>
          <w:shd w:fill="F2F2F2" w:color="auto" w:val="clear"/>
        </w:rPr>
        <w:t xml:space="preserve">src/forensics/</w:t>
      </w:r>
      <w:r>
        <w:rPr>
          <w:rFonts w:ascii="Calibri" w:cs="Calibri" w:eastAsia="Calibri" w:hAnsi="Calibri"/>
          <w:sz w:val="22"/>
          <w:szCs w:val="22"/>
        </w:rPr>
        <w:t xml:space="preserve">, and the test suite under </w:t>
      </w:r>
      <w:r>
        <w:rPr>
          <w:rFonts w:ascii="Consolas" w:cs="Consolas" w:eastAsia="Consolas" w:hAnsi="Consolas"/>
          <w:sz w:val="20"/>
          <w:szCs w:val="20"/>
          <w:shd w:fill="F2F2F2" w:color="auto" w:val="clear"/>
        </w:rPr>
        <w:t xml:space="preserve">tests/</w:t>
      </w:r>
      <w:r>
        <w:rPr>
          <w:rFonts w:ascii="Calibri" w:cs="Calibri" w:eastAsia="Calibri" w:hAnsi="Calibri"/>
          <w:sz w:val="22"/>
          <w:szCs w:val="22"/>
        </w:rPr>
        <w:t xml:space="preserve">. Every claim of robustness in this document points to a specific file or symbol in the repository so that the claim can be independently verified.</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2. Forensic Credibility</w:t>
      </w:r>
    </w:p>
    <w:p>
      <w:pPr>
        <w:spacing w:after="140" w:before="80" w:line="320"/>
        <w:jc w:val="both"/>
      </w:pPr>
      <w:r>
        <w:rPr>
          <w:rFonts w:ascii="Calibri" w:cs="Calibri" w:eastAsia="Calibri" w:hAnsi="Calibri"/>
          <w:sz w:val="22"/>
          <w:szCs w:val="22"/>
        </w:rPr>
        <w:t xml:space="preserve">The forensic-credibility layer is the project's strongest defense against the most common methodological failure modes in computational stylometry: post-hoc threshold tuning, silent corpus mutation between runs, and analyst-discretion drift across a long-running investigation.</w:t>
      </w:r>
    </w:p>
    <w:p>
      <w:pPr>
        <w:pStyle w:val="Heading3"/>
        <w:spacing w:after="160" w:before="320"/>
      </w:pPr>
      <w:r>
        <w:rPr>
          <w:rFonts w:ascii="Calibri" w:cs="Calibri" w:eastAsia="Calibri" w:hAnsi="Calibri"/>
          <w:b/>
          <w:bCs/>
          <w:color w:val="2E74B5"/>
          <w:sz w:val="26"/>
          <w:szCs w:val="26"/>
        </w:rPr>
        <w:t xml:space="preserve">2.1 Pre-Registration Lock with Tamper Detection</w:t>
      </w:r>
    </w:p>
    <w:p>
      <w:pPr>
        <w:spacing w:after="140" w:before="80" w:line="320"/>
        <w:jc w:val="both"/>
      </w:pPr>
      <w:r>
        <w:rPr>
          <w:rFonts w:ascii="Calibri" w:cs="Calibri" w:eastAsia="Calibri" w:hAnsi="Calibri"/>
          <w:sz w:val="22"/>
          <w:szCs w:val="22"/>
        </w:rPr>
        <w:t xml:space="preserve">The pre-registration system is the keystone of the project's confirmatory protocol. It is implemented in </w:t>
      </w:r>
      <w:r>
        <w:rPr>
          <w:rFonts w:ascii="Consolas" w:cs="Consolas" w:eastAsia="Consolas" w:hAnsi="Consolas"/>
          <w:sz w:val="20"/>
          <w:szCs w:val="20"/>
          <w:shd w:fill="F2F2F2" w:color="auto" w:val="clear"/>
        </w:rPr>
        <w:t xml:space="preserve">src/forensics/preregistration.py</w:t>
      </w:r>
      <w:r>
        <w:rPr>
          <w:rFonts w:ascii="Calibri" w:cs="Calibri" w:eastAsia="Calibri" w:hAnsi="Calibri"/>
          <w:sz w:val="22"/>
          <w:szCs w:val="22"/>
        </w:rPr>
        <w:t xml:space="preserve">, with operator-facing artifacts at </w:t>
      </w:r>
      <w:r>
        <w:rPr>
          <w:rFonts w:ascii="Consolas" w:cs="Consolas" w:eastAsia="Consolas" w:hAnsi="Consolas"/>
          <w:sz w:val="20"/>
          <w:szCs w:val="20"/>
          <w:shd w:fill="F2F2F2" w:color="auto" w:val="clear"/>
        </w:rPr>
        <w:t xml:space="preserve">data/preregistration/preregistration_lock.json</w:t>
      </w:r>
      <w:r>
        <w:rPr>
          <w:rFonts w:ascii="Calibri" w:cs="Calibri" w:eastAsia="Calibri" w:hAnsi="Calibri"/>
          <w:sz w:val="22"/>
          <w:szCs w:val="22"/>
        </w:rPr>
        <w:t xml:space="preserve"> and a dedicated test suite at </w:t>
      </w:r>
      <w:r>
        <w:rPr>
          <w:rFonts w:ascii="Consolas" w:cs="Consolas" w:eastAsia="Consolas" w:hAnsi="Consolas"/>
          <w:sz w:val="20"/>
          <w:szCs w:val="20"/>
          <w:shd w:fill="F2F2F2" w:color="auto" w:val="clear"/>
        </w:rPr>
        <w:t xml:space="preserve">tests/test_preregistration.py</w:t>
      </w:r>
      <w:r>
        <w:rPr>
          <w:rFonts w:ascii="Calibri" w:cs="Calibri" w:eastAsia="Calibri" w:hAnsi="Calibri"/>
          <w:sz w:val="22"/>
          <w:szCs w:val="22"/>
        </w:rPr>
        <w:t xml:space="preserve"> (eighteen test cases covering lock creation, threshold mutation, tamper detection, and the unfilled-template edge case).</w:t>
      </w:r>
    </w:p>
    <w:p>
      <w:pPr>
        <w:spacing w:after="140" w:before="80" w:line="320"/>
        <w:jc w:val="both"/>
      </w:pPr>
      <w:r>
        <w:rPr>
          <w:rFonts w:ascii="Calibri" w:cs="Calibri" w:eastAsia="Calibri" w:hAnsi="Calibri"/>
          <w:sz w:val="22"/>
          <w:szCs w:val="22"/>
        </w:rPr>
        <w:t xml:space="preserve">The lock works in three coordinated ways. First, twenty-plus signal-bearing thresholds are frozen atomically into the lock — significance threshold, effect-size floor, change-point methods, convergence-window ratio, FDR grouping, BOCPD detection mode, PELT cost model — so that no individual setting can drift without a visible mismatch. Second, the lock payload carries a SHA-256 content hash of the analysis configuration, allowing a tamper check that goes beyond field equality. Third, the verification routine produces a human-readable diff of every offending field when the live configuration deviates from the locked one, so that auditors can immediately see what changed.</w:t>
      </w:r>
    </w:p>
    <w:p>
      <w:pPr>
        <w:spacing w:after="140" w:before="80" w:line="320"/>
        <w:jc w:val="both"/>
      </w:pPr>
      <w:r>
        <w:rPr>
          <w:rFonts w:ascii="Calibri" w:cs="Calibri" w:eastAsia="Calibri" w:hAnsi="Calibri"/>
          <w:sz w:val="22"/>
          <w:szCs w:val="22"/>
        </w:rPr>
        <w:t xml:space="preserve">Enforcement is hard. The CLI invokes </w:t>
      </w:r>
      <w:r>
        <w:rPr>
          <w:rFonts w:ascii="Consolas" w:cs="Consolas" w:eastAsia="Consolas" w:hAnsi="Consolas"/>
          <w:sz w:val="20"/>
          <w:szCs w:val="20"/>
          <w:shd w:fill="F2F2F2" w:color="auto" w:val="clear"/>
        </w:rPr>
        <w:t xml:space="preserve">verify_preregistration(settings)</w:t>
      </w:r>
      <w:r>
        <w:rPr>
          <w:rFonts w:ascii="Calibri" w:cs="Calibri" w:eastAsia="Calibri" w:hAnsi="Calibri"/>
          <w:sz w:val="22"/>
          <w:szCs w:val="22"/>
        </w:rPr>
        <w:t xml:space="preserve"> before any analysis stage runs. If the lock is missing or mismatched and the operator has not passed </w:t>
      </w:r>
      <w:r>
        <w:rPr>
          <w:rFonts w:ascii="Consolas" w:cs="Consolas" w:eastAsia="Consolas" w:hAnsi="Consolas"/>
          <w:sz w:val="20"/>
          <w:szCs w:val="20"/>
          <w:shd w:fill="F2F2F2" w:color="auto" w:val="clear"/>
        </w:rPr>
        <w:t xml:space="preserve">--exploratory</w:t>
      </w:r>
      <w:r>
        <w:rPr>
          <w:rFonts w:ascii="Calibri" w:cs="Calibri" w:eastAsia="Calibri" w:hAnsi="Calibri"/>
          <w:sz w:val="22"/>
          <w:szCs w:val="22"/>
        </w:rPr>
        <w:t xml:space="preserve">, the process exits with a non-zero status and stamps </w:t>
      </w:r>
      <w:r>
        <w:rPr>
          <w:rFonts w:ascii="Consolas" w:cs="Consolas" w:eastAsia="Consolas" w:hAnsi="Consolas"/>
          <w:sz w:val="20"/>
          <w:szCs w:val="20"/>
          <w:shd w:fill="F2F2F2" w:color="auto" w:val="clear"/>
        </w:rPr>
        <w:t xml:space="preserve">run_metadata.json::preregistration_status</w:t>
      </w:r>
      <w:r>
        <w:rPr>
          <w:rFonts w:ascii="Calibri" w:cs="Calibri" w:eastAsia="Calibri" w:hAnsi="Calibri"/>
          <w:sz w:val="22"/>
          <w:szCs w:val="22"/>
        </w:rPr>
        <w:t xml:space="preserve"> with the reason. The CLI explicitly distinguishes </w:t>
      </w:r>
      <w:r>
        <w:rPr>
          <w:rFonts w:ascii="Calibri" w:cs="Calibri" w:eastAsia="Calibri" w:hAnsi="Calibri"/>
          <w:i/>
          <w:iCs/>
          <w:sz w:val="22"/>
          <w:szCs w:val="22"/>
        </w:rPr>
        <w:t xml:space="preserve">missing</w:t>
      </w:r>
      <w:r>
        <w:rPr>
          <w:rFonts w:ascii="Calibri" w:cs="Calibri" w:eastAsia="Calibri" w:hAnsi="Calibri"/>
          <w:sz w:val="22"/>
          <w:szCs w:val="22"/>
        </w:rPr>
        <w:t xml:space="preserve"> (template committed but never filled) from </w:t>
      </w:r>
      <w:r>
        <w:rPr>
          <w:rFonts w:ascii="Calibri" w:cs="Calibri" w:eastAsia="Calibri" w:hAnsi="Calibri"/>
          <w:i/>
          <w:iCs/>
          <w:sz w:val="22"/>
          <w:szCs w:val="22"/>
        </w:rPr>
        <w:t xml:space="preserve">mismatch</w:t>
      </w:r>
      <w:r>
        <w:rPr>
          <w:rFonts w:ascii="Calibri" w:cs="Calibri" w:eastAsia="Calibri" w:hAnsi="Calibri"/>
          <w:sz w:val="22"/>
          <w:szCs w:val="22"/>
        </w:rPr>
        <w:t xml:space="preserve"> (someone changed a threshold after locking), so the initial template commit does not flip otherwise-valid exploratory runs into false violations.</w:t>
      </w:r>
    </w:p>
    <w:p>
      <w:pPr>
        <w:spacing w:after="140" w:before="80" w:line="320"/>
        <w:jc w:val="both"/>
      </w:pPr>
      <w:r>
        <w:rPr>
          <w:rFonts w:ascii="Calibri" w:cs="Calibri" w:eastAsia="Calibri" w:hAnsi="Calibri"/>
          <w:sz w:val="22"/>
          <w:szCs w:val="22"/>
        </w:rPr>
        <w:t xml:space="preserve">This design adapts the Open Science pre-registration standard to a software pipeline. The same threshold cannot be silently lowered from 0.05 to 0.10 to rescue a borderline result. The same test battery cannot be quietly replaced with a more permissive one. Every confirmatory finding is bound, by construction, to a configuration that was committed before the data was looked at.</w:t>
      </w:r>
    </w:p>
    <w:p>
      <w:pPr>
        <w:pStyle w:val="Heading3"/>
        <w:spacing w:after="160" w:before="320"/>
      </w:pPr>
      <w:r>
        <w:rPr>
          <w:rFonts w:ascii="Calibri" w:cs="Calibri" w:eastAsia="Calibri" w:hAnsi="Calibri"/>
          <w:b/>
          <w:bCs/>
          <w:color w:val="2E74B5"/>
          <w:sz w:val="26"/>
          <w:szCs w:val="26"/>
        </w:rPr>
        <w:t xml:space="preserve">2.2 Chain of Custody and Corpus Hashing</w:t>
      </w:r>
    </w:p>
    <w:p>
      <w:pPr>
        <w:spacing w:after="140" w:before="80" w:line="320"/>
        <w:jc w:val="both"/>
      </w:pPr>
      <w:r>
        <w:rPr>
          <w:rFonts w:ascii="Calibri" w:cs="Calibri" w:eastAsia="Calibri" w:hAnsi="Calibri"/>
          <w:sz w:val="22"/>
          <w:szCs w:val="22"/>
        </w:rPr>
        <w:t xml:space="preserve">The chain-of-custody system answers the second forensic question: </w:t>
      </w:r>
      <w:r>
        <w:rPr>
          <w:rFonts w:ascii="Calibri" w:cs="Calibri" w:eastAsia="Calibri" w:hAnsi="Calibri"/>
          <w:i/>
          <w:iCs/>
          <w:sz w:val="22"/>
          <w:szCs w:val="22"/>
        </w:rPr>
        <w:t xml:space="preserve">was the dataset itself mutated between scrape and report?</w:t>
      </w:r>
      <w:r>
        <w:rPr>
          <w:rFonts w:ascii="Calibri" w:cs="Calibri" w:eastAsia="Calibri" w:hAnsi="Calibri"/>
          <w:sz w:val="22"/>
          <w:szCs w:val="22"/>
        </w:rPr>
        <w:t xml:space="preserve"> It is implemented in </w:t>
      </w:r>
      <w:r>
        <w:rPr>
          <w:rFonts w:ascii="Consolas" w:cs="Consolas" w:eastAsia="Consolas" w:hAnsi="Consolas"/>
          <w:sz w:val="20"/>
          <w:szCs w:val="20"/>
          <w:shd w:fill="F2F2F2" w:color="auto" w:val="clear"/>
        </w:rPr>
        <w:t xml:space="preserve">src/forensics/utils/provenance.py</w:t>
      </w:r>
      <w:r>
        <w:rPr>
          <w:rFonts w:ascii="Calibri" w:cs="Calibri" w:eastAsia="Calibri" w:hAnsi="Calibri"/>
          <w:sz w:val="22"/>
          <w:szCs w:val="22"/>
        </w:rPr>
        <w:t xml:space="preserve"> and </w:t>
      </w:r>
      <w:r>
        <w:rPr>
          <w:rFonts w:ascii="Consolas" w:cs="Consolas" w:eastAsia="Consolas" w:hAnsi="Consolas"/>
          <w:sz w:val="20"/>
          <w:szCs w:val="20"/>
          <w:shd w:fill="F2F2F2" w:color="auto" w:val="clear"/>
        </w:rPr>
        <w:t xml:space="preserve">src/forensics/utils/hashing.py</w:t>
      </w:r>
      <w:r>
        <w:rPr>
          <w:rFonts w:ascii="Calibri" w:cs="Calibri" w:eastAsia="Calibri" w:hAnsi="Calibri"/>
          <w:sz w:val="22"/>
          <w:szCs w:val="22"/>
        </w:rPr>
        <w:t xml:space="preserve">, with persisted artifacts at </w:t>
      </w:r>
      <w:r>
        <w:rPr>
          <w:rFonts w:ascii="Consolas" w:cs="Consolas" w:eastAsia="Consolas" w:hAnsi="Consolas"/>
          <w:sz w:val="20"/>
          <w:szCs w:val="20"/>
          <w:shd w:fill="F2F2F2" w:color="auto" w:val="clear"/>
        </w:rPr>
        <w:t xml:space="preserve">data/analysis/corpus_custody.json</w:t>
      </w:r>
      <w:r>
        <w:rPr>
          <w:rFonts w:ascii="Calibri" w:cs="Calibri" w:eastAsia="Calibri" w:hAnsi="Calibri"/>
          <w:sz w:val="22"/>
          <w:szCs w:val="22"/>
        </w:rPr>
        <w:t xml:space="preserve"> and </w:t>
      </w:r>
      <w:r>
        <w:rPr>
          <w:rFonts w:ascii="Consolas" w:cs="Consolas" w:eastAsia="Consolas" w:hAnsi="Consolas"/>
          <w:sz w:val="20"/>
          <w:szCs w:val="20"/>
          <w:shd w:fill="F2F2F2" w:color="auto" w:val="clear"/>
        </w:rPr>
        <w:t xml:space="preserve">data/analysis/run_metadata.json</w:t>
      </w:r>
      <w:r>
        <w:rPr>
          <w:rFonts w:ascii="Calibri" w:cs="Calibri" w:eastAsia="Calibri" w:hAnsi="Calibri"/>
          <w:sz w:val="22"/>
          <w:szCs w:val="22"/>
        </w:rPr>
        <w:t xml:space="preserve">.</w:t>
      </w:r>
    </w:p>
    <w:p>
      <w:pPr>
        <w:spacing w:after="140" w:before="80" w:line="320"/>
        <w:jc w:val="both"/>
      </w:pPr>
      <w:r>
        <w:rPr>
          <w:rFonts w:ascii="Calibri" w:cs="Calibri" w:eastAsia="Calibri" w:hAnsi="Calibri"/>
          <w:sz w:val="22"/>
          <w:szCs w:val="22"/>
        </w:rPr>
        <w:t xml:space="preserve">Three layers of hashing operate together. At the article level, every record carries a SHA-256 </w:t>
      </w:r>
      <w:r>
        <w:rPr>
          <w:rFonts w:ascii="Consolas" w:cs="Consolas" w:eastAsia="Consolas" w:hAnsi="Consolas"/>
          <w:sz w:val="20"/>
          <w:szCs w:val="20"/>
          <w:shd w:fill="F2F2F2" w:color="auto" w:val="clear"/>
        </w:rPr>
        <w:t xml:space="preserve">content_hash</w:t>
      </w:r>
      <w:r>
        <w:rPr>
          <w:rFonts w:ascii="Calibri" w:cs="Calibri" w:eastAsia="Calibri" w:hAnsi="Calibri"/>
          <w:sz w:val="22"/>
          <w:szCs w:val="22"/>
        </w:rPr>
        <w:t xml:space="preserve"> of its normalized </w:t>
      </w:r>
      <w:r>
        <w:rPr>
          <w:rFonts w:ascii="Consolas" w:cs="Consolas" w:eastAsia="Consolas" w:hAnsi="Consolas"/>
          <w:sz w:val="20"/>
          <w:szCs w:val="20"/>
          <w:shd w:fill="F2F2F2" w:color="auto" w:val="clear"/>
        </w:rPr>
        <w:t xml:space="preserve">clean_text</w:t>
      </w:r>
      <w:r>
        <w:rPr>
          <w:rFonts w:ascii="Calibri" w:cs="Calibri" w:eastAsia="Calibri" w:hAnsi="Calibri"/>
          <w:sz w:val="22"/>
          <w:szCs w:val="22"/>
        </w:rPr>
        <w:t xml:space="preserve">, computed at ingest and stored in the </w:t>
      </w:r>
      <w:r>
        <w:rPr>
          <w:rFonts w:ascii="Consolas" w:cs="Consolas" w:eastAsia="Consolas" w:hAnsi="Consolas"/>
          <w:sz w:val="20"/>
          <w:szCs w:val="20"/>
          <w:shd w:fill="F2F2F2" w:color="auto" w:val="clear"/>
        </w:rPr>
        <w:t xml:space="preserve">articles</w:t>
      </w:r>
      <w:r>
        <w:rPr>
          <w:rFonts w:ascii="Calibri" w:cs="Calibri" w:eastAsia="Calibri" w:hAnsi="Calibri"/>
          <w:sz w:val="22"/>
          <w:szCs w:val="22"/>
        </w:rPr>
        <w:t xml:space="preserve"> table. At the corpus level, a deterministic ordered hash over every article's content hash is computed at the start of each analysis run and embedded in the run metadata. At the configuration level, a separate selective hash captures only the signal-bearing fields of </w:t>
      </w:r>
      <w:r>
        <w:rPr>
          <w:rFonts w:ascii="Consolas" w:cs="Consolas" w:eastAsia="Consolas" w:hAnsi="Consolas"/>
          <w:sz w:val="20"/>
          <w:szCs w:val="20"/>
          <w:shd w:fill="F2F2F2" w:color="auto" w:val="clear"/>
        </w:rPr>
        <w:t xml:space="preserve">AnalysisConfig</w:t>
      </w:r>
      <w:r>
        <w:rPr>
          <w:rFonts w:ascii="Calibri" w:cs="Calibri" w:eastAsia="Calibri" w:hAnsi="Calibri"/>
          <w:sz w:val="22"/>
          <w:szCs w:val="22"/>
        </w:rPr>
        <w:t xml:space="preserve"> — fields explicitly tagged with </w:t>
      </w:r>
      <w:r>
        <w:rPr>
          <w:rFonts w:ascii="Consolas" w:cs="Consolas" w:eastAsia="Consolas" w:hAnsi="Consolas"/>
          <w:sz w:val="20"/>
          <w:szCs w:val="20"/>
          <w:shd w:fill="F2F2F2" w:color="auto" w:val="clear"/>
        </w:rPr>
        <w:t xml:space="preserve">json_schema_extra = {"include_in_config_hash": True}</w:t>
      </w:r>
      <w:r>
        <w:rPr>
          <w:rFonts w:ascii="Calibri" w:cs="Calibri" w:eastAsia="Calibri" w:hAnsi="Calibri"/>
          <w:sz w:val="22"/>
          <w:szCs w:val="22"/>
        </w:rPr>
        <w:t xml:space="preserve"> — so that ergonomic knobs (logging verbosity, cache paths) do not pollute the hash but every threshold and method choice does.</w:t>
      </w:r>
    </w:p>
    <w:p>
      <w:pPr>
        <w:spacing w:after="140" w:before="80" w:line="320"/>
        <w:jc w:val="both"/>
      </w:pPr>
      <w:r>
        <w:rPr>
          <w:rFonts w:ascii="Calibri" w:cs="Calibri" w:eastAsia="Calibri" w:hAnsi="Calibri"/>
          <w:sz w:val="22"/>
          <w:szCs w:val="22"/>
        </w:rPr>
        <w:t xml:space="preserve">These hashes are not advisory. The </w:t>
      </w:r>
      <w:r>
        <w:rPr>
          <w:rFonts w:ascii="Consolas" w:cs="Consolas" w:eastAsia="Consolas" w:hAnsi="Consolas"/>
          <w:sz w:val="20"/>
          <w:szCs w:val="20"/>
          <w:shd w:fill="F2F2F2" w:color="auto" w:val="clear"/>
        </w:rPr>
        <w:t xml:space="preserve">validate_analysis_result_config_hashes()</w:t>
      </w:r>
      <w:r>
        <w:rPr>
          <w:rFonts w:ascii="Calibri" w:cs="Calibri" w:eastAsia="Calibri" w:hAnsi="Calibri"/>
          <w:sz w:val="22"/>
          <w:szCs w:val="22"/>
        </w:rPr>
        <w:t xml:space="preserve"> function hard-fails the report and compare stages if it finds per-author result files produced under different configuration hashes. This is the mechanism that prevents accidental mixing of pre-Phase-15 and post-Phase-15 artifacts after the project changed BOCPD detection mode and FDR grouping. An auditor can verify, from the persisted custody record alone, that every reported number was produced from the same frozen corpus and the same frozen settings.</w:t>
      </w:r>
    </w:p>
    <w:p>
      <w:pPr>
        <w:spacing w:after="140" w:before="80" w:line="320"/>
        <w:jc w:val="both"/>
      </w:pPr>
      <w:r>
        <w:rPr>
          <w:rFonts w:ascii="Calibri" w:cs="Calibri" w:eastAsia="Calibri" w:hAnsi="Calibri"/>
          <w:sz w:val="22"/>
          <w:szCs w:val="22"/>
        </w:rPr>
        <w:t xml:space="preserve">A separate </w:t>
      </w:r>
      <w:r>
        <w:rPr>
          <w:rFonts w:ascii="Consolas" w:cs="Consolas" w:eastAsia="Consolas" w:hAnsi="Consolas"/>
          <w:sz w:val="20"/>
          <w:szCs w:val="20"/>
          <w:shd w:fill="F2F2F2" w:color="auto" w:val="clear"/>
        </w:rPr>
        <w:t xml:space="preserve">audit_scrape_timestamps()</w:t>
      </w:r>
      <w:r>
        <w:rPr>
          <w:rFonts w:ascii="Calibri" w:cs="Calibri" w:eastAsia="Calibri" w:hAnsi="Calibri"/>
          <w:sz w:val="22"/>
          <w:szCs w:val="22"/>
        </w:rPr>
        <w:t xml:space="preserve"> routine bounds the scrape window, counts articles missing </w:t>
      </w:r>
      <w:r>
        <w:rPr>
          <w:rFonts w:ascii="Consolas" w:cs="Consolas" w:eastAsia="Consolas" w:hAnsi="Consolas"/>
          <w:sz w:val="20"/>
          <w:szCs w:val="20"/>
          <w:shd w:fill="F2F2F2" w:color="auto" w:val="clear"/>
        </w:rPr>
        <w:t xml:space="preserve">scraped_at</w:t>
      </w:r>
      <w:r>
        <w:rPr>
          <w:rFonts w:ascii="Calibri" w:cs="Calibri" w:eastAsia="Calibri" w:hAnsi="Calibri"/>
          <w:sz w:val="22"/>
          <w:szCs w:val="22"/>
        </w:rPr>
        <w:t xml:space="preserve"> values, and flags duplicates. Its output is folded into </w:t>
      </w:r>
      <w:r>
        <w:rPr>
          <w:rFonts w:ascii="Consolas" w:cs="Consolas" w:eastAsia="Consolas" w:hAnsi="Consolas"/>
          <w:sz w:val="20"/>
          <w:szCs w:val="20"/>
          <w:shd w:fill="F2F2F2" w:color="auto" w:val="clear"/>
        </w:rPr>
        <w:t xml:space="preserve">run_metadata.json</w:t>
      </w:r>
      <w:r>
        <w:rPr>
          <w:rFonts w:ascii="Calibri" w:cs="Calibri" w:eastAsia="Calibri" w:hAnsi="Calibri"/>
          <w:sz w:val="22"/>
          <w:szCs w:val="22"/>
        </w:rPr>
        <w:t xml:space="preserve"> so that the chain of custody includes not only what was analyzed but when each input was acquired.</w:t>
      </w:r>
    </w:p>
    <w:p>
      <w:pPr>
        <w:pStyle w:val="Heading3"/>
        <w:spacing w:after="160" w:before="320"/>
      </w:pPr>
      <w:r>
        <w:rPr>
          <w:rFonts w:ascii="Calibri" w:cs="Calibri" w:eastAsia="Calibri" w:hAnsi="Calibri"/>
          <w:b/>
          <w:bCs/>
          <w:color w:val="2E74B5"/>
          <w:sz w:val="26"/>
          <w:szCs w:val="26"/>
        </w:rPr>
        <w:t xml:space="preserve">2.3 Stage Isolation and Storage Architecture</w:t>
      </w:r>
    </w:p>
    <w:p>
      <w:pPr>
        <w:spacing w:after="140" w:before="80" w:line="320"/>
        <w:jc w:val="both"/>
      </w:pPr>
      <w:r>
        <w:rPr>
          <w:rFonts w:ascii="Calibri" w:cs="Calibri" w:eastAsia="Calibri" w:hAnsi="Calibri"/>
          <w:sz w:val="22"/>
          <w:szCs w:val="22"/>
        </w:rPr>
        <w:t xml:space="preserve">The pipeline is structured as a strict four-stage process — </w:t>
      </w:r>
      <w:r>
        <w:rPr>
          <w:rFonts w:ascii="Consolas" w:cs="Consolas" w:eastAsia="Consolas" w:hAnsi="Consolas"/>
          <w:sz w:val="20"/>
          <w:szCs w:val="20"/>
          <w:shd w:fill="F2F2F2" w:color="auto" w:val="clear"/>
        </w:rPr>
        <w:t xml:space="preserve">scrape → extract → analyze → report</w:t>
      </w:r>
      <w:r>
        <w:rPr>
          <w:rFonts w:ascii="Calibri" w:cs="Calibri" w:eastAsia="Calibri" w:hAnsi="Calibri"/>
          <w:sz w:val="22"/>
          <w:szCs w:val="22"/>
        </w:rPr>
        <w:t xml:space="preserve"> — with each stage writing to its own dedicated location and reading only from upstream stages. This is documented in </w:t>
      </w:r>
      <w:r>
        <w:rPr>
          <w:rFonts w:ascii="Consolas" w:cs="Consolas" w:eastAsia="Consolas" w:hAnsi="Consolas"/>
          <w:sz w:val="20"/>
          <w:szCs w:val="20"/>
          <w:shd w:fill="F2F2F2" w:color="auto" w:val="clear"/>
        </w:rPr>
        <w:t xml:space="preserve">docs/ARCHITECTURE.md</w:t>
      </w:r>
      <w:r>
        <w:rPr>
          <w:rFonts w:ascii="Calibri" w:cs="Calibri" w:eastAsia="Calibri" w:hAnsi="Calibri"/>
          <w:sz w:val="22"/>
          <w:szCs w:val="22"/>
        </w:rPr>
        <w:t xml:space="preserve"> and enforced by the path-builder centralization in </w:t>
      </w:r>
      <w:r>
        <w:rPr>
          <w:rFonts w:ascii="Consolas" w:cs="Consolas" w:eastAsia="Consolas" w:hAnsi="Consolas"/>
          <w:sz w:val="20"/>
          <w:szCs w:val="20"/>
          <w:shd w:fill="F2F2F2" w:color="auto" w:val="clear"/>
        </w:rPr>
        <w:t xml:space="preserve">src/forensics/analysis/artifact_paths.py</w:t>
      </w:r>
      <w:r>
        <w:rPr>
          <w:rFonts w:ascii="Calibri" w:cs="Calibri" w:eastAsia="Calibri" w:hAnsi="Calibri"/>
          <w:sz w:val="22"/>
          <w:szCs w:val="22"/>
        </w:rPr>
        <w:t xml:space="preserve"> and the storage module layout under </w:t>
      </w:r>
      <w:r>
        <w:rPr>
          <w:rFonts w:ascii="Consolas" w:cs="Consolas" w:eastAsia="Consolas" w:hAnsi="Consolas"/>
          <w:sz w:val="20"/>
          <w:szCs w:val="20"/>
          <w:shd w:fill="F2F2F2" w:color="auto" w:val="clear"/>
        </w:rPr>
        <w:t xml:space="preserve">src/forensics/storage/</w:t>
      </w:r>
      <w:r>
        <w:rPr>
          <w:rFonts w:ascii="Calibri" w:cs="Calibri" w:eastAsia="Calibri" w:hAnsi="Calibri"/>
          <w:sz w:val="22"/>
          <w:szCs w:val="22"/>
        </w:rPr>
        <w:t xml:space="preserve">.</w:t>
      </w:r>
    </w:p>
    <w:p>
      <w:pPr>
        <w:spacing w:after="140" w:before="80" w:line="320"/>
        <w:jc w:val="both"/>
      </w:pPr>
      <w:r>
        <w:rPr>
          <w:rFonts w:ascii="Calibri" w:cs="Calibri" w:eastAsia="Calibri" w:hAnsi="Calibri"/>
          <w:sz w:val="22"/>
          <w:szCs w:val="22"/>
        </w:rPr>
        <w:t xml:space="preserve">Scrape outputs land in </w:t>
      </w:r>
      <w:r>
        <w:rPr>
          <w:rFonts w:ascii="Consolas" w:cs="Consolas" w:eastAsia="Consolas" w:hAnsi="Consolas"/>
          <w:sz w:val="20"/>
          <w:szCs w:val="20"/>
          <w:shd w:fill="F2F2F2" w:color="auto" w:val="clear"/>
        </w:rPr>
        <w:t xml:space="preserve">data/articles.db</w:t>
      </w:r>
      <w:r>
        <w:rPr>
          <w:rFonts w:ascii="Calibri" w:cs="Calibri" w:eastAsia="Calibri" w:hAnsi="Calibri"/>
          <w:sz w:val="22"/>
          <w:szCs w:val="22"/>
        </w:rPr>
        <w:t xml:space="preserve"> (SQLite), </w:t>
      </w:r>
      <w:r>
        <w:rPr>
          <w:rFonts w:ascii="Consolas" w:cs="Consolas" w:eastAsia="Consolas" w:hAnsi="Consolas"/>
          <w:sz w:val="20"/>
          <w:szCs w:val="20"/>
          <w:shd w:fill="F2F2F2" w:color="auto" w:val="clear"/>
        </w:rPr>
        <w:t xml:space="preserve">data/authors_manifest.jsonl</w:t>
      </w:r>
      <w:r>
        <w:rPr>
          <w:rFonts w:ascii="Calibri" w:cs="Calibri" w:eastAsia="Calibri" w:hAnsi="Calibri"/>
          <w:sz w:val="22"/>
          <w:szCs w:val="22"/>
        </w:rPr>
        <w:t xml:space="preserve">, and the optional raw-HTML archive at </w:t>
      </w:r>
      <w:r>
        <w:rPr>
          <w:rFonts w:ascii="Consolas" w:cs="Consolas" w:eastAsia="Consolas" w:hAnsi="Consolas"/>
          <w:sz w:val="20"/>
          <w:szCs w:val="20"/>
          <w:shd w:fill="F2F2F2" w:color="auto" w:val="clear"/>
        </w:rPr>
        <w:t xml:space="preserve">data/raw/</w:t>
      </w:r>
      <w:r>
        <w:rPr>
          <w:rFonts w:ascii="Calibri" w:cs="Calibri" w:eastAsia="Calibri" w:hAnsi="Calibri"/>
          <w:sz w:val="22"/>
          <w:szCs w:val="22"/>
        </w:rPr>
        <w:t xml:space="preserve">. Extract outputs land in </w:t>
      </w:r>
      <w:r>
        <w:rPr>
          <w:rFonts w:ascii="Consolas" w:cs="Consolas" w:eastAsia="Consolas" w:hAnsi="Consolas"/>
          <w:sz w:val="20"/>
          <w:szCs w:val="20"/>
          <w:shd w:fill="F2F2F2" w:color="auto" w:val="clear"/>
        </w:rPr>
        <w:t xml:space="preserve">data/features/{author_slug}.parquet</w:t>
      </w:r>
      <w:r>
        <w:rPr>
          <w:rFonts w:ascii="Calibri" w:cs="Calibri" w:eastAsia="Calibri" w:hAnsi="Calibri"/>
          <w:sz w:val="22"/>
          <w:szCs w:val="22"/>
        </w:rPr>
        <w:t xml:space="preserve"> and </w:t>
      </w:r>
      <w:r>
        <w:rPr>
          <w:rFonts w:ascii="Consolas" w:cs="Consolas" w:eastAsia="Consolas" w:hAnsi="Consolas"/>
          <w:sz w:val="20"/>
          <w:szCs w:val="20"/>
          <w:shd w:fill="F2F2F2" w:color="auto" w:val="clear"/>
        </w:rPr>
        <w:t xml:space="preserve">data/embeddings/{author_slug}/batch.npz</w:t>
      </w:r>
      <w:r>
        <w:rPr>
          <w:rFonts w:ascii="Calibri" w:cs="Calibri" w:eastAsia="Calibri" w:hAnsi="Calibri"/>
          <w:sz w:val="22"/>
          <w:szCs w:val="22"/>
        </w:rPr>
        <w:t xml:space="preserve">. Analyze outputs land in </w:t>
      </w:r>
      <w:r>
        <w:rPr>
          <w:rFonts w:ascii="Consolas" w:cs="Consolas" w:eastAsia="Consolas" w:hAnsi="Consolas"/>
          <w:sz w:val="20"/>
          <w:szCs w:val="20"/>
          <w:shd w:fill="F2F2F2" w:color="auto" w:val="clear"/>
        </w:rPr>
        <w:t xml:space="preserve">data/analysis/*_result.json</w:t>
      </w:r>
      <w:r>
        <w:rPr>
          <w:rFonts w:ascii="Calibri" w:cs="Calibri" w:eastAsia="Calibri" w:hAnsi="Calibri"/>
          <w:sz w:val="22"/>
          <w:szCs w:val="22"/>
        </w:rPr>
        <w:t xml:space="preserve"> plus the run-metadata and custody artifacts. Reports land under </w:t>
      </w:r>
      <w:r>
        <w:rPr>
          <w:rFonts w:ascii="Consolas" w:cs="Consolas" w:eastAsia="Consolas" w:hAnsi="Consolas"/>
          <w:sz w:val="20"/>
          <w:szCs w:val="20"/>
          <w:shd w:fill="F2F2F2" w:color="auto" w:val="clear"/>
        </w:rPr>
        <w:t xml:space="preserve">data/reports/</w:t>
      </w:r>
      <w:r>
        <w:rPr>
          <w:rFonts w:ascii="Calibri" w:cs="Calibri" w:eastAsia="Calibri" w:hAnsi="Calibri"/>
          <w:sz w:val="22"/>
          <w:szCs w:val="22"/>
        </w:rPr>
        <w:t xml:space="preserve">. No stage writes outside its own zone, and no stage imports another stage's internals — a rule reinforced by an explicit Sign in </w:t>
      </w:r>
      <w:r>
        <w:rPr>
          <w:rFonts w:ascii="Consolas" w:cs="Consolas" w:eastAsia="Consolas" w:hAnsi="Consolas"/>
          <w:sz w:val="20"/>
          <w:szCs w:val="20"/>
          <w:shd w:fill="F2F2F2" w:color="auto" w:val="clear"/>
        </w:rPr>
        <w:t xml:space="preserve">docs/GUARDRAILS.md</w:t>
      </w:r>
      <w:r>
        <w:rPr>
          <w:rFonts w:ascii="Calibri" w:cs="Calibri" w:eastAsia="Calibri" w:hAnsi="Calibri"/>
          <w:sz w:val="22"/>
          <w:szCs w:val="22"/>
        </w:rPr>
        <w:t xml:space="preserve">.</w:t>
      </w:r>
    </w:p>
    <w:p>
      <w:pPr>
        <w:spacing w:after="140" w:before="80" w:line="320"/>
        <w:jc w:val="both"/>
      </w:pPr>
      <w:r>
        <w:rPr>
          <w:rFonts w:ascii="Calibri" w:cs="Calibri" w:eastAsia="Calibri" w:hAnsi="Calibri"/>
          <w:sz w:val="22"/>
          <w:szCs w:val="22"/>
        </w:rPr>
        <w:t xml:space="preserve">This isolation matters forensically because each stage's outputs become the auditable input to the next. An auditor can replay a single stage in isolation without re-running upstream cost, and any mid-pipeline corruption surfaces as a hash mismatch rather than a silent downstream artifact.</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3. Data Security and Integrity</w:t>
      </w:r>
    </w:p>
    <w:p>
      <w:pPr>
        <w:spacing w:after="140" w:before="80" w:line="320"/>
        <w:jc w:val="both"/>
      </w:pPr>
      <w:r>
        <w:rPr>
          <w:rFonts w:ascii="Calibri" w:cs="Calibri" w:eastAsia="Calibri" w:hAnsi="Calibri"/>
          <w:sz w:val="22"/>
          <w:szCs w:val="22"/>
        </w:rPr>
        <w:t xml:space="preserve">The data-integrity layer protects the corpus and its derivatives from corruption, mutation, and accidental contamination. It is enforced through type-system constraints, database constraints, atomic file operations, and explicit privacy boundaries.</w:t>
      </w:r>
    </w:p>
    <w:p>
      <w:pPr>
        <w:pStyle w:val="Heading3"/>
        <w:spacing w:after="160" w:before="320"/>
      </w:pPr>
      <w:r>
        <w:rPr>
          <w:rFonts w:ascii="Calibri" w:cs="Calibri" w:eastAsia="Calibri" w:hAnsi="Calibri"/>
          <w:b/>
          <w:bCs/>
          <w:color w:val="2E74B5"/>
          <w:sz w:val="26"/>
          <w:szCs w:val="26"/>
        </w:rPr>
        <w:t xml:space="preserve">3.1 Schema Enforcement at Stage Boundaries</w:t>
      </w:r>
    </w:p>
    <w:p>
      <w:pPr>
        <w:spacing w:after="140" w:before="80" w:line="320"/>
        <w:jc w:val="both"/>
      </w:pPr>
      <w:r>
        <w:rPr>
          <w:rFonts w:ascii="Calibri" w:cs="Calibri" w:eastAsia="Calibri" w:hAnsi="Calibri"/>
          <w:sz w:val="22"/>
          <w:szCs w:val="22"/>
        </w:rPr>
        <w:t xml:space="preserve">Every data structure that crosses a stage boundary is a Pydantic v2 model under </w:t>
      </w:r>
      <w:r>
        <w:rPr>
          <w:rFonts w:ascii="Consolas" w:cs="Consolas" w:eastAsia="Consolas" w:hAnsi="Consolas"/>
          <w:sz w:val="20"/>
          <w:szCs w:val="20"/>
          <w:shd w:fill="F2F2F2" w:color="auto" w:val="clear"/>
        </w:rPr>
        <w:t xml:space="preserve">src/forensics/models/</w:t>
      </w:r>
      <w:r>
        <w:rPr>
          <w:rFonts w:ascii="Calibri" w:cs="Calibri" w:eastAsia="Calibri" w:hAnsi="Calibri"/>
          <w:sz w:val="22"/>
          <w:szCs w:val="22"/>
        </w:rPr>
        <w:t xml:space="preserve">, and every model used inside the analysis core is declared with </w:t>
      </w:r>
      <w:r>
        <w:rPr>
          <w:rFonts w:ascii="Consolas" w:cs="Consolas" w:eastAsia="Consolas" w:hAnsi="Consolas"/>
          <w:sz w:val="20"/>
          <w:szCs w:val="20"/>
          <w:shd w:fill="F2F2F2" w:color="auto" w:val="clear"/>
        </w:rPr>
        <w:t xml:space="preserve">ConfigDict(frozen=True)</w:t>
      </w:r>
      <w:r>
        <w:rPr>
          <w:rFonts w:ascii="Calibri" w:cs="Calibri" w:eastAsia="Calibri" w:hAnsi="Calibri"/>
          <w:sz w:val="22"/>
          <w:szCs w:val="22"/>
        </w:rPr>
        <w:t xml:space="preserve">. The </w:t>
      </w:r>
      <w:r>
        <w:rPr>
          <w:rFonts w:ascii="Consolas" w:cs="Consolas" w:eastAsia="Consolas" w:hAnsi="Consolas"/>
          <w:sz w:val="20"/>
          <w:szCs w:val="20"/>
          <w:shd w:fill="F2F2F2" w:color="auto" w:val="clear"/>
        </w:rPr>
        <w:t xml:space="preserve">Article</w:t>
      </w:r>
      <w:r>
        <w:rPr>
          <w:rFonts w:ascii="Calibri" w:cs="Calibri" w:eastAsia="Calibri" w:hAnsi="Calibri"/>
          <w:sz w:val="22"/>
          <w:szCs w:val="22"/>
        </w:rPr>
        <w:t xml:space="preserve"> model in </w:t>
      </w:r>
      <w:r>
        <w:rPr>
          <w:rFonts w:ascii="Consolas" w:cs="Consolas" w:eastAsia="Consolas" w:hAnsi="Consolas"/>
          <w:sz w:val="20"/>
          <w:szCs w:val="20"/>
          <w:shd w:fill="F2F2F2" w:color="auto" w:val="clear"/>
        </w:rPr>
        <w:t xml:space="preserve">models/article.py</w:t>
      </w:r>
      <w:r>
        <w:rPr>
          <w:rFonts w:ascii="Calibri" w:cs="Calibri" w:eastAsia="Calibri" w:hAnsi="Calibri"/>
          <w:sz w:val="22"/>
          <w:szCs w:val="22"/>
        </w:rPr>
        <w:t xml:space="preserve"> is the canonical example: it deep-copies metadata on construction and on </w:t>
      </w:r>
      <w:r>
        <w:rPr>
          <w:rFonts w:ascii="Consolas" w:cs="Consolas" w:eastAsia="Consolas" w:hAnsi="Consolas"/>
          <w:sz w:val="20"/>
          <w:szCs w:val="20"/>
          <w:shd w:fill="F2F2F2" w:color="auto" w:val="clear"/>
        </w:rPr>
        <w:t xml:space="preserve">.with_updates()</w:t>
      </w:r>
      <w:r>
        <w:rPr>
          <w:rFonts w:ascii="Calibri" w:cs="Calibri" w:eastAsia="Calibri" w:hAnsi="Calibri"/>
          <w:sz w:val="22"/>
          <w:szCs w:val="22"/>
        </w:rPr>
        <w:t xml:space="preserve">, validates the URL field as </w:t>
      </w:r>
      <w:r>
        <w:rPr>
          <w:rFonts w:ascii="Consolas" w:cs="Consolas" w:eastAsia="Consolas" w:hAnsi="Consolas"/>
          <w:sz w:val="20"/>
          <w:szCs w:val="20"/>
          <w:shd w:fill="F2F2F2" w:color="auto" w:val="clear"/>
        </w:rPr>
        <w:t xml:space="preserve">HttpUrl</w:t>
      </w:r>
      <w:r>
        <w:rPr>
          <w:rFonts w:ascii="Calibri" w:cs="Calibri" w:eastAsia="Calibri" w:hAnsi="Calibri"/>
          <w:sz w:val="22"/>
          <w:szCs w:val="22"/>
        </w:rPr>
        <w:t xml:space="preserve">, parses datetimes strictly, and bounds word counts as integers. A caller cannot mutate an </w:t>
      </w:r>
      <w:r>
        <w:rPr>
          <w:rFonts w:ascii="Consolas" w:cs="Consolas" w:eastAsia="Consolas" w:hAnsi="Consolas"/>
          <w:sz w:val="20"/>
          <w:szCs w:val="20"/>
          <w:shd w:fill="F2F2F2" w:color="auto" w:val="clear"/>
        </w:rPr>
        <w:t xml:space="preserve">Article</w:t>
      </w:r>
      <w:r>
        <w:rPr>
          <w:rFonts w:ascii="Calibri" w:cs="Calibri" w:eastAsia="Calibri" w:hAnsi="Calibri"/>
          <w:sz w:val="22"/>
          <w:szCs w:val="22"/>
        </w:rPr>
        <w:t xml:space="preserve"> after it leaves the parser, and a downstream module cannot accidentally accept a malformed record.</w:t>
      </w:r>
    </w:p>
    <w:p>
      <w:pPr>
        <w:spacing w:after="140" w:before="80" w:line="320"/>
        <w:jc w:val="both"/>
      </w:pPr>
      <w:r>
        <w:rPr>
          <w:rFonts w:ascii="Calibri" w:cs="Calibri" w:eastAsia="Calibri" w:hAnsi="Calibri"/>
          <w:sz w:val="22"/>
          <w:szCs w:val="22"/>
        </w:rPr>
        <w:t xml:space="preserve">The persistence layer carries the same discipline. The SQLite schema in </w:t>
      </w:r>
      <w:r>
        <w:rPr>
          <w:rFonts w:ascii="Consolas" w:cs="Consolas" w:eastAsia="Consolas" w:hAnsi="Consolas"/>
          <w:sz w:val="20"/>
          <w:szCs w:val="20"/>
          <w:shd w:fill="F2F2F2" w:color="auto" w:val="clear"/>
        </w:rPr>
        <w:t xml:space="preserve">src/forensics/storage/repository.py</w:t>
      </w:r>
      <w:r>
        <w:rPr>
          <w:rFonts w:ascii="Calibri" w:cs="Calibri" w:eastAsia="Calibri" w:hAnsi="Calibri"/>
          <w:sz w:val="22"/>
          <w:szCs w:val="22"/>
        </w:rPr>
        <w:t xml:space="preserve"> uses </w:t>
      </w:r>
      <w:r>
        <w:rPr>
          <w:rFonts w:ascii="Consolas" w:cs="Consolas" w:eastAsia="Consolas" w:hAnsi="Consolas"/>
          <w:sz w:val="20"/>
          <w:szCs w:val="20"/>
          <w:shd w:fill="F2F2F2" w:color="auto" w:val="clear"/>
        </w:rPr>
        <w:t xml:space="preserve">CHECK</w:t>
      </w:r>
      <w:r>
        <w:rPr>
          <w:rFonts w:ascii="Calibri" w:cs="Calibri" w:eastAsia="Calibri" w:hAnsi="Calibri"/>
          <w:sz w:val="22"/>
          <w:szCs w:val="22"/>
        </w:rPr>
        <w:t xml:space="preserve"> constraints on enums (the </w:t>
      </w:r>
      <w:r>
        <w:rPr>
          <w:rFonts w:ascii="Consolas" w:cs="Consolas" w:eastAsia="Consolas" w:hAnsi="Consolas"/>
          <w:sz w:val="20"/>
          <w:szCs w:val="20"/>
          <w:shd w:fill="F2F2F2" w:color="auto" w:val="clear"/>
        </w:rPr>
        <w:t xml:space="preserve">role</w:t>
      </w:r>
      <w:r>
        <w:rPr>
          <w:rFonts w:ascii="Calibri" w:cs="Calibri" w:eastAsia="Calibri" w:hAnsi="Calibri"/>
          <w:sz w:val="22"/>
          <w:szCs w:val="22"/>
        </w:rPr>
        <w:t xml:space="preserve"> column is restricted to </w:t>
      </w:r>
      <w:r>
        <w:rPr>
          <w:rFonts w:ascii="Consolas" w:cs="Consolas" w:eastAsia="Consolas" w:hAnsi="Consolas"/>
          <w:sz w:val="20"/>
          <w:szCs w:val="20"/>
          <w:shd w:fill="F2F2F2" w:color="auto" w:val="clear"/>
        </w:rPr>
        <w:t xml:space="preserve">'target'</w:t>
      </w:r>
      <w:r>
        <w:rPr>
          <w:rFonts w:ascii="Calibri" w:cs="Calibri" w:eastAsia="Calibri" w:hAnsi="Calibri"/>
          <w:sz w:val="22"/>
          <w:szCs w:val="22"/>
        </w:rPr>
        <w:t xml:space="preserve"> or </w:t>
      </w:r>
      <w:r>
        <w:rPr>
          <w:rFonts w:ascii="Consolas" w:cs="Consolas" w:eastAsia="Consolas" w:hAnsi="Consolas"/>
          <w:sz w:val="20"/>
          <w:szCs w:val="20"/>
          <w:shd w:fill="F2F2F2" w:color="auto" w:val="clear"/>
        </w:rPr>
        <w:t xml:space="preserve">'control'</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UNIQUE</w:t>
      </w:r>
      <w:r>
        <w:rPr>
          <w:rFonts w:ascii="Calibri" w:cs="Calibri" w:eastAsia="Calibri" w:hAnsi="Calibri"/>
          <w:sz w:val="22"/>
          <w:szCs w:val="22"/>
        </w:rPr>
        <w:t xml:space="preserve"> constraints on URLs, </w:t>
      </w:r>
      <w:r>
        <w:rPr>
          <w:rFonts w:ascii="Consolas" w:cs="Consolas" w:eastAsia="Consolas" w:hAnsi="Consolas"/>
          <w:sz w:val="20"/>
          <w:szCs w:val="20"/>
          <w:shd w:fill="F2F2F2" w:color="auto" w:val="clear"/>
        </w:rPr>
        <w:t xml:space="preserve">FOREIGN KEY</w:t>
      </w:r>
      <w:r>
        <w:rPr>
          <w:rFonts w:ascii="Calibri" w:cs="Calibri" w:eastAsia="Calibri" w:hAnsi="Calibri"/>
          <w:sz w:val="22"/>
          <w:szCs w:val="22"/>
        </w:rPr>
        <w:t xml:space="preserve"> on </w:t>
      </w:r>
      <w:r>
        <w:rPr>
          <w:rFonts w:ascii="Consolas" w:cs="Consolas" w:eastAsia="Consolas" w:hAnsi="Consolas"/>
          <w:sz w:val="20"/>
          <w:szCs w:val="20"/>
          <w:shd w:fill="F2F2F2" w:color="auto" w:val="clear"/>
        </w:rPr>
        <w:t xml:space="preserve">author_id</w:t>
      </w:r>
      <w:r>
        <w:rPr>
          <w:rFonts w:ascii="Calibri" w:cs="Calibri" w:eastAsia="Calibri" w:hAnsi="Calibri"/>
          <w:sz w:val="22"/>
          <w:szCs w:val="22"/>
        </w:rPr>
        <w:t xml:space="preserve">, and a default </w:t>
      </w:r>
      <w:r>
        <w:rPr>
          <w:rFonts w:ascii="Consolas" w:cs="Consolas" w:eastAsia="Consolas" w:hAnsi="Consolas"/>
          <w:sz w:val="20"/>
          <w:szCs w:val="20"/>
          <w:shd w:fill="F2F2F2" w:color="auto" w:val="clear"/>
        </w:rPr>
        <w:t xml:space="preserve">is_duplicate = 0</w:t>
      </w:r>
      <w:r>
        <w:rPr>
          <w:rFonts w:ascii="Calibri" w:cs="Calibri" w:eastAsia="Calibri" w:hAnsi="Calibri"/>
          <w:sz w:val="22"/>
          <w:szCs w:val="22"/>
        </w:rPr>
        <w:t xml:space="preserve"> flag. Phase 15 added an </w:t>
      </w:r>
      <w:r>
        <w:rPr>
          <w:rFonts w:ascii="Consolas" w:cs="Consolas" w:eastAsia="Consolas" w:hAnsi="Consolas"/>
          <w:sz w:val="20"/>
          <w:szCs w:val="20"/>
          <w:shd w:fill="F2F2F2" w:color="auto" w:val="clear"/>
        </w:rPr>
        <w:t xml:space="preserve">is_shared_byline</w:t>
      </w:r>
      <w:r>
        <w:rPr>
          <w:rFonts w:ascii="Calibri" w:cs="Calibri" w:eastAsia="Calibri" w:hAnsi="Calibri"/>
          <w:sz w:val="22"/>
          <w:szCs w:val="22"/>
        </w:rPr>
        <w:t xml:space="preserve"> boolean column and a section column derived from URL paths, both managed through a real migration system rather than ad-hoc schema patches; the </w:t>
      </w:r>
      <w:r>
        <w:rPr>
          <w:rFonts w:ascii="Consolas" w:cs="Consolas" w:eastAsia="Consolas" w:hAnsi="Consolas"/>
          <w:sz w:val="20"/>
          <w:szCs w:val="20"/>
          <w:shd w:fill="F2F2F2" w:color="auto" w:val="clear"/>
        </w:rPr>
        <w:t xml:space="preserve">Repository</w:t>
      </w:r>
      <w:r>
        <w:rPr>
          <w:rFonts w:ascii="Calibri" w:cs="Calibri" w:eastAsia="Calibri" w:hAnsi="Calibri"/>
          <w:sz w:val="22"/>
          <w:szCs w:val="22"/>
        </w:rPr>
        <w:t xml:space="preserve"> context manager applies pending migrations on open.</w:t>
      </w:r>
    </w:p>
    <w:p>
      <w:pPr>
        <w:spacing w:after="140" w:before="80" w:line="320"/>
        <w:jc w:val="both"/>
      </w:pPr>
      <w:r>
        <w:rPr>
          <w:rFonts w:ascii="Calibri" w:cs="Calibri" w:eastAsia="Calibri" w:hAnsi="Calibri"/>
          <w:sz w:val="22"/>
          <w:szCs w:val="22"/>
        </w:rPr>
        <w:t xml:space="preserve">Parquet feature files carry a </w:t>
      </w:r>
      <w:r>
        <w:rPr>
          <w:rFonts w:ascii="Consolas" w:cs="Consolas" w:eastAsia="Consolas" w:hAnsi="Consolas"/>
          <w:sz w:val="20"/>
          <w:szCs w:val="20"/>
          <w:shd w:fill="F2F2F2" w:color="auto" w:val="clear"/>
        </w:rPr>
        <w:t xml:space="preserve">feature_parquet_schema_version</w:t>
      </w:r>
      <w:r>
        <w:rPr>
          <w:rFonts w:ascii="Calibri" w:cs="Calibri" w:eastAsia="Calibri" w:hAnsi="Calibri"/>
          <w:sz w:val="22"/>
          <w:szCs w:val="22"/>
        </w:rPr>
        <w:t xml:space="preserve"> integer that the loader checks before reading. A version mismatch raises rather than silently producing a misaligned join. This is what prevents a re-extraction with new columns from contaminating a previous analysis run that did not anticipate them.</w:t>
      </w:r>
    </w:p>
    <w:p>
      <w:pPr>
        <w:pStyle w:val="Heading3"/>
        <w:spacing w:after="160" w:before="320"/>
      </w:pPr>
      <w:r>
        <w:rPr>
          <w:rFonts w:ascii="Calibri" w:cs="Calibri" w:eastAsia="Calibri" w:hAnsi="Calibri"/>
          <w:b/>
          <w:bCs/>
          <w:color w:val="2E74B5"/>
          <w:sz w:val="26"/>
          <w:szCs w:val="26"/>
        </w:rPr>
        <w:t xml:space="preserve">3.2 Atomic Writes and Transactional Storage</w:t>
      </w:r>
    </w:p>
    <w:p>
      <w:pPr>
        <w:spacing w:after="140" w:before="80" w:line="320"/>
        <w:jc w:val="both"/>
      </w:pPr>
      <w:r>
        <w:rPr>
          <w:rFonts w:ascii="Calibri" w:cs="Calibri" w:eastAsia="Calibri" w:hAnsi="Calibri"/>
          <w:sz w:val="22"/>
          <w:szCs w:val="22"/>
        </w:rPr>
        <w:t xml:space="preserve">Every artifact written to disk uses the temp-file-plus-rename pattern (</w:t>
      </w:r>
      <w:r>
        <w:rPr>
          <w:rFonts w:ascii="Consolas" w:cs="Consolas" w:eastAsia="Consolas" w:hAnsi="Consolas"/>
          <w:sz w:val="20"/>
          <w:szCs w:val="20"/>
          <w:shd w:fill="F2F2F2" w:color="auto" w:val="clear"/>
        </w:rPr>
        <w:t xml:space="preserve">write_json_artifact()</w:t>
      </w:r>
      <w:r>
        <w:rPr>
          <w:rFonts w:ascii="Calibri" w:cs="Calibri" w:eastAsia="Calibri" w:hAnsi="Calibri"/>
          <w:sz w:val="22"/>
          <w:szCs w:val="22"/>
        </w:rPr>
        <w:t xml:space="preserve"> and </w:t>
      </w:r>
      <w:r>
        <w:rPr>
          <w:rFonts w:ascii="Consolas" w:cs="Consolas" w:eastAsia="Consolas" w:hAnsi="Consolas"/>
          <w:sz w:val="20"/>
          <w:szCs w:val="20"/>
          <w:shd w:fill="F2F2F2" w:color="auto" w:val="clear"/>
        </w:rPr>
        <w:t xml:space="preserve">write_parquet_atomic()</w:t>
      </w:r>
      <w:r>
        <w:rPr>
          <w:rFonts w:ascii="Calibri" w:cs="Calibri" w:eastAsia="Calibri" w:hAnsi="Calibri"/>
          <w:sz w:val="22"/>
          <w:szCs w:val="22"/>
        </w:rPr>
        <w:t xml:space="preserve"> in the storage module). A crash mid-write leaves the previous valid artifact in place rather than a half-flushed file that would silently feed bad data to the next stage. SQLite operations run in WAL mode with deferred transactions, so concurrent reads do not block writers and a crashed write is rolled back rather than committed in part.</w:t>
      </w:r>
    </w:p>
    <w:p>
      <w:pPr>
        <w:spacing w:after="140" w:before="80" w:line="320"/>
        <w:jc w:val="both"/>
      </w:pPr>
      <w:r>
        <w:rPr>
          <w:rFonts w:ascii="Calibri" w:cs="Calibri" w:eastAsia="Calibri" w:hAnsi="Calibri"/>
          <w:sz w:val="22"/>
          <w:szCs w:val="22"/>
        </w:rPr>
        <w:t xml:space="preserve">These are not theoretical concerns for this project. The full pipeline is benchmarked at thirty minutes per author on the reference machine; a network blip or OOM during the embedding stage would otherwise be a real risk to corpus integrity over a long run.</w:t>
      </w:r>
    </w:p>
    <w:p>
      <w:pPr>
        <w:pStyle w:val="Heading3"/>
        <w:spacing w:after="160" w:before="320"/>
      </w:pPr>
      <w:r>
        <w:rPr>
          <w:rFonts w:ascii="Calibri" w:cs="Calibri" w:eastAsia="Calibri" w:hAnsi="Calibri"/>
          <w:b/>
          <w:bCs/>
          <w:color w:val="2E74B5"/>
          <w:sz w:val="26"/>
          <w:szCs w:val="26"/>
        </w:rPr>
        <w:t xml:space="preserve">3.3 Privacy and PII Handling</w:t>
      </w:r>
    </w:p>
    <w:p>
      <w:pPr>
        <w:spacing w:after="140" w:before="80" w:line="320"/>
        <w:jc w:val="both"/>
      </w:pPr>
      <w:r>
        <w:rPr>
          <w:rFonts w:ascii="Calibri" w:cs="Calibri" w:eastAsia="Calibri" w:hAnsi="Calibri"/>
          <w:sz w:val="22"/>
          <w:szCs w:val="22"/>
        </w:rPr>
        <w:t xml:space="preserve">The PII policy is documented in </w:t>
      </w:r>
      <w:r>
        <w:rPr>
          <w:rFonts w:ascii="Consolas" w:cs="Consolas" w:eastAsia="Consolas" w:hAnsi="Consolas"/>
          <w:sz w:val="20"/>
          <w:szCs w:val="20"/>
          <w:shd w:fill="F2F2F2" w:color="auto" w:val="clear"/>
        </w:rPr>
        <w:t xml:space="preserve">docs/GUARDRAILS.md</w:t>
      </w:r>
      <w:r>
        <w:rPr>
          <w:rFonts w:ascii="Calibri" w:cs="Calibri" w:eastAsia="Calibri" w:hAnsi="Calibri"/>
          <w:sz w:val="22"/>
          <w:szCs w:val="22"/>
        </w:rPr>
        <w:t xml:space="preserve"> and enforced through a combination of code paths and operator discipline. Author bylines — the names that appear under published Mediaite articles — are treated as public data, since they are already published; analysis and reports may reference them. Email addresses, phone numbers, and social handles are explicitly out of scope: they must not be stored, must not appear in logs, and must be redacted if discovered in scraped content.</w:t>
      </w:r>
    </w:p>
    <w:p>
      <w:pPr>
        <w:spacing w:after="140" w:before="80" w:line="320"/>
        <w:jc w:val="both"/>
      </w:pPr>
      <w:r>
        <w:rPr>
          <w:rFonts w:ascii="Calibri" w:cs="Calibri" w:eastAsia="Calibri" w:hAnsi="Calibri"/>
          <w:sz w:val="22"/>
          <w:szCs w:val="22"/>
        </w:rPr>
        <w:t xml:space="preserve">Raw HTML stored under </w:t>
      </w:r>
      <w:r>
        <w:rPr>
          <w:rFonts w:ascii="Consolas" w:cs="Consolas" w:eastAsia="Consolas" w:hAnsi="Consolas"/>
          <w:sz w:val="20"/>
          <w:szCs w:val="20"/>
          <w:shd w:fill="F2F2F2" w:color="auto" w:val="clear"/>
        </w:rPr>
        <w:t xml:space="preserve">data/raw/</w:t>
      </w:r>
      <w:r>
        <w:rPr>
          <w:rFonts w:ascii="Calibri" w:cs="Calibri" w:eastAsia="Calibri" w:hAnsi="Calibri"/>
          <w:sz w:val="22"/>
          <w:szCs w:val="22"/>
        </w:rPr>
        <w:t xml:space="preserve"> is treated as untrusted input and is excluded from anything that could re-render or evaluate it. Tracebacks are sanitized so that error messages cannot leak contact data scraped from a contaminated page.</w:t>
      </w:r>
    </w:p>
    <w:p>
      <w:pPr>
        <w:spacing w:after="140" w:before="80" w:line="320"/>
        <w:jc w:val="both"/>
      </w:pPr>
      <w:r>
        <w:rPr>
          <w:rFonts w:ascii="Calibri" w:cs="Calibri" w:eastAsia="Calibri" w:hAnsi="Calibri"/>
          <w:sz w:val="22"/>
          <w:szCs w:val="22"/>
        </w:rPr>
        <w:t xml:space="preserve">The Phase-15 </w:t>
      </w:r>
      <w:r>
        <w:rPr>
          <w:rFonts w:ascii="Consolas" w:cs="Consolas" w:eastAsia="Consolas" w:hAnsi="Consolas"/>
          <w:sz w:val="20"/>
          <w:szCs w:val="20"/>
          <w:shd w:fill="F2F2F2" w:color="auto" w:val="clear"/>
        </w:rPr>
        <w:t xml:space="preserve">is_shared_byline</w:t>
      </w:r>
      <w:r>
        <w:rPr>
          <w:rFonts w:ascii="Calibri" w:cs="Calibri" w:eastAsia="Calibri" w:hAnsi="Calibri"/>
          <w:sz w:val="22"/>
          <w:szCs w:val="22"/>
        </w:rPr>
        <w:t xml:space="preserve"> filter strengthens the privacy boundary by excluding shared-account bylines (</w:t>
      </w:r>
      <w:r>
        <w:rPr>
          <w:rFonts w:ascii="Consolas" w:cs="Consolas" w:eastAsia="Consolas" w:hAnsi="Consolas"/>
          <w:sz w:val="20"/>
          <w:szCs w:val="20"/>
          <w:shd w:fill="F2F2F2" w:color="auto" w:val="clear"/>
        </w:rPr>
        <w:t xml:space="preserve">mediaite</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mediaite-staff</w:t>
      </w:r>
      <w:r>
        <w:rPr>
          <w:rFonts w:ascii="Calibri" w:cs="Calibri" w:eastAsia="Calibri" w:hAnsi="Calibri"/>
          <w:sz w:val="22"/>
          <w:szCs w:val="22"/>
        </w:rPr>
        <w:t xml:space="preserve">) from analysis by default. This both prevents group-authored articles from polluting single-author baselines and avoids attributing stylistic shifts to an account that may correspond to multiple unidentifiable humans.</w:t>
      </w:r>
    </w:p>
    <w:p>
      <w:pPr>
        <w:pStyle w:val="Heading3"/>
        <w:spacing w:after="160" w:before="320"/>
      </w:pPr>
      <w:r>
        <w:rPr>
          <w:rFonts w:ascii="Calibri" w:cs="Calibri" w:eastAsia="Calibri" w:hAnsi="Calibri"/>
          <w:b/>
          <w:bCs/>
          <w:color w:val="2E74B5"/>
          <w:sz w:val="26"/>
          <w:szCs w:val="26"/>
        </w:rPr>
        <w:t xml:space="preserve">3.4 Ethical Scraping</w:t>
      </w:r>
    </w:p>
    <w:p>
      <w:pPr>
        <w:spacing w:after="140" w:before="80" w:line="320"/>
        <w:jc w:val="both"/>
      </w:pPr>
      <w:r>
        <w:rPr>
          <w:rFonts w:ascii="Calibri" w:cs="Calibri" w:eastAsia="Calibri" w:hAnsi="Calibri"/>
          <w:sz w:val="22"/>
          <w:szCs w:val="22"/>
        </w:rPr>
        <w:t xml:space="preserve">External-data acquisition is implemented in </w:t>
      </w:r>
      <w:r>
        <w:rPr>
          <w:rFonts w:ascii="Consolas" w:cs="Consolas" w:eastAsia="Consolas" w:hAnsi="Consolas"/>
          <w:sz w:val="20"/>
          <w:szCs w:val="20"/>
          <w:shd w:fill="F2F2F2" w:color="auto" w:val="clear"/>
        </w:rPr>
        <w:t xml:space="preserve">src/forensics/scraper/fetcher.py</w:t>
      </w:r>
      <w:r>
        <w:rPr>
          <w:rFonts w:ascii="Calibri" w:cs="Calibri" w:eastAsia="Calibri" w:hAnsi="Calibri"/>
          <w:sz w:val="22"/>
          <w:szCs w:val="22"/>
        </w:rPr>
        <w:t xml:space="preserve"> and configured under </w:t>
      </w:r>
      <w:r>
        <w:rPr>
          <w:rFonts w:ascii="Consolas" w:cs="Consolas" w:eastAsia="Consolas" w:hAnsi="Consolas"/>
          <w:sz w:val="20"/>
          <w:szCs w:val="20"/>
          <w:shd w:fill="F2F2F2" w:color="auto" w:val="clear"/>
        </w:rPr>
        <w:t xml:space="preserve">ScrapingConfig</w:t>
      </w:r>
      <w:r>
        <w:rPr>
          <w:rFonts w:ascii="Calibri" w:cs="Calibri" w:eastAsia="Calibri" w:hAnsi="Calibri"/>
          <w:sz w:val="22"/>
          <w:szCs w:val="22"/>
        </w:rPr>
        <w:t xml:space="preserve"> in </w:t>
      </w:r>
      <w:r>
        <w:rPr>
          <w:rFonts w:ascii="Consolas" w:cs="Consolas" w:eastAsia="Consolas" w:hAnsi="Consolas"/>
          <w:sz w:val="20"/>
          <w:szCs w:val="20"/>
          <w:shd w:fill="F2F2F2" w:color="auto" w:val="clear"/>
        </w:rPr>
        <w:t xml:space="preserve">src/forensics/config/settings.py</w:t>
      </w:r>
      <w:r>
        <w:rPr>
          <w:rFonts w:ascii="Calibri" w:cs="Calibri" w:eastAsia="Calibri" w:hAnsi="Calibri"/>
          <w:sz w:val="22"/>
          <w:szCs w:val="22"/>
        </w:rPr>
        <w:t xml:space="preserve">. The fetcher uses </w:t>
      </w:r>
      <w:r>
        <w:rPr>
          <w:rFonts w:ascii="Consolas" w:cs="Consolas" w:eastAsia="Consolas" w:hAnsi="Consolas"/>
          <w:sz w:val="20"/>
          <w:szCs w:val="20"/>
          <w:shd w:fill="F2F2F2" w:color="auto" w:val="clear"/>
        </w:rPr>
        <w:t xml:space="preserve">httpx</w:t>
      </w:r>
      <w:r>
        <w:rPr>
          <w:rFonts w:ascii="Calibri" w:cs="Calibri" w:eastAsia="Calibri" w:hAnsi="Calibri"/>
          <w:sz w:val="22"/>
          <w:szCs w:val="22"/>
        </w:rPr>
        <w:t xml:space="preserve"> with </w:t>
      </w:r>
      <w:r>
        <w:rPr>
          <w:rFonts w:ascii="Consolas" w:cs="Consolas" w:eastAsia="Consolas" w:hAnsi="Consolas"/>
          <w:sz w:val="20"/>
          <w:szCs w:val="20"/>
          <w:shd w:fill="F2F2F2" w:color="auto" w:val="clear"/>
        </w:rPr>
        <w:t xml:space="preserve">asyncio</w:t>
      </w:r>
      <w:r>
        <w:rPr>
          <w:rFonts w:ascii="Calibri" w:cs="Calibri" w:eastAsia="Calibri" w:hAnsi="Calibri"/>
          <w:sz w:val="22"/>
          <w:szCs w:val="22"/>
        </w:rPr>
        <w:t xml:space="preserve"> and an explicit </w:t>
      </w:r>
      <w:r>
        <w:rPr>
          <w:rFonts w:ascii="Consolas" w:cs="Consolas" w:eastAsia="Consolas" w:hAnsi="Consolas"/>
          <w:sz w:val="20"/>
          <w:szCs w:val="20"/>
          <w:shd w:fill="F2F2F2" w:color="auto" w:val="clear"/>
        </w:rPr>
        <w:t xml:space="preserve">RateLimiter</w:t>
      </w:r>
      <w:r>
        <w:rPr>
          <w:rFonts w:ascii="Calibri" w:cs="Calibri" w:eastAsia="Calibri" w:hAnsi="Calibri"/>
          <w:sz w:val="22"/>
          <w:szCs w:val="22"/>
        </w:rPr>
        <w:t xml:space="preserve"> enforcing a configurable base delay plus jitter; the default is two seconds plus 0.5 seconds of jitter. The user-agent string is fixed and identifies the bot as research traffic. </w:t>
      </w:r>
      <w:r>
        <w:rPr>
          <w:rFonts w:ascii="Consolas" w:cs="Consolas" w:eastAsia="Consolas" w:hAnsi="Consolas"/>
          <w:sz w:val="20"/>
          <w:szCs w:val="20"/>
          <w:shd w:fill="F2F2F2" w:color="auto" w:val="clear"/>
        </w:rPr>
        <w:t xml:space="preserve">respect_robots_txt</w:t>
      </w:r>
      <w:r>
        <w:rPr>
          <w:rFonts w:ascii="Calibri" w:cs="Calibri" w:eastAsia="Calibri" w:hAnsi="Calibri"/>
          <w:sz w:val="22"/>
          <w:szCs w:val="22"/>
        </w:rPr>
        <w:t xml:space="preserve"> defaults to </w:t>
      </w:r>
      <w:r>
        <w:rPr>
          <w:rFonts w:ascii="Consolas" w:cs="Consolas" w:eastAsia="Consolas" w:hAnsi="Consolas"/>
          <w:sz w:val="20"/>
          <w:szCs w:val="20"/>
          <w:shd w:fill="F2F2F2" w:color="auto" w:val="clear"/>
        </w:rPr>
        <w:t xml:space="preserve">True</w:t>
      </w:r>
      <w:r>
        <w:rPr>
          <w:rFonts w:ascii="Calibri" w:cs="Calibri" w:eastAsia="Calibri" w:hAnsi="Calibri"/>
          <w:sz w:val="22"/>
          <w:szCs w:val="22"/>
        </w:rPr>
        <w:t xml:space="preserve">, so a 403 or a violated </w:t>
      </w:r>
      <w:r>
        <w:rPr>
          <w:rFonts w:ascii="Consolas" w:cs="Consolas" w:eastAsia="Consolas" w:hAnsi="Consolas"/>
          <w:sz w:val="20"/>
          <w:szCs w:val="20"/>
          <w:shd w:fill="F2F2F2" w:color="auto" w:val="clear"/>
        </w:rPr>
        <w:t xml:space="preserve">Crawl-Delay</w:t>
      </w:r>
      <w:r>
        <w:rPr>
          <w:rFonts w:ascii="Calibri" w:cs="Calibri" w:eastAsia="Calibri" w:hAnsi="Calibri"/>
          <w:sz w:val="22"/>
          <w:szCs w:val="22"/>
        </w:rPr>
        <w:t xml:space="preserve"> short-circuits further requests. Failed fetches are appended to </w:t>
      </w:r>
      <w:r>
        <w:rPr>
          <w:rFonts w:ascii="Consolas" w:cs="Consolas" w:eastAsia="Consolas" w:hAnsi="Consolas"/>
          <w:sz w:val="20"/>
          <w:szCs w:val="20"/>
          <w:shd w:fill="F2F2F2" w:color="auto" w:val="clear"/>
        </w:rPr>
        <w:t xml:space="preserve">data/scrape_errors.jsonl</w:t>
      </w:r>
      <w:r>
        <w:rPr>
          <w:rFonts w:ascii="Calibri" w:cs="Calibri" w:eastAsia="Calibri" w:hAnsi="Calibri"/>
          <w:sz w:val="22"/>
          <w:szCs w:val="22"/>
        </w:rPr>
        <w:t xml:space="preserve"> with timestamps, so a stalled scrape is auditable rather than silent.</w:t>
      </w:r>
    </w:p>
    <w:p>
      <w:pPr>
        <w:spacing w:after="140" w:before="80" w:line="320"/>
        <w:jc w:val="both"/>
      </w:pPr>
      <w:r>
        <w:rPr>
          <w:rFonts w:ascii="Calibri" w:cs="Calibri" w:eastAsia="Calibri" w:hAnsi="Calibri"/>
          <w:sz w:val="22"/>
          <w:szCs w:val="22"/>
        </w:rPr>
        <w:t xml:space="preserve">Deduplication is handled at both the fetch and storage layers. A fast simhash (xxhash-128 of n-grams) identifies near-duplicates, and exact </w:t>
      </w:r>
      <w:r>
        <w:rPr>
          <w:rFonts w:ascii="Consolas" w:cs="Consolas" w:eastAsia="Consolas" w:hAnsi="Consolas"/>
          <w:sz w:val="20"/>
          <w:szCs w:val="20"/>
          <w:shd w:fill="F2F2F2" w:color="auto" w:val="clear"/>
        </w:rPr>
        <w:t xml:space="preserve">content_hash</w:t>
      </w:r>
      <w:r>
        <w:rPr>
          <w:rFonts w:ascii="Calibri" w:cs="Calibri" w:eastAsia="Calibri" w:hAnsi="Calibri"/>
          <w:sz w:val="22"/>
          <w:szCs w:val="22"/>
        </w:rPr>
        <w:t xml:space="preserve"> collisions are flagged in the </w:t>
      </w:r>
      <w:r>
        <w:rPr>
          <w:rFonts w:ascii="Consolas" w:cs="Consolas" w:eastAsia="Consolas" w:hAnsi="Consolas"/>
          <w:sz w:val="20"/>
          <w:szCs w:val="20"/>
          <w:shd w:fill="F2F2F2" w:color="auto" w:val="clear"/>
        </w:rPr>
        <w:t xml:space="preserve">is_duplicate</w:t>
      </w:r>
      <w:r>
        <w:rPr>
          <w:rFonts w:ascii="Calibri" w:cs="Calibri" w:eastAsia="Calibri" w:hAnsi="Calibri"/>
          <w:sz w:val="22"/>
          <w:szCs w:val="22"/>
        </w:rPr>
        <w:t xml:space="preserve"> column. Duplicates are excluded from analysis without being deleted from the corpus, so the audit trail is preserved.</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4. Research Credibility</w:t>
      </w:r>
    </w:p>
    <w:p>
      <w:pPr>
        <w:spacing w:after="140" w:before="80" w:line="320"/>
        <w:jc w:val="both"/>
      </w:pPr>
      <w:r>
        <w:rPr>
          <w:rFonts w:ascii="Calibri" w:cs="Calibri" w:eastAsia="Calibri" w:hAnsi="Calibri"/>
          <w:sz w:val="22"/>
          <w:szCs w:val="22"/>
        </w:rPr>
        <w:t xml:space="preserve">The research-credibility layer is what distinguishes a defensible finding from a suggestive one. It is built on pre-declared statistical thresholds, multiple-comparison control, calibration against ground truth, and a test suite that catches silent regressions in the analysis math.</w:t>
      </w:r>
    </w:p>
    <w:p>
      <w:pPr>
        <w:pStyle w:val="Heading3"/>
        <w:spacing w:after="160" w:before="320"/>
      </w:pPr>
      <w:r>
        <w:rPr>
          <w:rFonts w:ascii="Calibri" w:cs="Calibri" w:eastAsia="Calibri" w:hAnsi="Calibri"/>
          <w:b/>
          <w:bCs/>
          <w:color w:val="2E74B5"/>
          <w:sz w:val="26"/>
          <w:szCs w:val="26"/>
        </w:rPr>
        <w:t xml:space="preserve">4.1 Statistical Gating</w:t>
      </w:r>
    </w:p>
    <w:p>
      <w:pPr>
        <w:spacing w:after="140" w:before="80" w:line="320"/>
        <w:jc w:val="both"/>
      </w:pPr>
      <w:r>
        <w:rPr>
          <w:rFonts w:ascii="Calibri" w:cs="Calibri" w:eastAsia="Calibri" w:hAnsi="Calibri"/>
          <w:sz w:val="22"/>
          <w:szCs w:val="22"/>
        </w:rPr>
        <w:t xml:space="preserve">Three thresholds gate every claim the pipeline makes, and all three are pre-registered. The significance threshold is locked at </w:t>
      </w:r>
      <w:r>
        <w:rPr>
          <w:rFonts w:ascii="Consolas" w:cs="Consolas" w:eastAsia="Consolas" w:hAnsi="Consolas"/>
          <w:sz w:val="20"/>
          <w:szCs w:val="20"/>
          <w:shd w:fill="F2F2F2" w:color="auto" w:val="clear"/>
        </w:rPr>
        <w:t xml:space="preserve">alpha = 0.05</w:t>
      </w:r>
      <w:r>
        <w:rPr>
          <w:rFonts w:ascii="Calibri" w:cs="Calibri" w:eastAsia="Calibri" w:hAnsi="Calibri"/>
          <w:sz w:val="22"/>
          <w:szCs w:val="22"/>
        </w:rPr>
        <w:t xml:space="preserve">. The effect-size floor is locked at </w:t>
      </w:r>
      <w:r>
        <w:rPr>
          <w:rFonts w:ascii="Consolas" w:cs="Consolas" w:eastAsia="Consolas" w:hAnsi="Consolas"/>
          <w:sz w:val="20"/>
          <w:szCs w:val="20"/>
          <w:shd w:fill="F2F2F2" w:color="auto" w:val="clear"/>
        </w:rPr>
        <w:t xml:space="preserve">|Cohen's d| ≥ 0.2</w:t>
      </w:r>
      <w:r>
        <w:rPr>
          <w:rFonts w:ascii="Calibri" w:cs="Calibri" w:eastAsia="Calibri" w:hAnsi="Calibri"/>
          <w:sz w:val="22"/>
          <w:szCs w:val="22"/>
        </w:rPr>
        <w:t xml:space="preserve">, so that a feature with a statistically significant but practically negligible shift cannot be promoted to evidence on the strength of sample size alone. The convergence threshold requires a supermajority of feature families to shift simultaneously within a 90-day rolling window, so that a single noisy family cannot drive a finding.</w:t>
      </w:r>
    </w:p>
    <w:p>
      <w:pPr>
        <w:spacing w:after="140" w:before="80" w:line="320"/>
        <w:jc w:val="both"/>
      </w:pPr>
      <w:r>
        <w:rPr>
          <w:rFonts w:ascii="Calibri" w:cs="Calibri" w:eastAsia="Calibri" w:hAnsi="Calibri"/>
          <w:sz w:val="22"/>
          <w:szCs w:val="22"/>
        </w:rPr>
        <w:t xml:space="preserve">These gates are wired into the evidence filter (</w:t>
      </w:r>
      <w:r>
        <w:rPr>
          <w:rFonts w:ascii="Consolas" w:cs="Consolas" w:eastAsia="Consolas" w:hAnsi="Consolas"/>
          <w:sz w:val="20"/>
          <w:szCs w:val="20"/>
          <w:shd w:fill="F2F2F2" w:color="auto" w:val="clear"/>
        </w:rPr>
        <w:t xml:space="preserve">src/forensics/analysis/evidence.py</w:t>
      </w:r>
      <w:r>
        <w:rPr>
          <w:rFonts w:ascii="Calibri" w:cs="Calibri" w:eastAsia="Calibri" w:hAnsi="Calibri"/>
          <w:sz w:val="22"/>
          <w:szCs w:val="22"/>
        </w:rPr>
        <w:t xml:space="preserve">) and the statistical primitives in </w:t>
      </w:r>
      <w:r>
        <w:rPr>
          <w:rFonts w:ascii="Consolas" w:cs="Consolas" w:eastAsia="Consolas" w:hAnsi="Consolas"/>
          <w:sz w:val="20"/>
          <w:szCs w:val="20"/>
          <w:shd w:fill="F2F2F2" w:color="auto" w:val="clear"/>
        </w:rPr>
        <w:t xml:space="preserve">src/forensics/analysis/statistics.py</w:t>
      </w:r>
      <w:r>
        <w:rPr>
          <w:rFonts w:ascii="Calibri" w:cs="Calibri" w:eastAsia="Calibri" w:hAnsi="Calibri"/>
          <w:sz w:val="22"/>
          <w:szCs w:val="22"/>
        </w:rPr>
        <w:t xml:space="preserve">. A change-point that fails the effect-size threshold does not appear in the convergence calculation. A feature family with insufficient evidence does not contribute to the family-ratio rule. The conservative default is to fail closed.</w:t>
      </w:r>
    </w:p>
    <w:p>
      <w:pPr>
        <w:pStyle w:val="Heading3"/>
        <w:spacing w:after="160" w:before="320"/>
      </w:pPr>
      <w:r>
        <w:rPr>
          <w:rFonts w:ascii="Calibri" w:cs="Calibri" w:eastAsia="Calibri" w:hAnsi="Calibri"/>
          <w:b/>
          <w:bCs/>
          <w:color w:val="2E74B5"/>
          <w:sz w:val="26"/>
          <w:szCs w:val="26"/>
        </w:rPr>
        <w:t xml:space="preserve">4.2 Multiple-Comparison Correction</w:t>
      </w:r>
    </w:p>
    <w:p>
      <w:pPr>
        <w:spacing w:after="140" w:before="80" w:line="320"/>
        <w:jc w:val="both"/>
      </w:pPr>
      <w:r>
        <w:rPr>
          <w:rFonts w:ascii="Calibri" w:cs="Calibri" w:eastAsia="Calibri" w:hAnsi="Calibri"/>
          <w:sz w:val="22"/>
          <w:szCs w:val="22"/>
        </w:rPr>
        <w:t xml:space="preserve">With approximately fifty features tested per author, naive p-value thresholding would inflate the false-discovery rate substantially. The pipeline applies Benjamini–Hochberg false-discovery-rate control, with a deliberate choice that distinguishes it from many academic implementations: by default, BH is applied </w:t>
      </w:r>
      <w:r>
        <w:rPr>
          <w:rFonts w:ascii="Calibri" w:cs="Calibri" w:eastAsia="Calibri" w:hAnsi="Calibri"/>
          <w:i/>
          <w:iCs/>
          <w:sz w:val="22"/>
          <w:szCs w:val="22"/>
        </w:rPr>
        <w:t xml:space="preserve">per family</w:t>
      </w:r>
      <w:r>
        <w:rPr>
          <w:rFonts w:ascii="Calibri" w:cs="Calibri" w:eastAsia="Calibri" w:hAnsi="Calibri"/>
          <w:sz w:val="22"/>
          <w:szCs w:val="22"/>
        </w:rPr>
        <w:t xml:space="preserve"> rather than globally, via the </w:t>
      </w:r>
      <w:r>
        <w:rPr>
          <w:rFonts w:ascii="Consolas" w:cs="Consolas" w:eastAsia="Consolas" w:hAnsi="Consolas"/>
          <w:sz w:val="20"/>
          <w:szCs w:val="20"/>
          <w:shd w:fill="F2F2F2" w:color="auto" w:val="clear"/>
        </w:rPr>
        <w:t xml:space="preserve">apply_correction_grouped()</w:t>
      </w:r>
      <w:r>
        <w:rPr>
          <w:rFonts w:ascii="Calibri" w:cs="Calibri" w:eastAsia="Calibri" w:hAnsi="Calibri"/>
          <w:sz w:val="22"/>
          <w:szCs w:val="22"/>
        </w:rPr>
        <w:t xml:space="preserve"> routine and the hashed </w:t>
      </w:r>
      <w:r>
        <w:rPr>
          <w:rFonts w:ascii="Consolas" w:cs="Consolas" w:eastAsia="Consolas" w:hAnsi="Consolas"/>
          <w:sz w:val="20"/>
          <w:szCs w:val="20"/>
          <w:shd w:fill="F2F2F2" w:color="auto" w:val="clear"/>
        </w:rPr>
        <w:t xml:space="preserve">fdr_grouping = "family"</w:t>
      </w:r>
      <w:r>
        <w:rPr>
          <w:rFonts w:ascii="Calibri" w:cs="Calibri" w:eastAsia="Calibri" w:hAnsi="Calibri"/>
          <w:sz w:val="22"/>
          <w:szCs w:val="22"/>
        </w:rPr>
        <w:t xml:space="preserve"> setting. Each feature's p-values are ranked within its family (lexical, readability, sentence structure, entropy, self-similarity, AI markers) and adjusted by the BH formula using the family size as the denominator.</w:t>
      </w:r>
    </w:p>
    <w:p>
      <w:pPr>
        <w:spacing w:after="140" w:before="80" w:line="320"/>
        <w:jc w:val="both"/>
      </w:pPr>
      <w:r>
        <w:rPr>
          <w:rFonts w:ascii="Calibri" w:cs="Calibri" w:eastAsia="Calibri" w:hAnsi="Calibri"/>
          <w:sz w:val="22"/>
          <w:szCs w:val="22"/>
        </w:rPr>
        <w:t xml:space="preserve">The trade-off is documented honestly in the source: per-family BH is slightly conservative when features within a family are positively correlated, since it does not apply effective-N corrections. Global BH remains available as </w:t>
      </w:r>
      <w:r>
        <w:rPr>
          <w:rFonts w:ascii="Consolas" w:cs="Consolas" w:eastAsia="Consolas" w:hAnsi="Consolas"/>
          <w:sz w:val="20"/>
          <w:szCs w:val="20"/>
          <w:shd w:fill="F2F2F2" w:color="auto" w:val="clear"/>
        </w:rPr>
        <w:t xml:space="preserve">fdr_grouping = "author"</w:t>
      </w:r>
      <w:r>
        <w:rPr>
          <w:rFonts w:ascii="Calibri" w:cs="Calibri" w:eastAsia="Calibri" w:hAnsi="Calibri"/>
          <w:sz w:val="22"/>
          <w:szCs w:val="22"/>
        </w:rPr>
        <w:t xml:space="preserve"> and is itself preregistered, so an exploratory comparison between the two strategies leaves a visible audit trail in the lock file.</w:t>
      </w:r>
    </w:p>
    <w:p>
      <w:pPr>
        <w:spacing w:after="140" w:before="80" w:line="320"/>
        <w:jc w:val="both"/>
      </w:pPr>
      <w:r>
        <w:rPr>
          <w:rFonts w:ascii="Calibri" w:cs="Calibri" w:eastAsia="Calibri" w:hAnsi="Calibri"/>
          <w:sz w:val="22"/>
          <w:szCs w:val="22"/>
        </w:rPr>
        <w:t xml:space="preserve">Bootstrap confidence intervals (1,000 percentile bootstrap iterations, seed 42) are computed for every effect-size estimate. The vectorized implementation introduced in Phase 15 was pinned by a regression test (</w:t>
      </w:r>
      <w:r>
        <w:rPr>
          <w:rFonts w:ascii="Consolas" w:cs="Consolas" w:eastAsia="Consolas" w:hAnsi="Consolas"/>
          <w:sz w:val="20"/>
          <w:szCs w:val="20"/>
          <w:shd w:fill="F2F2F2" w:color="auto" w:val="clear"/>
        </w:rPr>
        <w:t xml:space="preserve">tests/unit/test_bootstrap_vectorized.py</w:t>
      </w:r>
      <w:r>
        <w:rPr>
          <w:rFonts w:ascii="Calibri" w:cs="Calibri" w:eastAsia="Calibri" w:hAnsi="Calibri"/>
          <w:sz w:val="22"/>
          <w:szCs w:val="22"/>
        </w:rPr>
        <w:t xml:space="preserve">) so that future optimization passes cannot silently change the resampling order and shift CI bounds.</w:t>
      </w:r>
    </w:p>
    <w:p>
      <w:pPr>
        <w:pStyle w:val="Heading3"/>
        <w:spacing w:after="160" w:before="320"/>
      </w:pPr>
      <w:r>
        <w:rPr>
          <w:rFonts w:ascii="Calibri" w:cs="Calibri" w:eastAsia="Calibri" w:hAnsi="Calibri"/>
          <w:b/>
          <w:bCs/>
          <w:color w:val="2E74B5"/>
          <w:sz w:val="26"/>
          <w:szCs w:val="26"/>
        </w:rPr>
        <w:t xml:space="preserve">4.3 Calibration and Control Cohorts</w:t>
      </w:r>
    </w:p>
    <w:p>
      <w:pPr>
        <w:spacing w:after="140" w:before="80" w:line="320"/>
        <w:jc w:val="both"/>
      </w:pPr>
      <w:r>
        <w:rPr>
          <w:rFonts w:ascii="Calibri" w:cs="Calibri" w:eastAsia="Calibri" w:hAnsi="Calibri"/>
          <w:sz w:val="22"/>
          <w:szCs w:val="22"/>
        </w:rPr>
        <w:t xml:space="preserve">The pipeline does not assume its detectors work; it tests them on synthetic and natural ground truth before applying them to real authors. The calibration system lives under </w:t>
      </w:r>
      <w:r>
        <w:rPr>
          <w:rFonts w:ascii="Consolas" w:cs="Consolas" w:eastAsia="Consolas" w:hAnsi="Consolas"/>
          <w:sz w:val="20"/>
          <w:szCs w:val="20"/>
          <w:shd w:fill="F2F2F2" w:color="auto" w:val="clear"/>
        </w:rPr>
        <w:t xml:space="preserve">src/forensics/calibration/</w:t>
      </w:r>
      <w:r>
        <w:rPr>
          <w:rFonts w:ascii="Calibri" w:cs="Calibri" w:eastAsia="Calibri" w:hAnsi="Calibri"/>
          <w:sz w:val="22"/>
          <w:szCs w:val="22"/>
        </w:rPr>
        <w:t xml:space="preserve">. The </w:t>
      </w:r>
      <w:r>
        <w:rPr>
          <w:rFonts w:ascii="Consolas" w:cs="Consolas" w:eastAsia="Consolas" w:hAnsi="Consolas"/>
          <w:sz w:val="20"/>
          <w:szCs w:val="20"/>
          <w:shd w:fill="F2F2F2" w:color="auto" w:val="clear"/>
        </w:rPr>
        <w:t xml:space="preserve">build_spliced_corpus()</w:t>
      </w:r>
      <w:r>
        <w:rPr>
          <w:rFonts w:ascii="Calibri" w:cs="Calibri" w:eastAsia="Calibri" w:hAnsi="Calibri"/>
          <w:sz w:val="22"/>
          <w:szCs w:val="22"/>
        </w:rPr>
        <w:t xml:space="preserve"> routine in </w:t>
      </w:r>
      <w:r>
        <w:rPr>
          <w:rFonts w:ascii="Consolas" w:cs="Consolas" w:eastAsia="Consolas" w:hAnsi="Consolas"/>
          <w:sz w:val="20"/>
          <w:szCs w:val="20"/>
          <w:shd w:fill="F2F2F2" w:color="auto" w:val="clear"/>
        </w:rPr>
        <w:t xml:space="preserve">synthetic.py</w:t>
      </w:r>
      <w:r>
        <w:rPr>
          <w:rFonts w:ascii="Calibri" w:cs="Calibri" w:eastAsia="Calibri" w:hAnsi="Calibri"/>
          <w:sz w:val="22"/>
          <w:szCs w:val="22"/>
        </w:rPr>
        <w:t xml:space="preserve"> constructs a positive trial by replacing post-splice-date articles with Phase-10 AI baseline text while preserving the metadata join keys (id, url, date), so downstream stages can still process the corpus normally but the post-period text is known-AI. A negative trial uses an unmodified corpus copy. Sensitivity, specificity, precision, F1, and median-date-error are all computed against this ground truth and persisted in </w:t>
      </w:r>
      <w:r>
        <w:rPr>
          <w:rFonts w:ascii="Consolas" w:cs="Consolas" w:eastAsia="Consolas" w:hAnsi="Consolas"/>
          <w:sz w:val="20"/>
          <w:szCs w:val="20"/>
          <w:shd w:fill="F2F2F2" w:color="auto" w:val="clear"/>
        </w:rPr>
        <w:t xml:space="preserve">data/calibration/calibration_&lt;ts&gt;.json</w:t>
      </w:r>
      <w:r>
        <w:rPr>
          <w:rFonts w:ascii="Calibri" w:cs="Calibri" w:eastAsia="Calibri" w:hAnsi="Calibri"/>
          <w:sz w:val="22"/>
          <w:szCs w:val="22"/>
        </w:rPr>
        <w:t xml:space="preserve">.</w:t>
      </w:r>
    </w:p>
    <w:p>
      <w:pPr>
        <w:spacing w:after="140" w:before="80" w:line="320"/>
        <w:jc w:val="both"/>
      </w:pPr>
      <w:r>
        <w:rPr>
          <w:rFonts w:ascii="Calibri" w:cs="Calibri" w:eastAsia="Calibri" w:hAnsi="Calibri"/>
          <w:sz w:val="22"/>
          <w:szCs w:val="22"/>
        </w:rPr>
        <w:t xml:space="preserve">The </w:t>
      </w:r>
      <w:r>
        <w:rPr>
          <w:rFonts w:ascii="Consolas" w:cs="Consolas" w:eastAsia="Consolas" w:hAnsi="Consolas"/>
          <w:sz w:val="20"/>
          <w:szCs w:val="20"/>
          <w:shd w:fill="F2F2F2" w:color="auto" w:val="clear"/>
        </w:rPr>
        <w:t xml:space="preserve">identify_natural_controls()</w:t>
      </w:r>
      <w:r>
        <w:rPr>
          <w:rFonts w:ascii="Calibri" w:cs="Calibri" w:eastAsia="Calibri" w:hAnsi="Calibri"/>
          <w:sz w:val="22"/>
          <w:szCs w:val="22"/>
        </w:rPr>
        <w:t xml:space="preserve"> function in </w:t>
      </w:r>
      <w:r>
        <w:rPr>
          <w:rFonts w:ascii="Consolas" w:cs="Consolas" w:eastAsia="Consolas" w:hAnsi="Consolas"/>
          <w:sz w:val="20"/>
          <w:szCs w:val="20"/>
          <w:shd w:fill="F2F2F2" w:color="auto" w:val="clear"/>
        </w:rPr>
        <w:t xml:space="preserve">src/forensics/survey/scoring.py</w:t>
      </w:r>
      <w:r>
        <w:rPr>
          <w:rFonts w:ascii="Calibri" w:cs="Calibri" w:eastAsia="Calibri" w:hAnsi="Calibri"/>
          <w:sz w:val="22"/>
          <w:szCs w:val="22"/>
        </w:rPr>
        <w:t xml:space="preserve"> selects peer authors at the same outlet whose composite AI-adoption score is at most 0.2 </w:t>
      </w:r>
      <w:r>
        <w:rPr>
          <w:rFonts w:ascii="Calibri" w:cs="Calibri" w:eastAsia="Calibri" w:hAnsi="Calibri"/>
          <w:i/>
          <w:iCs/>
          <w:sz w:val="22"/>
          <w:szCs w:val="22"/>
        </w:rPr>
        <w:t xml:space="preserve">and</w:t>
      </w:r>
      <w:r>
        <w:rPr>
          <w:rFonts w:ascii="Calibri" w:cs="Calibri" w:eastAsia="Calibri" w:hAnsi="Calibri"/>
          <w:sz w:val="22"/>
          <w:szCs w:val="22"/>
        </w:rPr>
        <w:t xml:space="preserve"> whose signal strength is </w:t>
      </w:r>
      <w:r>
        <w:rPr>
          <w:rFonts w:ascii="Consolas" w:cs="Consolas" w:eastAsia="Consolas" w:hAnsi="Consolas"/>
          <w:sz w:val="20"/>
          <w:szCs w:val="20"/>
          <w:shd w:fill="F2F2F2" w:color="auto" w:val="clear"/>
        </w:rPr>
        <w:t xml:space="preserve">NONE</w:t>
      </w:r>
      <w:r>
        <w:rPr>
          <w:rFonts w:ascii="Calibri" w:cs="Calibri" w:eastAsia="Calibri" w:hAnsi="Calibri"/>
          <w:sz w:val="22"/>
          <w:szCs w:val="22"/>
        </w:rPr>
        <w:t xml:space="preserve">. These authors form the natural control cohort: their reported drift bounds the noise floor of the detection system on real Mediaite data, not just on synthetic constructions. A finding on a target author is reportable only if it exceeds the noise floor established by these controls.</w:t>
      </w:r>
    </w:p>
    <w:p>
      <w:pPr>
        <w:pStyle w:val="Heading3"/>
        <w:spacing w:after="160" w:before="320"/>
      </w:pPr>
      <w:r>
        <w:rPr>
          <w:rFonts w:ascii="Calibri" w:cs="Calibri" w:eastAsia="Calibri" w:hAnsi="Calibri"/>
          <w:b/>
          <w:bCs/>
          <w:color w:val="2E74B5"/>
          <w:sz w:val="26"/>
          <w:szCs w:val="26"/>
        </w:rPr>
        <w:t xml:space="preserve">4.4 Reproducibility and Determinism</w:t>
      </w:r>
    </w:p>
    <w:p>
      <w:pPr>
        <w:spacing w:after="140" w:before="80" w:line="320"/>
        <w:jc w:val="both"/>
      </w:pPr>
      <w:r>
        <w:rPr>
          <w:rFonts w:ascii="Calibri" w:cs="Calibri" w:eastAsia="Calibri" w:hAnsi="Calibri"/>
          <w:sz w:val="22"/>
          <w:szCs w:val="22"/>
        </w:rPr>
        <w:t xml:space="preserve">Reproducibility is enforced at three levels. The Python environment is locked: Python 3.13 plus </w:t>
      </w:r>
      <w:r>
        <w:rPr>
          <w:rFonts w:ascii="Consolas" w:cs="Consolas" w:eastAsia="Consolas" w:hAnsi="Consolas"/>
          <w:sz w:val="20"/>
          <w:szCs w:val="20"/>
          <w:shd w:fill="F2F2F2" w:color="auto" w:val="clear"/>
        </w:rPr>
        <w:t xml:space="preserve">uv</w:t>
      </w:r>
      <w:r>
        <w:rPr>
          <w:rFonts w:ascii="Calibri" w:cs="Calibri" w:eastAsia="Calibri" w:hAnsi="Calibri"/>
          <w:sz w:val="22"/>
          <w:szCs w:val="22"/>
        </w:rPr>
        <w:t xml:space="preserve">'s lockfile model pins every direct and transitive dependency, including the heavy numerical libraries (</w:t>
      </w:r>
      <w:r>
        <w:rPr>
          <w:rFonts w:ascii="Consolas" w:cs="Consolas" w:eastAsia="Consolas" w:hAnsi="Consolas"/>
          <w:sz w:val="20"/>
          <w:szCs w:val="20"/>
          <w:shd w:fill="F2F2F2" w:color="auto" w:val="clear"/>
        </w:rPr>
        <w:t xml:space="preserve">ruptures</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scipy</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numpy</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scikit-learn</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sentence-transformers</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umap-learn</w:t>
      </w:r>
      <w:r>
        <w:rPr>
          <w:rFonts w:ascii="Calibri" w:cs="Calibri" w:eastAsia="Calibri" w:hAnsi="Calibri"/>
          <w:sz w:val="22"/>
          <w:szCs w:val="22"/>
        </w:rPr>
        <w:t xml:space="preserve">). The embedding model is pinned to </w:t>
      </w:r>
      <w:r>
        <w:rPr>
          <w:rFonts w:ascii="Consolas" w:cs="Consolas" w:eastAsia="Consolas" w:hAnsi="Consolas"/>
          <w:sz w:val="20"/>
          <w:szCs w:val="20"/>
          <w:shd w:fill="F2F2F2" w:color="auto" w:val="clear"/>
        </w:rPr>
        <w:t xml:space="preserve">all-MiniLM-L6-v2</w:t>
      </w:r>
      <w:r>
        <w:rPr>
          <w:rFonts w:ascii="Calibri" w:cs="Calibri" w:eastAsia="Calibri" w:hAnsi="Calibri"/>
          <w:sz w:val="22"/>
          <w:szCs w:val="22"/>
        </w:rPr>
        <w:t xml:space="preserve"> at a specific revision. Random seeds are pinned everywhere they matter — bootstrap CIs at seed 42, BOCPD priors at fixed initial values, permutation-null shuffles at deterministic per-author seeds.</w:t>
      </w:r>
    </w:p>
    <w:p>
      <w:pPr>
        <w:spacing w:after="140" w:before="80" w:line="320"/>
        <w:jc w:val="both"/>
      </w:pPr>
      <w:r>
        <w:rPr>
          <w:rFonts w:ascii="Calibri" w:cs="Calibri" w:eastAsia="Calibri" w:hAnsi="Calibri"/>
          <w:sz w:val="22"/>
          <w:szCs w:val="22"/>
        </w:rPr>
        <w:t xml:space="preserve">The strongest guarantee is the parallel parity integration test at </w:t>
      </w:r>
      <w:r>
        <w:rPr>
          <w:rFonts w:ascii="Consolas" w:cs="Consolas" w:eastAsia="Consolas" w:hAnsi="Consolas"/>
          <w:sz w:val="20"/>
          <w:szCs w:val="20"/>
          <w:shd w:fill="F2F2F2" w:color="auto" w:val="clear"/>
        </w:rPr>
        <w:t xml:space="preserve">tests/integration/test_parallel_parity.py</w:t>
      </w:r>
      <w:r>
        <w:rPr>
          <w:rFonts w:ascii="Calibri" w:cs="Calibri" w:eastAsia="Calibri" w:hAnsi="Calibri"/>
          <w:sz w:val="22"/>
          <w:szCs w:val="22"/>
        </w:rPr>
        <w:t xml:space="preserve">. This test runs the full analysis pipeline once with </w:t>
      </w:r>
      <w:r>
        <w:rPr>
          <w:rFonts w:ascii="Consolas" w:cs="Consolas" w:eastAsia="Consolas" w:hAnsi="Consolas"/>
          <w:sz w:val="20"/>
          <w:szCs w:val="20"/>
          <w:shd w:fill="F2F2F2" w:color="auto" w:val="clear"/>
        </w:rPr>
        <w:t xml:space="preserve">max_workers=1</w:t>
      </w:r>
      <w:r>
        <w:rPr>
          <w:rFonts w:ascii="Calibri" w:cs="Calibri" w:eastAsia="Calibri" w:hAnsi="Calibri"/>
          <w:sz w:val="22"/>
          <w:szCs w:val="22"/>
        </w:rPr>
        <w:t xml:space="preserve"> and once in parallel, and asserts that every per-author JSON artifact is byte-identical between the two runs. A regression that breaks determinism — for example, a feature-extraction pass that depends on iteration order over an unsorted set — fails this test before it can reach a release. The known limitation, that ProcessPoolExecutor across spawned processes cannot achieve cross-process byte-identity without unsafe fork semantics, is documented in the test file and in </w:t>
      </w:r>
      <w:r>
        <w:rPr>
          <w:rFonts w:ascii="Consolas" w:cs="Consolas" w:eastAsia="Consolas" w:hAnsi="Consolas"/>
          <w:sz w:val="20"/>
          <w:szCs w:val="20"/>
          <w:shd w:fill="F2F2F2" w:color="auto" w:val="clear"/>
        </w:rPr>
        <w:t xml:space="preserve">HANDOFF.md</w:t>
      </w:r>
      <w:r>
        <w:rPr>
          <w:rFonts w:ascii="Calibri" w:cs="Calibri" w:eastAsia="Calibri" w:hAnsi="Calibri"/>
          <w:sz w:val="22"/>
          <w:szCs w:val="22"/>
        </w:rPr>
        <w:t xml:space="preserve"> rather than papered over.</w:t>
      </w:r>
    </w:p>
    <w:p>
      <w:pPr>
        <w:pStyle w:val="Heading3"/>
        <w:spacing w:after="160" w:before="320"/>
      </w:pPr>
      <w:r>
        <w:rPr>
          <w:rFonts w:ascii="Calibri" w:cs="Calibri" w:eastAsia="Calibri" w:hAnsi="Calibri"/>
          <w:b/>
          <w:bCs/>
          <w:color w:val="2E74B5"/>
          <w:sz w:val="26"/>
          <w:szCs w:val="26"/>
        </w:rPr>
        <w:t xml:space="preserve">4.5 Testing Strategy</w:t>
      </w:r>
    </w:p>
    <w:p>
      <w:pPr>
        <w:spacing w:after="140" w:before="80" w:line="320"/>
        <w:jc w:val="both"/>
      </w:pPr>
      <w:r>
        <w:rPr>
          <w:rFonts w:ascii="Calibri" w:cs="Calibri" w:eastAsia="Calibri" w:hAnsi="Calibri"/>
          <w:sz w:val="22"/>
          <w:szCs w:val="22"/>
        </w:rPr>
        <w:t xml:space="preserve">The project's testing discipline goes well beyond happy-path coverage. The </w:t>
      </w:r>
      <w:r>
        <w:rPr>
          <w:rFonts w:ascii="Consolas" w:cs="Consolas" w:eastAsia="Consolas" w:hAnsi="Consolas"/>
          <w:sz w:val="20"/>
          <w:szCs w:val="20"/>
          <w:shd w:fill="F2F2F2" w:color="auto" w:val="clear"/>
        </w:rPr>
        <w:t xml:space="preserve">pyproject.toml</w:t>
      </w:r>
      <w:r>
        <w:rPr>
          <w:rFonts w:ascii="Calibri" w:cs="Calibri" w:eastAsia="Calibri" w:hAnsi="Calibri"/>
          <w:sz w:val="22"/>
          <w:szCs w:val="22"/>
        </w:rPr>
        <w:t xml:space="preserve"> enforces a 75% line-coverage gate on the </w:t>
      </w:r>
      <w:r>
        <w:rPr>
          <w:rFonts w:ascii="Consolas" w:cs="Consolas" w:eastAsia="Consolas" w:hAnsi="Consolas"/>
          <w:sz w:val="20"/>
          <w:szCs w:val="20"/>
          <w:shd w:fill="F2F2F2" w:color="auto" w:val="clear"/>
        </w:rPr>
        <w:t xml:space="preserve">forensics</w:t>
      </w:r>
      <w:r>
        <w:rPr>
          <w:rFonts w:ascii="Calibri" w:cs="Calibri" w:eastAsia="Calibri" w:hAnsi="Calibri"/>
          <w:sz w:val="22"/>
          <w:szCs w:val="22"/>
        </w:rPr>
        <w:t xml:space="preserve"> package via </w:t>
      </w:r>
      <w:r>
        <w:rPr>
          <w:rFonts w:ascii="Consolas" w:cs="Consolas" w:eastAsia="Consolas" w:hAnsi="Consolas"/>
          <w:sz w:val="20"/>
          <w:szCs w:val="20"/>
          <w:shd w:fill="F2F2F2" w:color="auto" w:val="clear"/>
        </w:rPr>
        <w:t xml:space="preserve">pytest-cov</w:t>
      </w:r>
      <w:r>
        <w:rPr>
          <w:rFonts w:ascii="Calibri" w:cs="Calibri" w:eastAsia="Calibri" w:hAnsi="Calibri"/>
          <w:sz w:val="22"/>
          <w:szCs w:val="22"/>
        </w:rPr>
        <w:t xml:space="preserve">'s </w:t>
      </w:r>
      <w:r>
        <w:rPr>
          <w:rFonts w:ascii="Consolas" w:cs="Consolas" w:eastAsia="Consolas" w:hAnsi="Consolas"/>
          <w:sz w:val="20"/>
          <w:szCs w:val="20"/>
          <w:shd w:fill="F2F2F2" w:color="auto" w:val="clear"/>
        </w:rPr>
        <w:t xml:space="preserve">fail_under</w:t>
      </w:r>
      <w:r>
        <w:rPr>
          <w:rFonts w:ascii="Calibri" w:cs="Calibri" w:eastAsia="Calibri" w:hAnsi="Calibri"/>
          <w:sz w:val="22"/>
          <w:szCs w:val="22"/>
        </w:rPr>
        <w:t xml:space="preserve"> setting, which is wired into CI. The </w:t>
      </w:r>
      <w:r>
        <w:rPr>
          <w:rFonts w:ascii="Consolas" w:cs="Consolas" w:eastAsia="Consolas" w:hAnsi="Consolas"/>
          <w:sz w:val="20"/>
          <w:szCs w:val="20"/>
          <w:shd w:fill="F2F2F2" w:color="auto" w:val="clear"/>
        </w:rPr>
        <w:t xml:space="preserve">docs/TESTING.md</w:t>
      </w:r>
      <w:r>
        <w:rPr>
          <w:rFonts w:ascii="Calibri" w:cs="Calibri" w:eastAsia="Calibri" w:hAnsi="Calibri"/>
          <w:sz w:val="22"/>
          <w:szCs w:val="22"/>
        </w:rPr>
        <w:t xml:space="preserve"> document codifies a TDD workflow (red, green, refactor, validate) that every feature is expected to follow.</w:t>
      </w:r>
    </w:p>
    <w:p>
      <w:pPr>
        <w:spacing w:after="140" w:before="80" w:line="320"/>
        <w:jc w:val="both"/>
      </w:pPr>
      <w:r>
        <w:rPr>
          <w:rFonts w:ascii="Calibri" w:cs="Calibri" w:eastAsia="Calibri" w:hAnsi="Calibri"/>
          <w:sz w:val="22"/>
          <w:szCs w:val="22"/>
        </w:rPr>
        <w:t xml:space="preserve">Property-based tests using Hypothesis cover the bounds-checking primitives: TTR is constrained to </w:t>
      </w:r>
      <w:r>
        <w:rPr>
          <w:rFonts w:ascii="Consolas" w:cs="Consolas" w:eastAsia="Consolas" w:hAnsi="Consolas"/>
          <w:sz w:val="20"/>
          <w:szCs w:val="20"/>
          <w:shd w:fill="F2F2F2" w:color="auto" w:val="clear"/>
        </w:rPr>
        <w:t xml:space="preserve">[0, 1]</w:t>
      </w:r>
      <w:r>
        <w:rPr>
          <w:rFonts w:ascii="Calibri" w:cs="Calibri" w:eastAsia="Calibri" w:hAnsi="Calibri"/>
          <w:sz w:val="22"/>
          <w:szCs w:val="22"/>
        </w:rPr>
        <w:t xml:space="preserve">, Yule's K is non-negative, Hamming distance satisfies the triangle inequality, embedding batches preserve order. These tests catch invariant violations that example-based tests would miss. Integration tests cover CLI command surfaces, full pipeline wiring, parallel parity, and storage round-trips. Benchmark targets (feature extraction under 60s per 1,000 articles, embeddings under 120s on GPU, full pipeline under 30 minutes per author) prevent performance regressions that would otherwise force shortcuts under deadline pressure.</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5. Operational Guardrails</w:t>
      </w:r>
    </w:p>
    <w:p>
      <w:pPr>
        <w:spacing w:after="140" w:before="80" w:line="320"/>
        <w:jc w:val="both"/>
      </w:pPr>
      <w:r>
        <w:rPr>
          <w:rFonts w:ascii="Calibri" w:cs="Calibri" w:eastAsia="Calibri" w:hAnsi="Calibri"/>
          <w:sz w:val="22"/>
          <w:szCs w:val="22"/>
        </w:rPr>
        <w:t xml:space="preserve">The </w:t>
      </w:r>
      <w:r>
        <w:rPr>
          <w:rFonts w:ascii="Consolas" w:cs="Consolas" w:eastAsia="Consolas" w:hAnsi="Consolas"/>
          <w:sz w:val="20"/>
          <w:szCs w:val="20"/>
          <w:shd w:fill="F2F2F2" w:color="auto" w:val="clear"/>
        </w:rPr>
        <w:t xml:space="preserve">docs/GUARDRAILS.md</w:t>
      </w:r>
      <w:r>
        <w:rPr>
          <w:rFonts w:ascii="Calibri" w:cs="Calibri" w:eastAsia="Calibri" w:hAnsi="Calibri"/>
          <w:sz w:val="22"/>
          <w:szCs w:val="22"/>
        </w:rPr>
        <w:t xml:space="preserve"> document is the project's institutional memory. It contains a registry of "Signs" — encoded failure patterns, each describing a class of error the project has previously hit and the safeguard installed to prevent its recurrence. The registry currently has nine initial Signs and seven agent-learned Signs, and it grows over time as new failure modes surface.</w:t>
      </w:r>
    </w:p>
    <w:p>
      <w:pPr>
        <w:spacing w:after="140" w:before="80" w:line="320"/>
        <w:jc w:val="both"/>
      </w:pPr>
      <w:r>
        <w:rPr>
          <w:rFonts w:ascii="Calibri" w:cs="Calibri" w:eastAsia="Calibri" w:hAnsi="Calibri"/>
          <w:sz w:val="22"/>
          <w:szCs w:val="22"/>
        </w:rPr>
        <w:t xml:space="preserve">Three Signs are particularly load-bearing for credibility. The first warns that the BOCPD posterior </w:t>
      </w:r>
      <w:r>
        <w:rPr>
          <w:rFonts w:ascii="Consolas" w:cs="Consolas" w:eastAsia="Consolas" w:hAnsi="Consolas"/>
          <w:sz w:val="20"/>
          <w:szCs w:val="20"/>
          <w:shd w:fill="F2F2F2" w:color="auto" w:val="clear"/>
        </w:rPr>
        <w:t xml:space="preserve">P(r_t = 0 | x_{1:t})</w:t>
      </w:r>
      <w:r>
        <w:rPr>
          <w:rFonts w:ascii="Calibri" w:cs="Calibri" w:eastAsia="Calibri" w:hAnsi="Calibri"/>
          <w:sz w:val="22"/>
          <w:szCs w:val="22"/>
        </w:rPr>
        <w:t xml:space="preserve"> under a constant-hazard prior is algebraically pinned to the hazard rate itself, independent of variance, prior, or threshold. Phase 15 swapped the BOCPD detection rule from a posterior-threshold check to a MAP run-length-reset rule once this was discovered, and the new parameters (</w:t>
      </w:r>
      <w:r>
        <w:rPr>
          <w:rFonts w:ascii="Consolas" w:cs="Consolas" w:eastAsia="Consolas" w:hAnsi="Consolas"/>
          <w:sz w:val="20"/>
          <w:szCs w:val="20"/>
          <w:shd w:fill="F2F2F2" w:color="auto" w:val="clear"/>
        </w:rPr>
        <w:t xml:space="preserve">bocpd_detection_mode</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bocpd_map_drop_ratio</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bocpd_min_run_length</w:t>
      </w:r>
      <w:r>
        <w:rPr>
          <w:rFonts w:ascii="Calibri" w:cs="Calibri" w:eastAsia="Calibri" w:hAnsi="Calibri"/>
          <w:sz w:val="22"/>
          <w:szCs w:val="22"/>
        </w:rPr>
        <w:t xml:space="preserve">) are all hashed into the configuration hash, so the change cannot silently revert.</w:t>
      </w:r>
    </w:p>
    <w:p>
      <w:pPr>
        <w:spacing w:after="140" w:before="80" w:line="320"/>
        <w:jc w:val="both"/>
      </w:pPr>
      <w:r>
        <w:rPr>
          <w:rFonts w:ascii="Calibri" w:cs="Calibri" w:eastAsia="Calibri" w:hAnsi="Calibri"/>
          <w:sz w:val="22"/>
          <w:szCs w:val="22"/>
        </w:rPr>
        <w:t xml:space="preserve">The second Sign warns that the </w:t>
      </w:r>
      <w:r>
        <w:rPr>
          <w:rFonts w:ascii="Consolas" w:cs="Consolas" w:eastAsia="Consolas" w:hAnsi="Consolas"/>
          <w:sz w:val="20"/>
          <w:szCs w:val="20"/>
          <w:shd w:fill="F2F2F2" w:color="auto" w:val="clear"/>
        </w:rPr>
        <w:t xml:space="preserve">articles.metadata</w:t>
      </w:r>
      <w:r>
        <w:rPr>
          <w:rFonts w:ascii="Calibri" w:cs="Calibri" w:eastAsia="Calibri" w:hAnsi="Calibri"/>
          <w:sz w:val="22"/>
          <w:szCs w:val="22"/>
        </w:rPr>
        <w:t xml:space="preserve"> JSON column carries section labels for only ~0.01% of rows, because </w:t>
      </w:r>
      <w:r>
        <w:rPr>
          <w:rFonts w:ascii="Consolas" w:cs="Consolas" w:eastAsia="Consolas" w:hAnsi="Consolas"/>
          <w:sz w:val="20"/>
          <w:szCs w:val="20"/>
          <w:shd w:fill="F2F2F2" w:color="auto" w:val="clear"/>
        </w:rPr>
        <w:t xml:space="preserve">bulk_fetch_mode = true</w:t>
      </w:r>
      <w:r>
        <w:rPr>
          <w:rFonts w:ascii="Calibri" w:cs="Calibri" w:eastAsia="Calibri" w:hAnsi="Calibri"/>
          <w:sz w:val="22"/>
          <w:szCs w:val="22"/>
        </w:rPr>
        <w:t xml:space="preserve"> skips the per-article fetch that would populate them. The canonical source of section labels is therefore the URL first-path-segment heuristic in </w:t>
      </w:r>
      <w:r>
        <w:rPr>
          <w:rFonts w:ascii="Consolas" w:cs="Consolas" w:eastAsia="Consolas" w:hAnsi="Consolas"/>
          <w:sz w:val="20"/>
          <w:szCs w:val="20"/>
          <w:shd w:fill="F2F2F2" w:color="auto" w:val="clear"/>
        </w:rPr>
        <w:t xml:space="preserve">src/forensics/utils/url.py</w:t>
      </w:r>
      <w:r>
        <w:rPr>
          <w:rFonts w:ascii="Calibri" w:cs="Calibri" w:eastAsia="Calibri" w:hAnsi="Calibri"/>
          <w:sz w:val="22"/>
          <w:szCs w:val="22"/>
        </w:rPr>
        <w:t xml:space="preserve">, which achieves essentially complete coverage. Anyone who tried to use the metadata column as the section source today would silently get an effectively-empty join.</w:t>
      </w:r>
    </w:p>
    <w:p>
      <w:pPr>
        <w:spacing w:after="140" w:before="80" w:line="320"/>
        <w:jc w:val="both"/>
      </w:pPr>
      <w:r>
        <w:rPr>
          <w:rFonts w:ascii="Calibri" w:cs="Calibri" w:eastAsia="Calibri" w:hAnsi="Calibri"/>
          <w:sz w:val="22"/>
          <w:szCs w:val="22"/>
        </w:rPr>
        <w:t xml:space="preserve">The third Sign, "Do Not Mix Pre/Post-Phase-15 Artifacts," is enforced rather than advisory: the configuration-hash validator hard-fails any report or compare run that finds per-author result files produced under different hashes. The Sign exists to explain why the hard-fail is there, and the hard-fail exists to make the Sign unforgettable.</w:t>
      </w:r>
    </w:p>
    <w:p>
      <w:pPr>
        <w:spacing w:after="140" w:before="80" w:line="320"/>
        <w:jc w:val="both"/>
      </w:pPr>
      <w:r>
        <w:rPr>
          <w:rFonts w:ascii="Calibri" w:cs="Calibri" w:eastAsia="Calibri" w:hAnsi="Calibri"/>
          <w:sz w:val="22"/>
          <w:szCs w:val="22"/>
        </w:rPr>
        <w:t xml:space="preserve">The Signs system also defines an explicit severity ladder — CRITICAL (stop), HIGH (escalate), MEDIUM (retry with backoff), LOW (log and continue) — so that the response to a detected failure is a written rule rather than improvisation under stress.</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6. Limitations and Honest Gaps</w:t>
      </w:r>
    </w:p>
    <w:p>
      <w:pPr>
        <w:spacing w:after="140" w:before="80" w:line="320"/>
        <w:jc w:val="both"/>
      </w:pPr>
      <w:r>
        <w:rPr>
          <w:rFonts w:ascii="Calibri" w:cs="Calibri" w:eastAsia="Calibri" w:hAnsi="Calibri"/>
          <w:sz w:val="22"/>
          <w:szCs w:val="22"/>
        </w:rPr>
        <w:t xml:space="preserve">A robustness review that does not name its gaps is a sales document. The following are documented limitations of the current implementation:</w:t>
      </w:r>
    </w:p>
    <w:p>
      <w:pPr>
        <w:spacing w:after="140" w:before="80" w:line="320"/>
        <w:jc w:val="both"/>
      </w:pPr>
      <w:r>
        <w:rPr>
          <w:rFonts w:ascii="Calibri" w:cs="Calibri" w:eastAsia="Calibri" w:hAnsi="Calibri"/>
          <w:sz w:val="22"/>
          <w:szCs w:val="22"/>
        </w:rPr>
        <w:t xml:space="preserve">ProcessPoolExecutor byte-identity across spawned processes is not currently guaranteed. The parallel parity test compares serial output against threaded parallel output, which is sufficient to catch ordering bugs in the analysis math, but a cross-process determinism guarantee would require either fork-based parallelism (with its own correctness hazards on macOS) or a deterministic reduce step over per-process outputs.</w:t>
      </w:r>
    </w:p>
    <w:p>
      <w:pPr>
        <w:spacing w:after="140" w:before="80" w:line="320"/>
        <w:jc w:val="both"/>
      </w:pPr>
      <w:r>
        <w:rPr>
          <w:rFonts w:ascii="Calibri" w:cs="Calibri" w:eastAsia="Calibri" w:hAnsi="Calibri"/>
          <w:sz w:val="22"/>
          <w:szCs w:val="22"/>
        </w:rPr>
        <w:t xml:space="preserve">Per-family Benjamini–Hochberg is conservative when within-family features are positively correlated. The conservative direction is the right one for forensic credibility — false positives are more costly than missed effects in this domain — but it does mean that some real effects will be under-reported. An effective-N correction is out of scope for the current phase.</w:t>
      </w:r>
    </w:p>
    <w:p>
      <w:pPr>
        <w:spacing w:after="140" w:before="80" w:line="320"/>
        <w:jc w:val="both"/>
      </w:pPr>
      <w:r>
        <w:rPr>
          <w:rFonts w:ascii="Calibri" w:cs="Calibri" w:eastAsia="Calibri" w:hAnsi="Calibri"/>
          <w:sz w:val="22"/>
          <w:szCs w:val="22"/>
        </w:rPr>
        <w:t xml:space="preserve">Prompt management is not yet a centralized first-class artifact. The Phase-10 AI baseline prompts live in </w:t>
      </w:r>
      <w:r>
        <w:rPr>
          <w:rFonts w:ascii="Consolas" w:cs="Consolas" w:eastAsia="Consolas" w:hAnsi="Consolas"/>
          <w:sz w:val="20"/>
          <w:szCs w:val="20"/>
          <w:shd w:fill="F2F2F2" w:color="auto" w:val="clear"/>
        </w:rPr>
        <w:t xml:space="preserve">src/forensics/baseline/prompts.py</w:t>
      </w:r>
      <w:r>
        <w:rPr>
          <w:rFonts w:ascii="Calibri" w:cs="Calibri" w:eastAsia="Calibri" w:hAnsi="Calibri"/>
          <w:sz w:val="22"/>
          <w:szCs w:val="22"/>
        </w:rPr>
        <w:t xml:space="preserve"> and are tied to specific Ollama and HuggingFace model references in configuration; a future phase will lift them into a versioned registry with semantic-versioning rules.</w:t>
      </w:r>
    </w:p>
    <w:p>
      <w:pPr>
        <w:spacing w:after="140" w:before="80" w:line="320"/>
        <w:jc w:val="both"/>
      </w:pPr>
      <w:r>
        <w:rPr>
          <w:rFonts w:ascii="Calibri" w:cs="Calibri" w:eastAsia="Calibri" w:hAnsi="Calibri"/>
          <w:sz w:val="22"/>
          <w:szCs w:val="22"/>
        </w:rPr>
        <w:t xml:space="preserve">The pre-registration template's "missing" state — a committed lock file that has never been filled — is distinguished from a tampered state in the verification logic, but it depends on operator discipline to fill the template before the first confirmatory run. A first-run hint in the CLI would close this gap.</w:t>
      </w:r>
    </w:p>
    <w:p>
      <w:pPr>
        <w:spacing w:after="140" w:before="80" w:line="320"/>
        <w:jc w:val="both"/>
      </w:pPr>
      <w:r>
        <w:rPr>
          <w:rFonts w:ascii="Calibri" w:cs="Calibri" w:eastAsia="Calibri" w:hAnsi="Calibri"/>
          <w:sz w:val="22"/>
          <w:szCs w:val="22"/>
        </w:rPr>
        <w:t xml:space="preserve">These limitations are listed because anticipating an auditor's questions is part of the credibility argument, not a weakening of it.</w:t>
      </w:r>
    </w:p>
    <w:p>
      <w:pPr>
        <w:pBdr>
          <w:bottom w:val="single" w:color="999999" w:sz="6" w:space="1"/>
        </w:pBdr>
        <w:spacing w:after="120" w:before="120"/>
      </w:pPr>
      <w:r>
        <w:t xml:space="preserve"/>
      </w:r>
    </w:p>
    <w:p>
      <w:pPr>
        <w:pStyle w:val="Heading2"/>
        <w:spacing w:after="160" w:before="320"/>
      </w:pPr>
      <w:r>
        <w:rPr>
          <w:rFonts w:ascii="Calibri" w:cs="Calibri" w:eastAsia="Calibri" w:hAnsi="Calibri"/>
          <w:b/>
          <w:bCs/>
          <w:color w:val="1F3864"/>
          <w:sz w:val="32"/>
          <w:szCs w:val="32"/>
        </w:rPr>
        <w:t xml:space="preserve">7. Conclusion</w:t>
      </w:r>
    </w:p>
    <w:p>
      <w:pPr>
        <w:spacing w:after="140" w:before="80" w:line="320"/>
        <w:jc w:val="both"/>
      </w:pPr>
      <w:r>
        <w:rPr>
          <w:rFonts w:ascii="Consolas" w:cs="Consolas" w:eastAsia="Consolas" w:hAnsi="Consolas"/>
          <w:sz w:val="20"/>
          <w:szCs w:val="20"/>
          <w:shd w:fill="F2F2F2" w:color="auto" w:val="clear"/>
        </w:rPr>
        <w:t xml:space="preserve">mediaite-ghostink</w:t>
      </w:r>
      <w:r>
        <w:rPr>
          <w:rFonts w:ascii="Calibri" w:cs="Calibri" w:eastAsia="Calibri" w:hAnsi="Calibri"/>
          <w:sz w:val="22"/>
          <w:szCs w:val="22"/>
        </w:rPr>
        <w:t xml:space="preserve"> operationalizes forensic credibility, data integrity, and research credibility as a layered system of </w:t>
      </w:r>
      <w:r>
        <w:rPr>
          <w:rFonts w:ascii="Calibri" w:cs="Calibri" w:eastAsia="Calibri" w:hAnsi="Calibri"/>
          <w:i/>
          <w:iCs/>
          <w:sz w:val="22"/>
          <w:szCs w:val="22"/>
        </w:rPr>
        <w:t xml:space="preserve">enforced</w:t>
      </w:r>
      <w:r>
        <w:rPr>
          <w:rFonts w:ascii="Calibri" w:cs="Calibri" w:eastAsia="Calibri" w:hAnsi="Calibri"/>
          <w:sz w:val="22"/>
          <w:szCs w:val="22"/>
        </w:rPr>
        <w:t xml:space="preserve"> controls rather than a list of best practices. Pre-registration locks bind the analysis to a specific configuration before the data is examined. Per-article and corpus-level hashes anchor every claim to an immutable dataset. Configuration-hash validation prevents accidental mixing of artifacts produced under different rules. Schema constraints, atomic writes, and stage isolation protect the corpus from corruption between stages. Statistical gating, multiple-comparison correction, and bootstrap CIs constrain the reportable claims to those that survive both significance testing and effect-size scrutiny. Calibration on synthetic ground truth and natural control cohorts establishes a noise floor against which target findings must demonstrate excess signal. Determinism is enforced by version pins, fixed seeds, and a parallel parity integration test. The Signs registry encodes hard-won institutional knowledge, and the most consequential Signs are wired into hard-fail validators rather than left as warnings.</w:t>
      </w:r>
    </w:p>
    <w:p>
      <w:pPr>
        <w:spacing w:after="140" w:before="80" w:line="320"/>
        <w:jc w:val="both"/>
      </w:pPr>
      <w:r>
        <w:rPr>
          <w:rFonts w:ascii="Calibri" w:cs="Calibri" w:eastAsia="Calibri" w:hAnsi="Calibri"/>
          <w:sz w:val="22"/>
          <w:szCs w:val="22"/>
        </w:rPr>
        <w:t xml:space="preserve">The project has earned the right to call its findings forensic. The protocols are concrete, the enforcement points are auditable, and the limitations are documented rather than concealed. An external reviewer with full repository access can verify, line by line, that the credibility claims of any specific finding are not improvised — they are entailed by the system that produced the finding.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mediaite-ghostink — Robustness &amp; Integrity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160" w:before="320"/>
      <w:outlineLvl w:val="1"/>
    </w:pPr>
    <w:rPr>
      <w:rFonts w:ascii="Calibri" w:cs="Calibri" w:eastAsia="Calibri" w:hAnsi="Calibri"/>
      <w:b/>
      <w:bCs/>
      <w:color w:val="1F3864"/>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200"/>
      <w:outlineLvl w:val="3"/>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mediaite-ghostink: Robustness, Integrity, and Forensic Credibility Report</dc:title>
  <dc:creator>Claude</dc:creator>
  <dc:description>Codebase-level review of protocols and systems supporting evidentiary claims</dc:description>
  <cp:lastModifiedBy>Un-named</cp:lastModifiedBy>
  <cp:revision>1</cp:revision>
  <dcterms:created xsi:type="dcterms:W3CDTF">2026-04-25T04:53:12.596Z</dcterms:created>
  <dcterms:modified xsi:type="dcterms:W3CDTF">2026-04-25T04:53:12.596Z</dcterms:modified>
</cp:coreProperties>
</file>

<file path=docProps/custom.xml><?xml version="1.0" encoding="utf-8"?>
<Properties xmlns="http://schemas.openxmlformats.org/officeDocument/2006/custom-properties" xmlns:vt="http://schemas.openxmlformats.org/officeDocument/2006/docPropsVTypes"/>
</file>