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1141A"/>
          <w:sz w:val="44"/>
          <w:szCs w:val="44"/>
        </w:rPr>
        <w:t xml:space="preserve">John R. Eakin</w:t>
      </w:r>
    </w:p>
    <w:p>
      <w:pPr>
        <w:spacing w:after="60"/>
      </w:pPr>
      <w:r>
        <w:rPr>
          <w:color w:val="55606E"/>
          <w:sz w:val="22"/>
          <w:szCs w:val="22"/>
        </w:rPr>
        <w:t xml:space="preserve">Founder &amp; Principal, </w:t>
      </w:r>
      <w:r>
        <w:rPr>
          <w:b/>
          <w:bCs/>
          <w:color w:val="8B0000"/>
          <w:sz w:val="22"/>
          <w:szCs w:val="22"/>
        </w:rPr>
        <w:t xml:space="preserve">Abstract Data LLC</w:t>
      </w:r>
    </w:p>
    <w:p>
      <w:pPr>
        <w:spacing w:after="180"/>
      </w:pPr>
      <w:r>
        <w:rPr>
          <w:i/>
          <w:iCs/>
          <w:color w:val="55606E"/>
          <w:sz w:val="22"/>
          <w:szCs w:val="22"/>
        </w:rPr>
        <w:t xml:space="preserve">Forensic Data Engineer — Stylometry, Embedding Drift, and Reproducible Pipelines</w:t>
      </w:r>
    </w:p>
    <w:p>
      <w:pPr>
        <w:tabs>
          <w:tab w:val="right" w:pos="9026"/>
        </w:tabs>
        <w:spacing w:after="60"/>
      </w:pPr>
      <w:r>
        <w:rPr>
          <w:color w:val="55606E"/>
          <w:sz w:val="20"/>
          <w:szCs w:val="20"/>
        </w:rPr>
        <w:t xml:space="preserve">Web: </w:t>
      </w:r>
      <w:hyperlink w:history="1" r:id="rId96skhvpdoop5fe3acrnha">
        <w:r>
          <w:rPr>
            <w:rStyle w:val="Hyperlink"/>
            <w:sz w:val="20"/>
            <w:szCs w:val="20"/>
          </w:rPr>
          <w:t xml:space="preserve">abstractdata.io</w:t>
        </w:r>
      </w:hyperlink>
      <w:r>
        <w:rPr>
          <w:color w:val="55606E"/>
          <w:sz w:val="20"/>
          <w:szCs w:val="20"/>
        </w:rPr>
        <w:t xml:space="preserve">	Firm GitHub: </w:t>
      </w:r>
      <w:hyperlink w:history="1" r:id="rIdyixckbfhg4zs4maw8if41">
        <w:r>
          <w:rPr>
            <w:rStyle w:val="Hyperlink"/>
            <w:sz w:val="20"/>
            <w:szCs w:val="20"/>
          </w:rPr>
          <w:t xml:space="preserve">github.com/Abstract-Data</w:t>
        </w:r>
      </w:hyperlink>
    </w:p>
    <w:p>
      <w:pPr>
        <w:tabs>
          <w:tab w:val="right" w:pos="9026"/>
        </w:tabs>
        <w:spacing w:after="160"/>
      </w:pPr>
      <w:r>
        <w:rPr>
          <w:color w:val="55606E"/>
          <w:sz w:val="20"/>
          <w:szCs w:val="20"/>
        </w:rPr>
        <w:t xml:space="preserve">Personal GitHub: </w:t>
      </w:r>
      <w:hyperlink w:history="1" r:id="rIdthjc5madlypas-xhnjukq">
        <w:r>
          <w:rPr>
            <w:rStyle w:val="Hyperlink"/>
            <w:sz w:val="20"/>
            <w:szCs w:val="20"/>
          </w:rPr>
          <w:t xml:space="preserve">github.com/jreakin</w:t>
        </w:r>
      </w:hyperlink>
      <w:r>
        <w:rPr>
          <w:color w:val="55606E"/>
          <w:sz w:val="20"/>
          <w:szCs w:val="20"/>
        </w:rPr>
        <w:t xml:space="preserve">	Investigation repository: </w:t>
      </w:r>
      <w:hyperlink w:history="1" r:id="rIdxc9cqyssas1mslr8zgkln">
        <w:r>
          <w:rPr>
            <w:rStyle w:val="Hyperlink"/>
            <w:sz w:val="20"/>
            <w:szCs w:val="20"/>
          </w:rPr>
          <w:t xml:space="preserve">Abstract-Data/mediaite-ghostink</w:t>
        </w:r>
      </w:hyperlink>
    </w:p>
    <w:p>
      <w:pPr>
        <w:pBdr>
          <w:bottom w:val="single" w:color="8B0000" w:sz="12" w:space="4"/>
        </w:pBdr>
        <w:spacing w:after="200" w:before="0"/>
      </w:pPr>
      <w:r>
        <w:t xml:space="preserve"/>
      </w:r>
    </w:p>
    <w:p>
      <w:pPr>
        <w:pStyle w:val="Heading1"/>
        <w:pBdr>
          <w:bottom w:val="single" w:color="8B0000" w:sz="8" w:space="4"/>
        </w:pBdr>
        <w:spacing w:after="120" w:before="240"/>
      </w:pPr>
      <w:r>
        <w:rPr>
          <w:b/>
          <w:bCs/>
          <w:color w:val="11141A"/>
          <w:sz w:val="28"/>
          <w:szCs w:val="28"/>
        </w:rPr>
        <w:t xml:space="preserve">Statement of Qualifications</w:t>
      </w:r>
    </w:p>
    <w:p>
      <w:pPr>
        <w:spacing w:after="120" w:line="300"/>
        <w:jc w:val="both"/>
      </w:pPr>
      <w:r>
        <w:rPr>
          <w:sz w:val="22"/>
          <w:szCs w:val="22"/>
        </w:rPr>
        <w:t xml:space="preserve">The accompanying investigation of AI-writing adoption at Mediaite.com was designed, built, and delivered by </w:t>
      </w:r>
      <w:r>
        <w:rPr>
          <w:b/>
          <w:bCs/>
          <w:sz w:val="22"/>
          <w:szCs w:val="22"/>
        </w:rPr>
        <w:t xml:space="preserve">John Eakin</w:t>
      </w:r>
      <w:r>
        <w:rPr>
          <w:sz w:val="22"/>
          <w:szCs w:val="22"/>
        </w:rPr>
        <w:t xml:space="preserve">, Founder and Principal of </w:t>
      </w:r>
      <w:r>
        <w:rPr>
          <w:b/>
          <w:bCs/>
          <w:sz w:val="22"/>
          <w:szCs w:val="22"/>
        </w:rPr>
        <w:t xml:space="preserve">Abstract Data LLC</w:t>
      </w:r>
      <w:r>
        <w:rPr>
          <w:sz w:val="22"/>
          <w:szCs w:val="22"/>
        </w:rPr>
        <w:t xml:space="preserve">. This document describes the investigator’s qualifications, methodology background, and the body of prior work that supports the credibility of the Mediaite report.</w:t>
      </w:r>
    </w:p>
    <w:p>
      <w:pPr>
        <w:spacing w:after="120" w:line="300"/>
        <w:jc w:val="both"/>
      </w:pPr>
      <w:r>
        <w:rPr>
          <w:sz w:val="22"/>
          <w:szCs w:val="22"/>
        </w:rPr>
        <w:t xml:space="preserve">The investigation is intentionally constructed as a reproducible forensic artifact rather than a one-off analytical essay. Every stage — scrape, extract, analyze, report — is deterministic, version-controlled, and independently re-runnable against the published source corpus. The qualifications below speak directly to why that architecture was chosen and why the conclusions it produces are defensible.</w:t>
      </w:r>
    </w:p>
    <w:p>
      <w:pPr>
        <w:pStyle w:val="Heading1"/>
        <w:pBdr>
          <w:bottom w:val="single" w:color="8B0000" w:sz="8" w:space="4"/>
        </w:pBdr>
        <w:spacing w:after="120" w:before="240"/>
      </w:pPr>
      <w:r>
        <w:rPr>
          <w:b/>
          <w:bCs/>
          <w:color w:val="11141A"/>
          <w:sz w:val="28"/>
          <w:szCs w:val="28"/>
        </w:rPr>
        <w:t xml:space="preserve">Role in the Mediaite Investigation</w:t>
      </w:r>
    </w:p>
    <w:p>
      <w:pPr>
        <w:spacing w:after="120" w:line="300"/>
        <w:jc w:val="both"/>
      </w:pPr>
      <w:r>
        <w:rPr>
          <w:b/>
          <w:bCs/>
          <w:sz w:val="22"/>
          <w:szCs w:val="22"/>
        </w:rPr>
        <w:t xml:space="preserve">Sole author and engineer. </w:t>
      </w:r>
      <w:r>
        <w:rPr>
          <w:sz w:val="22"/>
          <w:szCs w:val="22"/>
        </w:rPr>
        <w:t xml:space="preserve">Mr. Eakin is the sole designer, implementer, and analyst of the mediaite-ghostink pipeline. No third-party vendor contributed to the methodology, feature engineering, statistical tests, or interpretation of results. Claude (Anthropic) and internal agentic tooling were used as pair-programming assistants under human review, consistent with the responsible-use disclosures in the project’s governance documents.</w:t>
      </w:r>
    </w:p>
    <w:p>
      <w:pPr>
        <w:spacing w:after="120" w:line="300"/>
        <w:jc w:val="both"/>
      </w:pPr>
      <w:r>
        <w:rPr>
          <w:b/>
          <w:bCs/>
          <w:sz w:val="22"/>
          <w:szCs w:val="22"/>
        </w:rPr>
        <w:t xml:space="preserve">Deterministic chain of custody. </w:t>
      </w:r>
      <w:r>
        <w:rPr>
          <w:sz w:val="22"/>
          <w:szCs w:val="22"/>
        </w:rPr>
        <w:t xml:space="preserve">The pipeline records an </w:t>
      </w:r>
      <w:r>
        <w:rPr>
          <w:rFonts w:ascii="Courier New" w:cs="Courier New" w:eastAsia="Courier New" w:hAnsi="Courier New"/>
          <w:sz w:val="22"/>
          <w:szCs w:val="22"/>
        </w:rPr>
        <w:t xml:space="preserve">analysis_runs</w:t>
      </w:r>
      <w:r>
        <w:rPr>
          <w:sz w:val="22"/>
          <w:szCs w:val="22"/>
        </w:rPr>
        <w:t xml:space="preserve"> row into SQLite for each invocation, persists the full article corpus under </w:t>
      </w:r>
      <w:r>
        <w:rPr>
          <w:rFonts w:ascii="Courier New" w:cs="Courier New" w:eastAsia="Courier New" w:hAnsi="Courier New"/>
          <w:sz w:val="22"/>
          <w:szCs w:val="22"/>
        </w:rPr>
        <w:t xml:space="preserve">data/articles.db</w:t>
      </w:r>
      <w:r>
        <w:rPr>
          <w:sz w:val="22"/>
          <w:szCs w:val="22"/>
        </w:rPr>
        <w:t xml:space="preserve">, and exports a human-readable </w:t>
      </w:r>
      <w:r>
        <w:rPr>
          <w:rFonts w:ascii="Courier New" w:cs="Courier New" w:eastAsia="Courier New" w:hAnsi="Courier New"/>
          <w:sz w:val="22"/>
          <w:szCs w:val="22"/>
        </w:rPr>
        <w:t xml:space="preserve">articles.jsonl</w:t>
      </w:r>
      <w:r>
        <w:rPr>
          <w:sz w:val="22"/>
          <w:szCs w:val="22"/>
        </w:rPr>
        <w:t xml:space="preserve"> mirror alongside per-author Parquet feature stores and JSON analysis artifacts. This layered storage architecture is designed so that a second reviewer — whether a Mediaite auditor, outside counsel, or a technical peer — can independently verify every figure and conclusion reported to the client.</w:t>
      </w:r>
    </w:p>
    <w:p>
      <w:pPr>
        <w:pStyle w:val="Heading1"/>
        <w:pBdr>
          <w:bottom w:val="single" w:color="8B0000" w:sz="8" w:space="4"/>
        </w:pBdr>
        <w:spacing w:after="120" w:before="240"/>
      </w:pPr>
      <w:r>
        <w:rPr>
          <w:b/>
          <w:bCs/>
          <w:color w:val="11141A"/>
          <w:sz w:val="28"/>
          <w:szCs w:val="28"/>
        </w:rPr>
        <w:t xml:space="preserve">Forensic &amp; Analytical Methodology</w:t>
      </w:r>
    </w:p>
    <w:p>
      <w:pPr>
        <w:spacing w:after="120" w:line="300"/>
        <w:jc w:val="both"/>
      </w:pPr>
      <w:r>
        <w:rPr>
          <w:sz w:val="22"/>
          <w:szCs w:val="22"/>
        </w:rPr>
        <w:t xml:space="preserve">The Mediaite analysis applies two independent analytical lenses and treats a finding as credible only when both converge. This cross-validation design is the single most important guard against false positives in stylometric work and reflects mainstream practice in forensic linguistics and authorship-attribution research.</w:t>
      </w:r>
    </w:p>
    <w:p>
      <w:pPr>
        <w:pStyle w:val="Heading2"/>
        <w:spacing w:after="80" w:before="200"/>
      </w:pPr>
      <w:r>
        <w:rPr>
          <w:b/>
          <w:bCs/>
          <w:color w:val="11141A"/>
          <w:sz w:val="24"/>
          <w:szCs w:val="24"/>
        </w:rPr>
        <w:t xml:space="preserve">Pipeline A — Statistical Stylometry</w:t>
      </w:r>
    </w:p>
    <w:p>
      <w:pPr>
        <w:pStyle w:val="ListParagraph"/>
        <w:numPr>
          <w:ilvl w:val="0"/>
          <w:numId w:val="2"/>
        </w:numPr>
        <w:spacing w:after="80" w:line="280"/>
      </w:pPr>
      <w:r>
        <w:rPr>
          <w:sz w:val="22"/>
          <w:szCs w:val="22"/>
        </w:rPr>
        <w:t xml:space="preserve">Lexical fingerprinting: Type-Token Ratio, Moving-Average TTR (MATTR), hapax legomena, Yule’s K, Simpson’s D, function-word distribution, and calibrated AI-marker frequency.</w:t>
      </w:r>
    </w:p>
    <w:p>
      <w:pPr>
        <w:pStyle w:val="ListParagraph"/>
        <w:numPr>
          <w:ilvl w:val="0"/>
          <w:numId w:val="2"/>
        </w:numPr>
        <w:spacing w:after="80" w:line="280"/>
      </w:pPr>
      <w:r>
        <w:rPr>
          <w:sz w:val="22"/>
          <w:szCs w:val="22"/>
        </w:rPr>
        <w:t xml:space="preserve">Sentence and structural metrics: sentence-length distribution, clause depth, passive-voice ratio, and punctuation profile.</w:t>
      </w:r>
    </w:p>
    <w:p>
      <w:pPr>
        <w:pStyle w:val="ListParagraph"/>
        <w:numPr>
          <w:ilvl w:val="0"/>
          <w:numId w:val="2"/>
        </w:numPr>
        <w:spacing w:after="80" w:line="280"/>
      </w:pPr>
      <w:r>
        <w:rPr>
          <w:sz w:val="22"/>
          <w:szCs w:val="22"/>
        </w:rPr>
        <w:t xml:space="preserve">Content and repetitiveness: n-gram entropy, TF-IDF self-similarity, LDA topic diversity, formulaic-phrasing scoring, and hedging markers.</w:t>
      </w:r>
    </w:p>
    <w:p>
      <w:pPr>
        <w:pStyle w:val="ListParagraph"/>
        <w:numPr>
          <w:ilvl w:val="0"/>
          <w:numId w:val="2"/>
        </w:numPr>
        <w:spacing w:after="80" w:line="280"/>
      </w:pPr>
      <w:r>
        <w:rPr>
          <w:sz w:val="22"/>
          <w:szCs w:val="22"/>
        </w:rPr>
        <w:t xml:space="preserve">Change-point detection: PELT (ruptures, rbf kernel), Bayesian Online Change-Point Detection (Adams &amp; MacKay 2007), the Chow test, CUSUM, and Kleinberg burst detection — each applied independently and reconciled through cross-feature convergence windows.</w:t>
      </w:r>
    </w:p>
    <w:p>
      <w:pPr>
        <w:pStyle w:val="Heading2"/>
        <w:spacing w:after="80" w:before="200"/>
      </w:pPr>
      <w:r>
        <w:rPr>
          <w:b/>
          <w:bCs/>
          <w:color w:val="11141A"/>
          <w:sz w:val="24"/>
          <w:szCs w:val="24"/>
        </w:rPr>
        <w:t xml:space="preserve">Pipeline B — Embedding Drift</w:t>
      </w:r>
    </w:p>
    <w:p>
      <w:pPr>
        <w:pStyle w:val="ListParagraph"/>
        <w:numPr>
          <w:ilvl w:val="0"/>
          <w:numId w:val="2"/>
        </w:numPr>
        <w:spacing w:after="80" w:line="280"/>
      </w:pPr>
      <w:r>
        <w:rPr>
          <w:sz w:val="22"/>
          <w:szCs w:val="22"/>
        </w:rPr>
        <w:t xml:space="preserve">Per-article sentence embeddings produced by the pinned all-MiniLM-L6-v2 model (384-dimensional), used to compute monthly centroid velocity, cosine-similarity decay, and intra-period variance.</w:t>
      </w:r>
    </w:p>
    <w:p>
      <w:pPr>
        <w:pStyle w:val="ListParagraph"/>
        <w:numPr>
          <w:ilvl w:val="0"/>
          <w:numId w:val="2"/>
        </w:numPr>
        <w:spacing w:after="80" w:line="280"/>
      </w:pPr>
      <w:r>
        <w:rPr>
          <w:sz w:val="22"/>
          <w:szCs w:val="22"/>
        </w:rPr>
        <w:t xml:space="preserve">Results are gated on agreement with Pipeline A; a stylometric change-point with no corresponding embedding shift is reported as inconclusive rather than as evidence.</w:t>
      </w:r>
    </w:p>
    <w:p>
      <w:pPr>
        <w:pStyle w:val="Heading2"/>
        <w:spacing w:after="80" w:before="200"/>
      </w:pPr>
      <w:r>
        <w:rPr>
          <w:b/>
          <w:bCs/>
          <w:color w:val="11141A"/>
          <w:sz w:val="24"/>
          <w:szCs w:val="24"/>
        </w:rPr>
        <w:t xml:space="preserve">Reproducibility Controls</w:t>
      </w:r>
    </w:p>
    <w:p>
      <w:pPr>
        <w:pStyle w:val="ListParagraph"/>
        <w:numPr>
          <w:ilvl w:val="0"/>
          <w:numId w:val="2"/>
        </w:numPr>
        <w:spacing w:after="80" w:line="280"/>
      </w:pPr>
      <w:r>
        <w:rPr>
          <w:sz w:val="22"/>
          <w:szCs w:val="22"/>
        </w:rPr>
        <w:t xml:space="preserve">Deterministic stage boundaries: scrape → extract → analyze → report, with no cross-stage side effects.</w:t>
      </w:r>
    </w:p>
    <w:p>
      <w:pPr>
        <w:pStyle w:val="ListParagraph"/>
        <w:numPr>
          <w:ilvl w:val="0"/>
          <w:numId w:val="2"/>
        </w:numPr>
        <w:spacing w:after="80" w:line="280"/>
      </w:pPr>
      <w:r>
        <w:rPr>
          <w:sz w:val="22"/>
          <w:szCs w:val="22"/>
        </w:rPr>
        <w:t xml:space="preserve">Pinned model weights, pinned Python toolchain (3.13 via uv), and a locked dependency graph captured in the repository.</w:t>
      </w:r>
    </w:p>
    <w:p>
      <w:pPr>
        <w:pStyle w:val="ListParagraph"/>
        <w:numPr>
          <w:ilvl w:val="0"/>
          <w:numId w:val="2"/>
        </w:numPr>
        <w:spacing w:after="80" w:line="280"/>
      </w:pPr>
      <w:r>
        <w:rPr>
          <w:sz w:val="22"/>
          <w:szCs w:val="22"/>
        </w:rPr>
        <w:t xml:space="preserve">Prompt versioning contract under prompts/ enforcing semantic versioning and immutability of released prompts.</w:t>
      </w:r>
    </w:p>
    <w:p>
      <w:pPr>
        <w:pStyle w:val="ListParagraph"/>
        <w:numPr>
          <w:ilvl w:val="0"/>
          <w:numId w:val="2"/>
        </w:numPr>
        <w:spacing w:after="80" w:line="280"/>
      </w:pPr>
      <w:r>
        <w:rPr>
          <w:sz w:val="22"/>
          <w:szCs w:val="22"/>
        </w:rPr>
        <w:t xml:space="preserve">CI enforcement of ruff, pytest, property-based (Hypothesis) tests, and line-coverage thresholds on every pull request, with a bot-posted CI summary on each PR.</w:t>
      </w:r>
    </w:p>
    <w:p>
      <w:pPr>
        <w:pStyle w:val="ListParagraph"/>
        <w:numPr>
          <w:ilvl w:val="0"/>
          <w:numId w:val="2"/>
        </w:numPr>
        <w:spacing w:after="80" w:line="280"/>
      </w:pPr>
      <w:r>
        <w:rPr>
          <w:sz w:val="22"/>
          <w:szCs w:val="22"/>
        </w:rPr>
        <w:t xml:space="preserve">Explicit Signs — documented failure patterns — recorded in docs/GUARDRAILS.md to prevent silent methodological drift between runs.</w:t>
      </w:r>
    </w:p>
    <w:p>
      <w:pPr>
        <w:pStyle w:val="Heading1"/>
        <w:pBdr>
          <w:bottom w:val="single" w:color="8B0000" w:sz="8" w:space="4"/>
        </w:pBdr>
        <w:spacing w:after="120" w:before="240"/>
      </w:pPr>
      <w:r>
        <w:rPr>
          <w:b/>
          <w:bCs/>
          <w:color w:val="11141A"/>
          <w:sz w:val="28"/>
          <w:szCs w:val="28"/>
        </w:rPr>
        <w:t xml:space="preserve">Adjacent Forensic-Grade Data Work</w:t>
      </w:r>
    </w:p>
    <w:p>
      <w:pPr>
        <w:spacing w:after="120" w:line="300"/>
        <w:jc w:val="both"/>
      </w:pPr>
      <w:r>
        <w:rPr>
          <w:sz w:val="22"/>
          <w:szCs w:val="22"/>
        </w:rPr>
        <w:t xml:space="preserve">Although the Mediaite engagement is the first investigation published under the forensic-report format, the methodology did not appear ex nihilo. The Abstract Data portfolio contains a decade of audit-grade, legally-sensitive data systems whose construction imposed the same reproducibility, chain-of-custody, and human-review disciplines applied here.</w:t>
      </w:r>
    </w:p>
    <w:p>
      <w:pPr>
        <w:pStyle w:val="Heading2"/>
        <w:spacing w:after="80" w:before="200"/>
      </w:pPr>
      <w:r>
        <w:rPr>
          <w:b/>
          <w:bCs/>
          <w:color w:val="11141A"/>
          <w:sz w:val="24"/>
          <w:szCs w:val="24"/>
        </w:rPr>
        <w:t xml:space="preserve">Voter-File Audit Pipeline</w:t>
      </w:r>
    </w:p>
    <w:p>
      <w:pPr>
        <w:spacing w:after="120" w:line="300"/>
        <w:jc w:val="both"/>
      </w:pPr>
      <w:r>
        <w:rPr>
          <w:sz w:val="22"/>
          <w:szCs w:val="22"/>
        </w:rPr>
        <w:t xml:space="preserve">A nine-stage pipeline that ingests raw state voter files, detects data-quality and integrity signals, applies Bayesian confidence scoring, and produces auditor-ready reports. Stages include record-quality checks, address parsing (usaddress), SSDI deceased cross-referencing with election-proximity calibration, fuzzy duplicate detection (recordlinkage), TIGER/Line spatial joins, registration-velocity clustering (IsolationForest), precinct-level multivariate outlier detection, and a demographic bias audit. Explicitly framed as </w:t>
      </w:r>
      <w:r>
        <w:rPr>
          <w:i/>
          <w:iCs/>
          <w:sz w:val="22"/>
          <w:szCs w:val="22"/>
        </w:rPr>
        <w:t xml:space="preserve">a triage tool for human investigators, not an automated purge mechanism</w:t>
      </w:r>
      <w:r>
        <w:rPr>
          <w:sz w:val="22"/>
          <w:szCs w:val="22"/>
        </w:rPr>
        <w:t xml:space="preserve"> — the same human-in-the-loop posture applied to the Mediaite report.</w:t>
      </w:r>
    </w:p>
    <w:p>
      <w:pPr>
        <w:pStyle w:val="Heading2"/>
        <w:spacing w:after="80" w:before="200"/>
      </w:pPr>
      <w:r>
        <w:rPr>
          <w:b/>
          <w:bCs/>
          <w:color w:val="11141A"/>
          <w:sz w:val="24"/>
          <w:szCs w:val="24"/>
        </w:rPr>
        <w:t xml:space="preserve">VEP — Multi-Year Election Integrity Systems</w:t>
      </w:r>
    </w:p>
    <w:p>
      <w:pPr>
        <w:spacing w:after="120" w:line="300"/>
        <w:jc w:val="both"/>
      </w:pPr>
      <w:r>
        <w:rPr>
          <w:sz w:val="22"/>
          <w:szCs w:val="22"/>
        </w:rPr>
        <w:t xml:space="preserve">Design and implementation of the Voter Engagement Platform (VEP) suite spanning multiple election cycles: VEP-2024, VEP-2026, vep-validation-tools, vep-ai-validation-tools, vep-match-fast, vep-fastapi-system, vep-django-system, and the vep-phone-bank-app (FastAPI + Supabase, TCPA-compliant, 10DLC Twilio provisioning, supporting millions of voter contacts per cycle with auditable compliance gating).</w:t>
      </w:r>
    </w:p>
    <w:p>
      <w:pPr>
        <w:pStyle w:val="Heading2"/>
        <w:spacing w:after="80" w:before="200"/>
      </w:pPr>
      <w:r>
        <w:rPr>
          <w:b/>
          <w:bCs/>
          <w:color w:val="11141A"/>
          <w:sz w:val="24"/>
          <w:szCs w:val="24"/>
        </w:rPr>
        <w:t xml:space="preserve">abstract-validation-base</w:t>
      </w:r>
    </w:p>
    <w:p>
      <w:pPr>
        <w:spacing w:after="120" w:line="300"/>
        <w:jc w:val="both"/>
      </w:pPr>
      <w:r>
        <w:rPr>
          <w:sz w:val="22"/>
          <w:szCs w:val="22"/>
        </w:rPr>
        <w:t xml:space="preserve">A production-grade Pydantic-based validation and process-tracking framework underlying Abstract Data’s data pipelines. Every cleaning operation and error is timestamped, observable via an explicit observer pattern, and replayable — the same discipline that underpins the Mediaite pipeline’s analysis_runs ledger.</w:t>
      </w:r>
    </w:p>
    <w:p>
      <w:pPr>
        <w:pStyle w:val="Heading2"/>
        <w:spacing w:after="80" w:before="200"/>
      </w:pPr>
      <w:r>
        <w:rPr>
          <w:b/>
          <w:bCs/>
          <w:color w:val="11141A"/>
          <w:sz w:val="24"/>
          <w:szCs w:val="24"/>
        </w:rPr>
        <w:t xml:space="preserve">Campaign Finance Intelligence</w:t>
      </w:r>
    </w:p>
    <w:p>
      <w:pPr>
        <w:spacing w:after="120" w:line="300"/>
        <w:jc w:val="both"/>
      </w:pPr>
      <w:r>
        <w:rPr>
          <w:sz w:val="22"/>
          <w:szCs w:val="22"/>
        </w:rPr>
        <w:t xml:space="preserve">Aggregated FEC intake, anomaly detection, and briefing dashboards spanning multiple election cycles. Adjacent financial-forensics work that established the statistical-anomaly toolkit — change-point detection, outlier scoring, and time-series reconciliation — now used in the Mediaite investigation.</w:t>
      </w:r>
    </w:p>
    <w:p>
      <w:pPr>
        <w:pStyle w:val="Heading2"/>
        <w:spacing w:after="80" w:before="200"/>
      </w:pPr>
      <w:r>
        <w:rPr>
          <w:b/>
          <w:bCs/>
          <w:color w:val="11141A"/>
          <w:sz w:val="24"/>
          <w:szCs w:val="24"/>
        </w:rPr>
        <w:t xml:space="preserve">Agentropy — Agent Fleet Governance</w:t>
      </w:r>
    </w:p>
    <w:p>
      <w:pPr>
        <w:spacing w:after="120" w:line="300"/>
        <w:jc w:val="both"/>
      </w:pPr>
      <w:r>
        <w:rPr>
          <w:sz w:val="22"/>
          <w:szCs w:val="22"/>
        </w:rPr>
        <w:t xml:space="preserve">A three-service command center (FastMCP server, FastAPI backend, Next.js 15 frontend, Supabase + Postgres with row-level security) that supervises a fleet of Notion Custom Agents: telemetry ingest, dead-letter triage, instruction version control, and governance propagation. The same dependency-graph and version-lineage discipline applied there is how prompt versions are kept immutable across Mediaite runs.</w:t>
      </w:r>
    </w:p>
    <w:p>
      <w:pPr>
        <w:pStyle w:val="Heading1"/>
        <w:pBdr>
          <w:bottom w:val="single" w:color="8B0000" w:sz="8" w:space="4"/>
        </w:pBdr>
        <w:spacing w:after="120" w:before="240"/>
      </w:pPr>
      <w:r>
        <w:rPr>
          <w:b/>
          <w:bCs/>
          <w:color w:val="11141A"/>
          <w:sz w:val="28"/>
          <w:szCs w:val="28"/>
        </w:rPr>
        <w:t xml:space="preserve">Independent Code Review</w:t>
      </w:r>
    </w:p>
    <w:p>
      <w:pPr>
        <w:spacing w:after="120" w:line="300"/>
        <w:jc w:val="both"/>
      </w:pPr>
      <w:r>
        <w:rPr>
          <w:sz w:val="22"/>
          <w:szCs w:val="22"/>
        </w:rPr>
        <w:t xml:space="preserve">Before delivery of the Mediaite investigation, the mediaite-ghostink codebase was subjected to a formal, multi-dimensional independent code review conducted on </w:t>
      </w:r>
      <w:r>
        <w:rPr>
          <w:b/>
          <w:bCs/>
          <w:sz w:val="22"/>
          <w:szCs w:val="22"/>
        </w:rPr>
        <w:t xml:space="preserve">April 20, 2026</w:t>
      </w:r>
      <w:r>
        <w:rPr>
          <w:sz w:val="22"/>
          <w:szCs w:val="22"/>
        </w:rPr>
        <w:t xml:space="preserve">. The review produced three separate assessment reports — a code review, a refactoring analysis, and a developer assessment — each scored against anchored benchmarks with direct citations to file and line in the repository. Representative findings are quoted below verbatim or lightly condensed for length.</w:t>
      </w:r>
    </w:p>
    <w:p>
      <w:pPr>
        <w:pStyle w:val="Heading2"/>
        <w:spacing w:after="80" w:before="200"/>
      </w:pPr>
      <w:r>
        <w:rPr>
          <w:b/>
          <w:bCs/>
          <w:color w:val="11141A"/>
          <w:sz w:val="24"/>
          <w:szCs w:val="24"/>
        </w:rPr>
        <w:t xml:space="preserve">Quality Scorecard (April 20, 2026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1141A" w:val="clear"/>
            <w:tcMar>
              <w:top w:type="dxa" w:w="100"/>
              <w:left w:type="dxa" w:w="140"/>
              <w:bottom w:type="dxa" w:w="100"/>
              <w:right w:type="dxa" w:w="140"/>
            </w:tcMar>
          </w:tcPr>
          <w:p>
            <w:pPr>
              <w:spacing w:after="0"/>
            </w:pPr>
            <w:r>
              <w:rPr>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1141A" w:val="clear"/>
            <w:tcMar>
              <w:top w:type="dxa" w:w="100"/>
              <w:left w:type="dxa" w:w="140"/>
              <w:bottom w:type="dxa" w:w="100"/>
              <w:right w:type="dxa" w:w="140"/>
            </w:tcMar>
          </w:tcPr>
          <w:p>
            <w:pPr>
              <w:spacing w:after="0"/>
            </w:pPr>
            <w:r>
              <w:rPr>
                <w:b/>
                <w:bCs/>
                <w:color w:val="FFFFFF"/>
                <w:sz w:val="20"/>
                <w:szCs w:val="20"/>
              </w:rPr>
              <w:t xml:space="preserve">Score</w:t>
            </w:r>
          </w:p>
        </w:tc>
        <w:tc>
          <w:tcPr>
            <w:tcW w:type="dxa" w:w="4760"/>
            <w:tcBorders>
              <w:top w:val="single" w:color="CCCCCC" w:sz="1"/>
              <w:left w:val="single" w:color="CCCCCC" w:sz="1"/>
              <w:bottom w:val="single" w:color="CCCCCC" w:sz="1"/>
              <w:right w:val="single" w:color="CCCCCC" w:sz="1"/>
            </w:tcBorders>
            <w:shd w:fill="11141A" w:val="clear"/>
            <w:tcMar>
              <w:top w:type="dxa" w:w="100"/>
              <w:left w:type="dxa" w:w="140"/>
              <w:bottom w:type="dxa" w:w="100"/>
              <w:right w:type="dxa" w:w="140"/>
            </w:tcMar>
          </w:tcPr>
          <w:p>
            <w:pPr>
              <w:spacing w:after="0"/>
            </w:pPr>
            <w:r>
              <w:rPr>
                <w:b/>
                <w:bCs/>
                <w:color w:val="FFFFFF"/>
                <w:sz w:val="20"/>
                <w:szCs w:val="20"/>
              </w:rPr>
              <w:t xml:space="preserve">Reviewer Justification (condensed)</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Architecture &amp; Design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8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Clean four-stage pipeline with explicit stage contracts; Pydantic-settings config with TOML + env overrides; well-separated packages.</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Code Craftsmanship</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8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Modern Python 3.13 type hints throughout; fluent async patterns with rate limiting, retries, and 429 handling; parameterized SQL everywhere.</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Documentation</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9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“Exceptional operational documentation.” AGENTS.md, GUARDRAILS.md, ARCHITECTURE.md, TESTING.md, RUNBOOK.md with a prompt-versioning contract.</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Security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7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Parameterized SQL, robots.txt respect, documented PII policy, off-domain redirect detection; no secrets in committed code.</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Domain Fit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7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Domain-native models (ChangePoint, ConvergenceWindow, DriftScores, HypothesisTest); 30+ forensic features modeled across four families.</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Evolvability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7 / 10</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Schema migration pattern, extensible config, clean dependency direction between CLI, scraper, storage, and models.</w:t>
            </w:r>
          </w:p>
        </w:tc>
      </w:tr>
      <w:tr>
        <w:tc>
          <w:tcPr>
            <w:tcW w:type="dxa" w:w="32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AI Governance Risk</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jc w:val="center"/>
            </w:pPr>
            <w:r>
              <w:rPr>
                <w:b/>
                <w:bCs/>
                <w:color w:val="8B0000"/>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“More sophisticated than 95% of AI-assisted projects.” Declared model versions, mode-based permissions, prompt-versioning contract, immutability rules.</w:t>
            </w:r>
          </w:p>
        </w:tc>
      </w:tr>
    </w:tbl>
    <w:p>
      <w:pPr>
        <w:pStyle w:val="Heading2"/>
        <w:spacing w:after="80" w:before="200"/>
      </w:pPr>
      <w:r>
        <w:rPr>
          <w:b/>
          <w:bCs/>
          <w:color w:val="11141A"/>
          <w:sz w:val="24"/>
          <w:szCs w:val="24"/>
        </w:rPr>
        <w:t xml:space="preserve">Reviewer Findings — Strengths Called Out</w:t>
      </w:r>
    </w:p>
    <w:p>
      <w:pPr>
        <w:pStyle w:val="ListParagraph"/>
        <w:numPr>
          <w:ilvl w:val="0"/>
          <w:numId w:val="2"/>
        </w:numPr>
        <w:spacing w:after="80" w:line="280"/>
      </w:pPr>
      <w:r>
        <w:rPr>
          <w:b/>
          <w:bCs/>
          <w:sz w:val="22"/>
          <w:szCs w:val="22"/>
        </w:rPr>
        <w:t xml:space="preserve">Senior-level practitioner. </w:t>
      </w:r>
      <w:r>
        <w:rPr>
          <w:sz w:val="22"/>
          <w:szCs w:val="22"/>
        </w:rPr>
        <w:t xml:space="preserve">“The developer demonstrates senior-level competency in Python async patterns, data pipeline design, and operational discipline.”</w:t>
      </w:r>
    </w:p>
    <w:p>
      <w:pPr>
        <w:pStyle w:val="ListParagraph"/>
        <w:numPr>
          <w:ilvl w:val="0"/>
          <w:numId w:val="2"/>
        </w:numPr>
        <w:spacing w:after="80" w:line="280"/>
      </w:pPr>
      <w:r>
        <w:rPr>
          <w:b/>
          <w:bCs/>
          <w:sz w:val="22"/>
          <w:szCs w:val="22"/>
        </w:rPr>
        <w:t xml:space="preserve">AI-Assisted Expert — not ‘vibe-coded.’ </w:t>
      </w:r>
      <w:r>
        <w:rPr>
          <w:sz w:val="22"/>
          <w:szCs w:val="22"/>
        </w:rPr>
        <w:t xml:space="preserve">The developer-assessment report’s quantitative rubric produced a 2.33:1 ratio of green flags to red flags, placing this work in the </w:t>
      </w:r>
      <w:r>
        <w:rPr>
          <w:i/>
          <w:iCs/>
          <w:sz w:val="22"/>
          <w:szCs w:val="22"/>
        </w:rPr>
        <w:t xml:space="preserve">“AI-Assisted Expert”</w:t>
      </w:r>
      <w:r>
        <w:rPr>
          <w:sz w:val="22"/>
          <w:szCs w:val="22"/>
        </w:rPr>
        <w:t xml:space="preserve"> tier: “the developer uses AI tools as an expert practitioner — directing generation with clear architectural intent, maintaining consistent style, and implementing domain-specific logic that goes beyond what AI tools typically produce unprompted.”</w:t>
      </w:r>
    </w:p>
    <w:p>
      <w:pPr>
        <w:pStyle w:val="ListParagraph"/>
        <w:numPr>
          <w:ilvl w:val="0"/>
          <w:numId w:val="2"/>
        </w:numPr>
        <w:spacing w:after="80" w:line="280"/>
      </w:pPr>
      <w:r>
        <w:rPr>
          <w:b/>
          <w:bCs/>
          <w:sz w:val="22"/>
          <w:szCs w:val="22"/>
        </w:rPr>
        <w:t xml:space="preserve">Unusually sophisticated AI governance. </w:t>
      </w:r>
      <w:r>
        <w:rPr>
          <w:sz w:val="22"/>
          <w:szCs w:val="22"/>
        </w:rPr>
        <w:t xml:space="preserve">“The governance framework (AGENTS.md, GUARDRAILS.md, prompt versioning) is unusually sophisticated, code quality is consistent and idiomatic, and there are no hallmarks of uncritical AI-generated code. The developer clearly directs AI tools rather than being directed by them.”</w:t>
      </w:r>
    </w:p>
    <w:p>
      <w:pPr>
        <w:pStyle w:val="ListParagraph"/>
        <w:numPr>
          <w:ilvl w:val="0"/>
          <w:numId w:val="2"/>
        </w:numPr>
        <w:spacing w:after="80" w:line="280"/>
      </w:pPr>
      <w:r>
        <w:rPr>
          <w:b/>
          <w:bCs/>
          <w:sz w:val="22"/>
          <w:szCs w:val="22"/>
        </w:rPr>
        <w:t xml:space="preserve">Methodology moat. </w:t>
      </w:r>
      <w:r>
        <w:rPr>
          <w:sz w:val="22"/>
          <w:szCs w:val="22"/>
        </w:rPr>
        <w:t xml:space="preserve">“The dual-pipeline (stylometric + embedding drift) cross-validation approach is novel for journalist-level forensic analysis. Most competitors use single-method detection.”</w:t>
      </w:r>
    </w:p>
    <w:p>
      <w:pPr>
        <w:pStyle w:val="ListParagraph"/>
        <w:numPr>
          <w:ilvl w:val="0"/>
          <w:numId w:val="2"/>
        </w:numPr>
        <w:spacing w:after="80" w:line="280"/>
      </w:pPr>
      <w:r>
        <w:rPr>
          <w:b/>
          <w:bCs/>
          <w:sz w:val="22"/>
          <w:szCs w:val="22"/>
        </w:rPr>
        <w:t xml:space="preserve">Production-quality HTTP and storage layer. </w:t>
      </w:r>
      <w:r>
        <w:rPr>
          <w:sz w:val="22"/>
          <w:szCs w:val="22"/>
        </w:rPr>
        <w:t xml:space="preserve">“Resilient HTTP layer — the rate limiter, retry logic with exponential backoff, and 429/5xx handling is production-quality.” “Correct SQL parameterization — all queries use ? placeholders. No injection vectors found.”</w:t>
      </w:r>
    </w:p>
    <w:p>
      <w:pPr>
        <w:pStyle w:val="ListParagraph"/>
        <w:numPr>
          <w:ilvl w:val="0"/>
          <w:numId w:val="2"/>
        </w:numPr>
        <w:spacing w:after="80" w:line="280"/>
      </w:pPr>
      <w:r>
        <w:rPr>
          <w:b/>
          <w:bCs/>
          <w:sz w:val="22"/>
          <w:szCs w:val="22"/>
        </w:rPr>
        <w:t xml:space="preserve">Domain-native data modeling. </w:t>
      </w:r>
      <w:r>
        <w:rPr>
          <w:sz w:val="22"/>
          <w:szCs w:val="22"/>
        </w:rPr>
        <w:t xml:space="preserve">“The data models precisely mirror the forensic-analysis domain — ChangePoint, ConvergenceWindow, DriftScores, HypothesisTest are domain-native concepts, not generic wrappers. The FeatureVector model captures 30+ forensic features spanning lexical, structural, content, and productivity dimensions.”</w:t>
      </w:r>
    </w:p>
    <w:p>
      <w:pPr>
        <w:pStyle w:val="ListParagraph"/>
        <w:numPr>
          <w:ilvl w:val="0"/>
          <w:numId w:val="2"/>
        </w:numPr>
        <w:spacing w:after="80" w:line="280"/>
      </w:pPr>
      <w:r>
        <w:rPr>
          <w:b/>
          <w:bCs/>
          <w:sz w:val="22"/>
          <w:szCs w:val="22"/>
        </w:rPr>
        <w:t xml:space="preserve">Thorough project governance. </w:t>
      </w:r>
      <w:r>
        <w:rPr>
          <w:sz w:val="22"/>
          <w:szCs w:val="22"/>
        </w:rPr>
        <w:t xml:space="preserve">“AGENTS.md, GUARDRAILS.md, and CLAUDE.md establish clear standards, risk classification, and failure-pattern documentation that most projects lack entirely.”</w:t>
      </w:r>
    </w:p>
    <w:p>
      <w:pPr>
        <w:pStyle w:val="Heading2"/>
        <w:spacing w:after="80" w:before="200"/>
      </w:pPr>
      <w:r>
        <w:rPr>
          <w:b/>
          <w:bCs/>
          <w:color w:val="11141A"/>
          <w:sz w:val="24"/>
          <w:szCs w:val="24"/>
        </w:rPr>
        <w:t xml:space="preserve">Reviewer Findings — Items Addressed Post-Review</w:t>
      </w:r>
    </w:p>
    <w:p>
      <w:pPr>
        <w:spacing w:after="120" w:line="300"/>
        <w:jc w:val="both"/>
      </w:pPr>
      <w:r>
        <w:rPr>
          <w:sz w:val="22"/>
          <w:szCs w:val="22"/>
        </w:rPr>
        <w:t xml:space="preserve">Consistent with a forensic-grade engagement, the review’s flagged items have been addressed or tracked before report delivery. The pipeline has since progressed well beyond the Phase 1–3 snapshot the reviewers saw:</w:t>
      </w:r>
    </w:p>
    <w:p>
      <w:pPr>
        <w:pStyle w:val="ListParagraph"/>
        <w:numPr>
          <w:ilvl w:val="0"/>
          <w:numId w:val="2"/>
        </w:numPr>
        <w:spacing w:after="80" w:line="280"/>
      </w:pPr>
      <w:r>
        <w:rPr>
          <w:sz w:val="22"/>
          <w:szCs w:val="22"/>
        </w:rPr>
        <w:t xml:space="preserve">Phases 4–7 — feature extraction, change-point detection (PELT, BOCPD, Chow, CUSUM), embedding drift, convergence scoring, and Quarto reporting — have since been implemented and exercised end-to-end via the forensics all orchestrator.</w:t>
      </w:r>
    </w:p>
    <w:p>
      <w:pPr>
        <w:pStyle w:val="ListParagraph"/>
        <w:numPr>
          <w:ilvl w:val="0"/>
          <w:numId w:val="2"/>
        </w:numPr>
        <w:spacing w:after="80" w:line="280"/>
      </w:pPr>
      <w:r>
        <w:rPr>
          <w:sz w:val="22"/>
          <w:szCs w:val="22"/>
        </w:rPr>
        <w:t xml:space="preserve">The analysis_runs ledger is now written on every invocation, providing the chain-of-custody audit trail described elsewhere in this document.</w:t>
      </w:r>
    </w:p>
    <w:p>
      <w:pPr>
        <w:pStyle w:val="ListParagraph"/>
        <w:numPr>
          <w:ilvl w:val="0"/>
          <w:numId w:val="2"/>
        </w:numPr>
        <w:spacing w:after="80" w:line="280"/>
      </w:pPr>
      <w:r>
        <w:rPr>
          <w:sz w:val="22"/>
          <w:szCs w:val="22"/>
        </w:rPr>
        <w:t xml:space="preserve">CI is now enforced via GitHub Actions (tests, ruff, coverage gates, CI-report bot comments on PRs).</w:t>
      </w:r>
    </w:p>
    <w:p>
      <w:pPr>
        <w:pStyle w:val="ListParagraph"/>
        <w:numPr>
          <w:ilvl w:val="0"/>
          <w:numId w:val="2"/>
        </w:numPr>
        <w:spacing w:after="80" w:line="280"/>
      </w:pPr>
      <w:r>
        <w:rPr>
          <w:sz w:val="22"/>
          <w:szCs w:val="22"/>
        </w:rPr>
        <w:t xml:space="preserve">Storage-layer items flagged by the reviewer (SQLite WAL considerations, connection scoping) are tracked in the repository’s governance docs and tuned in line with the pipeline’s single-writer, auditable-run profile.</w:t>
      </w:r>
    </w:p>
    <w:p>
      <w:pPr>
        <w:spacing w:after="120" w:line="300"/>
        <w:jc w:val="both"/>
      </w:pPr>
      <w:r>
        <w:rPr>
          <w:sz w:val="22"/>
          <w:szCs w:val="22"/>
        </w:rPr>
        <w:t xml:space="preserve">Full reports are retained internally and available on request. They are included here not to elide their criticisms, but to demonstrate that the work was subjected to independent scrutiny and that the weaknesses surfaced by that scrutiny were triaged before the Mediaite report was finalized.</w:t>
      </w:r>
    </w:p>
    <w:p>
      <w:pPr>
        <w:pStyle w:val="Heading1"/>
        <w:pBdr>
          <w:bottom w:val="single" w:color="8B0000" w:sz="8" w:space="4"/>
        </w:pBdr>
        <w:spacing w:after="120" w:before="240"/>
      </w:pPr>
      <w:r>
        <w:rPr>
          <w:b/>
          <w:bCs/>
          <w:color w:val="11141A"/>
          <w:sz w:val="28"/>
          <w:szCs w:val="28"/>
        </w:rPr>
        <w:t xml:space="preserve">Technical Stack Relevant to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Language &amp; runtime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Python 3.13, managed end-to-end with uv; Node.js for tooling; Rust-based toolchain (ruff) for linting and formatting.</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Data engineering</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Polars (LazyFrame-first), DuckDB, SQLite, Parquet, JSONL export. Streaming, deferred-collection pipelines over multi-million-row voter files and article corpora.</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Modeling &amp; ML</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sentence-transformers (all-MiniLM-L6-v2 pinned), scikit-learn, Hypothesis property-based testing, pydantic-ai for structured LLM outputs.</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Statistical tooling</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ruptures (PELT), custom BOCPD implementation, Chow test, CUSUM, Kleinberg burst detection, IsolationForest, LocalOutlierFactor, Bayesian posterior scoring.</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Web &amp; API</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FastAPI, Starlette, Uvicorn, Typer CLIs, httpx, BeautifulSoup, WordPress REST ingestion.</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Frontends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Next.js 15, React 19, TypeScript, Tailwind, Radix UI, Recharts for operational and analyst dashboards.</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Infrastructure &amp; delivery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GitHub Actions CI/CD, Cloudflare Workers, Supabase, Railway, Docker, pre-commit, codecov; MCP servers and skills for internal agent tooling.</w:t>
            </w:r>
          </w:p>
        </w:tc>
      </w:tr>
      <w:tr>
        <w:tc>
          <w:tcPr>
            <w:tcW w:type="dxa" w:w="2600"/>
            <w:tcBorders>
              <w:top w:val="single" w:color="CCCCCC" w:sz="1"/>
              <w:left w:val="single" w:color="CCCCCC" w:sz="1"/>
              <w:bottom w:val="single" w:color="CCCCCC" w:sz="1"/>
              <w:right w:val="single" w:color="CCCCCC" w:sz="1"/>
            </w:tcBorders>
            <w:shd w:fill="F5EEEE" w:val="clear"/>
            <w:tcMar>
              <w:top w:type="dxa" w:w="100"/>
              <w:left w:type="dxa" w:w="140"/>
              <w:bottom w:type="dxa" w:w="100"/>
              <w:right w:type="dxa" w:w="140"/>
            </w:tcMar>
          </w:tcPr>
          <w:p>
            <w:pPr>
              <w:spacing w:after="0"/>
            </w:pPr>
            <w:r>
              <w:rPr>
                <w:b/>
                <w:bCs/>
                <w:color w:val="11141A"/>
                <w:sz w:val="20"/>
                <w:szCs w:val="20"/>
              </w:rPr>
              <w:t xml:space="preserve">Documentation &amp; reporting</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Quarto, Pandoc, Plotly, Markdown, ADRs (architecture decision records), AGENTS.md / GUARDRAILS.md / TESTING.md governance pattern.</w:t>
            </w:r>
          </w:p>
        </w:tc>
      </w:tr>
    </w:tbl>
    <w:p>
      <w:pPr>
        <w:pStyle w:val="Heading1"/>
        <w:pBdr>
          <w:bottom w:val="single" w:color="8B0000" w:sz="8" w:space="4"/>
        </w:pBdr>
        <w:spacing w:after="120" w:before="240"/>
      </w:pPr>
      <w:r>
        <w:rPr>
          <w:b/>
          <w:bCs/>
          <w:color w:val="11141A"/>
          <w:sz w:val="28"/>
          <w:szCs w:val="28"/>
        </w:rPr>
        <w:t xml:space="preserve">Political &amp; Elections Domain Background</w:t>
      </w:r>
    </w:p>
    <w:p>
      <w:pPr>
        <w:spacing w:after="120" w:line="300"/>
        <w:jc w:val="both"/>
      </w:pPr>
      <w:r>
        <w:rPr>
          <w:sz w:val="22"/>
          <w:szCs w:val="22"/>
        </w:rPr>
        <w:t xml:space="preserve">Mediaite publishes in the political-media lane; an investigator credible in that lane needs more than Python skill. Mr. Eakin has spent his independent career building data systems for the Republican Party of Texas and affiliated state-party and campaign operations through Abstract Data LLC.</w:t>
      </w:r>
    </w:p>
    <w:p>
      <w:pPr>
        <w:pStyle w:val="ListParagraph"/>
        <w:numPr>
          <w:ilvl w:val="0"/>
          <w:numId w:val="2"/>
        </w:numPr>
        <w:spacing w:after="80" w:line="280"/>
      </w:pPr>
      <w:r>
        <w:rPr>
          <w:sz w:val="22"/>
          <w:szCs w:val="22"/>
        </w:rPr>
        <w:t xml:space="preserve">Republican Party of Texas / state-party data and technology work: voter-file operations, legislative tracking, convention-cycle data management, and downstream analytics.</w:t>
      </w:r>
    </w:p>
    <w:p>
      <w:pPr>
        <w:pStyle w:val="ListParagraph"/>
        <w:numPr>
          <w:ilvl w:val="0"/>
          <w:numId w:val="2"/>
        </w:numPr>
        <w:spacing w:after="80" w:line="280"/>
      </w:pPr>
      <w:r>
        <w:rPr>
          <w:sz w:val="22"/>
          <w:szCs w:val="22"/>
        </w:rPr>
        <w:t xml:space="preserve">Texas legislative monitoring tooling: txlege-bill-scraper, qr-legislative-tracking-app, txlege-video-streamer, and jay_txlege — full-stack instrumentation of the Texas Legislature’s bill, video, and committee streams.</w:t>
      </w:r>
    </w:p>
    <w:p>
      <w:pPr>
        <w:pStyle w:val="ListParagraph"/>
        <w:numPr>
          <w:ilvl w:val="0"/>
          <w:numId w:val="2"/>
        </w:numPr>
        <w:spacing w:after="80" w:line="280"/>
      </w:pPr>
      <w:r>
        <w:rPr>
          <w:sz w:val="22"/>
          <w:szCs w:val="22"/>
        </w:rPr>
        <w:t xml:space="preserve">Statewide civic infrastructure: texas-result-scraper, tx-2026-election-results, tx-sos-raw, state-voterfile-downloader, and multi-state voterfile ingestion and matching.</w:t>
      </w:r>
    </w:p>
    <w:p>
      <w:pPr>
        <w:pStyle w:val="ListParagraph"/>
        <w:numPr>
          <w:ilvl w:val="0"/>
          <w:numId w:val="2"/>
        </w:numPr>
        <w:spacing w:after="80" w:line="280"/>
      </w:pPr>
      <w:r>
        <w:rPr>
          <w:sz w:val="22"/>
          <w:szCs w:val="22"/>
        </w:rPr>
        <w:t xml:space="preserve">Campaign delivery: phone-banking platforms with TCPA-compliant gating, texting provisioning, compliance-first engagement tooling, and campaign-finance intelligence dashboards used across multiple election cycles.</w:t>
      </w:r>
    </w:p>
    <w:p>
      <w:pPr>
        <w:spacing w:after="120" w:line="300"/>
        <w:jc w:val="both"/>
      </w:pPr>
      <w:r>
        <w:rPr>
          <w:sz w:val="22"/>
          <w:szCs w:val="22"/>
        </w:rPr>
        <w:t xml:space="preserve">This record matters for the Mediaite engagement because the investigator is fluent in how political media, campaigns, and partisan datasets interact — and because the reflex to demand auditable, reproducible, bias-checked evidence comes from working inside electoral systems where those standards are not optional.</w:t>
      </w:r>
    </w:p>
    <w:p>
      <w:pPr>
        <w:pStyle w:val="Heading1"/>
        <w:pBdr>
          <w:bottom w:val="single" w:color="8B0000" w:sz="8" w:space="4"/>
        </w:pBdr>
        <w:spacing w:after="120" w:before="240"/>
      </w:pPr>
      <w:r>
        <w:rPr>
          <w:b/>
          <w:bCs/>
          <w:color w:val="11141A"/>
          <w:sz w:val="28"/>
          <w:szCs w:val="28"/>
        </w:rPr>
        <w:t xml:space="preserve">Professional Recognition</w:t>
      </w:r>
    </w:p>
    <w:p>
      <w:pPr>
        <w:spacing w:after="120" w:line="300"/>
        <w:jc w:val="both"/>
      </w:pPr>
      <w:r>
        <w:rPr>
          <w:b/>
          <w:bCs/>
          <w:sz w:val="22"/>
          <w:szCs w:val="22"/>
        </w:rPr>
        <w:t xml:space="preserve">Notion engineering recognition. </w:t>
      </w:r>
      <w:r>
        <w:rPr>
          <w:sz w:val="22"/>
          <w:szCs w:val="22"/>
        </w:rPr>
        <w:t xml:space="preserve">Several engineers at Notion have publicly acknowledged Mr. Eakin’s white papers on agent orchestration on X (formerly Twitter), citing the Abstract Data work on multi-agent fleet governance, dependency-graph orchestration, and the bootloader pattern for instruction delivery across AI agents. The same orchestration discipline is what keeps the Mediaite pipeline’s stages deterministic and its outputs replayable.</w:t>
      </w:r>
    </w:p>
    <w:p>
      <w:pPr>
        <w:spacing w:after="120" w:line="300"/>
        <w:jc w:val="both"/>
      </w:pPr>
      <w:r>
        <w:rPr>
          <w:b/>
          <w:bCs/>
          <w:sz w:val="22"/>
          <w:szCs w:val="22"/>
        </w:rPr>
        <w:t xml:space="preserve">Open-source footprint. </w:t>
      </w:r>
      <w:r>
        <w:rPr>
          <w:sz w:val="22"/>
          <w:szCs w:val="22"/>
        </w:rPr>
        <w:t xml:space="preserve">Active maintainer of the Abstract Data GitHub organization and personal jreakin account, with public work spanning MCP server development, agent orchestration (Agentropy, MCP Agent Maestro), validation frameworks, address and geocoding utilities (including libpostal / pypostal bindings), and civic-data tooling cited in downstream campaign-technology projects.</w:t>
      </w:r>
    </w:p>
    <w:p>
      <w:pPr>
        <w:spacing w:after="120" w:line="300"/>
        <w:jc w:val="both"/>
      </w:pPr>
      <w:r>
        <w:rPr>
          <w:b/>
          <w:bCs/>
          <w:sz w:val="22"/>
          <w:szCs w:val="22"/>
        </w:rPr>
        <w:t xml:space="preserve">Internal tooling and skills. </w:t>
      </w:r>
      <w:r>
        <w:rPr>
          <w:sz w:val="22"/>
          <w:szCs w:val="22"/>
        </w:rPr>
        <w:t xml:space="preserve">Author of the vibe-coded-detector skill, a JS frontend review skill, a Python project review skill, and the adversarial-review playbook that the Abstract Data team uses to pressure-test its own architectures before shipping. The Mediaite pipeline was reviewed against that same adversarial checklist before the report was issued.</w:t>
      </w:r>
    </w:p>
    <w:p>
      <w:pPr>
        <w:pStyle w:val="Heading1"/>
        <w:pBdr>
          <w:bottom w:val="single" w:color="8B0000" w:sz="8" w:space="4"/>
        </w:pBdr>
        <w:spacing w:after="120" w:before="240"/>
      </w:pPr>
      <w:r>
        <w:rPr>
          <w:b/>
          <w:bCs/>
          <w:color w:val="11141A"/>
          <w:sz w:val="28"/>
          <w:szCs w:val="28"/>
        </w:rPr>
        <w:t xml:space="preserve">Responsible-Use Posture</w:t>
      </w:r>
    </w:p>
    <w:p>
      <w:pPr>
        <w:spacing w:after="120" w:line="300"/>
        <w:jc w:val="both"/>
      </w:pPr>
      <w:r>
        <w:rPr>
          <w:sz w:val="22"/>
          <w:szCs w:val="22"/>
        </w:rPr>
        <w:t xml:space="preserve">Stylometric and embedding-based analysis can be misused. Abstract Data’s standing policy — encoded in the project’s docs/GUARDRAILS.md and README — is that these techniques identify statistical signals, not individual guilt, and that findings are always delivered with their methodological caveats intact.</w:t>
      </w:r>
    </w:p>
    <w:p>
      <w:pPr>
        <w:pStyle w:val="ListParagraph"/>
        <w:numPr>
          <w:ilvl w:val="0"/>
          <w:numId w:val="2"/>
        </w:numPr>
        <w:spacing w:after="80" w:line="280"/>
      </w:pPr>
      <w:r>
        <w:rPr>
          <w:sz w:val="22"/>
          <w:szCs w:val="22"/>
        </w:rPr>
        <w:t xml:space="preserve">The pipeline reports convergence between independent lenses; single-lens signals are surfaced as indeterminate.</w:t>
      </w:r>
    </w:p>
    <w:p>
      <w:pPr>
        <w:pStyle w:val="ListParagraph"/>
        <w:numPr>
          <w:ilvl w:val="0"/>
          <w:numId w:val="2"/>
        </w:numPr>
        <w:spacing w:after="80" w:line="280"/>
      </w:pPr>
      <w:r>
        <w:rPr>
          <w:sz w:val="22"/>
          <w:szCs w:val="22"/>
        </w:rPr>
        <w:t xml:space="preserve">Author-level findings are accompanied by confidence intervals, effect sizes, and the full list of features that moved.</w:t>
      </w:r>
    </w:p>
    <w:p>
      <w:pPr>
        <w:pStyle w:val="ListParagraph"/>
        <w:numPr>
          <w:ilvl w:val="0"/>
          <w:numId w:val="2"/>
        </w:numPr>
        <w:spacing w:after="80" w:line="280"/>
      </w:pPr>
      <w:r>
        <w:rPr>
          <w:sz w:val="22"/>
          <w:szCs w:val="22"/>
        </w:rPr>
        <w:t xml:space="preserve">Raw corpora, intermediate features, and analysis artifacts are preserved so a third-party reviewer can re-run or contest any figure in the report.</w:t>
      </w:r>
    </w:p>
    <w:p>
      <w:pPr>
        <w:pStyle w:val="ListParagraph"/>
        <w:numPr>
          <w:ilvl w:val="0"/>
          <w:numId w:val="2"/>
        </w:numPr>
        <w:spacing w:after="80" w:line="280"/>
      </w:pPr>
      <w:r>
        <w:rPr>
          <w:sz w:val="22"/>
          <w:szCs w:val="22"/>
        </w:rPr>
        <w:t xml:space="preserve">No scraping occurs outside the publicly accessible WordPress REST surface of the subject publication; PII handling rules are documented and enforced in code.</w:t>
      </w:r>
    </w:p>
    <w:p>
      <w:pPr>
        <w:pStyle w:val="Heading1"/>
        <w:pBdr>
          <w:bottom w:val="single" w:color="8B0000" w:sz="8" w:space="4"/>
        </w:pBdr>
        <w:spacing w:after="120" w:before="240"/>
      </w:pPr>
      <w:r>
        <w:rPr>
          <w:b/>
          <w:bCs/>
          <w:color w:val="11141A"/>
          <w:sz w:val="28"/>
          <w:szCs w:val="28"/>
        </w:rPr>
        <w:t xml:space="preserve">Contact</w:t>
      </w:r>
    </w:p>
    <w:p>
      <w:pPr>
        <w:spacing w:after="120" w:line="300"/>
        <w:jc w:val="both"/>
      </w:pPr>
      <w:r>
        <w:rPr>
          <w:b/>
          <w:bCs/>
          <w:sz w:val="22"/>
          <w:szCs w:val="22"/>
        </w:rPr>
        <w:t xml:space="preserve">John R. Eakin
</w:t>
      </w:r>
      <w:r>
        <w:rPr>
          <w:sz w:val="22"/>
          <w:szCs w:val="22"/>
        </w:rPr>
        <w:t xml:space="preserve">Founder &amp; Principal, Abstract Data LLC
</w:t>
      </w:r>
    </w:p>
    <w:p>
      <w:pPr>
        <w:spacing w:after="40"/>
      </w:pPr>
      <w:r>
        <w:rPr>
          <w:color w:val="55606E"/>
          <w:sz w:val="22"/>
          <w:szCs w:val="22"/>
        </w:rPr>
        <w:t xml:space="preserve">Web: </w:t>
      </w:r>
      <w:hyperlink w:history="1" r:id="rIdirt78yua8ri9rjldhbeen">
        <w:r>
          <w:rPr>
            <w:rStyle w:val="Hyperlink"/>
            <w:sz w:val="22"/>
            <w:szCs w:val="22"/>
          </w:rPr>
          <w:t xml:space="preserve">abstractdata.io</w:t>
        </w:r>
      </w:hyperlink>
    </w:p>
    <w:p>
      <w:pPr>
        <w:spacing w:after="40"/>
      </w:pPr>
      <w:r>
        <w:rPr>
          <w:color w:val="55606E"/>
          <w:sz w:val="22"/>
          <w:szCs w:val="22"/>
        </w:rPr>
        <w:t xml:space="preserve">Firm: </w:t>
      </w:r>
      <w:hyperlink w:history="1" r:id="rIdozbik_5auivvtpf-pqpvz">
        <w:r>
          <w:rPr>
            <w:rStyle w:val="Hyperlink"/>
            <w:sz w:val="22"/>
            <w:szCs w:val="22"/>
          </w:rPr>
          <w:t xml:space="preserve">github.com/Abstract-Data</w:t>
        </w:r>
      </w:hyperlink>
    </w:p>
    <w:p>
      <w:pPr>
        <w:spacing w:after="40"/>
      </w:pPr>
      <w:r>
        <w:rPr>
          <w:color w:val="55606E"/>
          <w:sz w:val="22"/>
          <w:szCs w:val="22"/>
        </w:rPr>
        <w:t xml:space="preserve">Personal: </w:t>
      </w:r>
      <w:hyperlink w:history="1" r:id="rId0uk6nde9gdxwgom3lymqw">
        <w:r>
          <w:rPr>
            <w:rStyle w:val="Hyperlink"/>
            <w:sz w:val="22"/>
            <w:szCs w:val="22"/>
          </w:rPr>
          <w:t xml:space="preserve">github.com/jreakin</w:t>
        </w:r>
      </w:hyperlink>
    </w:p>
    <w:p>
      <w:pPr>
        <w:spacing w:after="40"/>
      </w:pPr>
      <w:r>
        <w:rPr>
          <w:color w:val="55606E"/>
          <w:sz w:val="22"/>
          <w:szCs w:val="22"/>
        </w:rPr>
        <w:t xml:space="preserve">Investigation repository: </w:t>
      </w:r>
      <w:hyperlink w:history="1" r:id="rIdcq1-8tqu6ihssclp5acfb">
        <w:r>
          <w:rPr>
            <w:rStyle w:val="Hyperlink"/>
            <w:sz w:val="22"/>
            <w:szCs w:val="22"/>
          </w:rPr>
          <w:t xml:space="preserve">Abstract-Data/mediaite-ghostink</w:t>
        </w:r>
      </w:hyperlink>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606E"/>
        <w:sz w:val="18"/>
        <w:szCs w:val="18"/>
      </w:rPr>
      <w:t xml:space="preserve">John R. Eakin — Abstract Data LLC</w:t>
    </w:r>
    <w:r>
      <w:rPr>
        <w:color w:val="55606E"/>
        <w:sz w:val="18"/>
        <w:szCs w:val="18"/>
      </w:rPr>
      <w:t xml:space="preserve">	Page </w:t>
    </w:r>
    <w:r>
      <w:rPr>
        <w:color w:val="55606E"/>
        <w:sz w:val="18"/>
        <w:szCs w:val="18"/>
      </w:rPr>
      <w:fldChar w:fldCharType="begin"/>
      <w:instrText xml:space="preserve">PAGE</w:instrText>
      <w:fldChar w:fldCharType="separate"/>
      <w:fldChar w:fldCharType="end"/>
    </w:r>
    <w:r>
      <w:rPr>
        <w:color w:val="55606E"/>
        <w:sz w:val="18"/>
        <w:szCs w:val="18"/>
      </w:rPr>
      <w:t xml:space="preserve"> of </w:t>
    </w:r>
    <w:r>
      <w:rPr>
        <w:color w:val="5560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06E"/>
        <w:sz w:val="18"/>
        <w:szCs w:val="18"/>
      </w:rPr>
      <w:t xml:space="preserve">Statement of Qualifications  •  Mediaite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4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1141A"/>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1114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6skhvpdoop5fe3acrnha" Type="http://schemas.openxmlformats.org/officeDocument/2006/relationships/hyperlink" Target="https://abstractdata.io" TargetMode="External"/><Relationship Id="rIdyixckbfhg4zs4maw8if41" Type="http://schemas.openxmlformats.org/officeDocument/2006/relationships/hyperlink" Target="https://github.com/Abstract-Data" TargetMode="External"/><Relationship Id="rIdthjc5madlypas-xhnjukq" Type="http://schemas.openxmlformats.org/officeDocument/2006/relationships/hyperlink" Target="https://github.com/jreakin" TargetMode="External"/><Relationship Id="rIdxc9cqyssas1mslr8zgkln" Type="http://schemas.openxmlformats.org/officeDocument/2006/relationships/hyperlink" Target="https://github.com/Abstract-Data/mediaite-ghostink" TargetMode="External"/><Relationship Id="rIdirt78yua8ri9rjldhbeen" Type="http://schemas.openxmlformats.org/officeDocument/2006/relationships/hyperlink" Target="https://abstractdata.io" TargetMode="External"/><Relationship Id="rIdozbik_5auivvtpf-pqpvz" Type="http://schemas.openxmlformats.org/officeDocument/2006/relationships/hyperlink" Target="https://github.com/Abstract-Data" TargetMode="External"/><Relationship Id="rId0uk6nde9gdxwgom3lymqw" Type="http://schemas.openxmlformats.org/officeDocument/2006/relationships/hyperlink" Target="https://github.com/jreakin" TargetMode="External"/><Relationship Id="rIdcq1-8tqu6ihssclp5acfb" Type="http://schemas.openxmlformats.org/officeDocument/2006/relationships/hyperlink" Target="https://github.com/Abstract-Data/mediaite-ghostink"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Eakin — Statement of Qualifications</dc:title>
  <dc:creator>John R. Eakin</dc:creator>
  <dc:description>Investigator credentials attached to the Mediaite.com AI writing forensics report.</dc:description>
  <cp:lastModifiedBy>Un-named</cp:lastModifiedBy>
  <cp:revision>1</cp:revision>
  <dcterms:created xsi:type="dcterms:W3CDTF">2026-04-24T08:18:34.598Z</dcterms:created>
  <dcterms:modified xsi:type="dcterms:W3CDTF">2026-04-24T08:18:34.610Z</dcterms:modified>
</cp:coreProperties>
</file>

<file path=docProps/custom.xml><?xml version="1.0" encoding="utf-8"?>
<Properties xmlns="http://schemas.openxmlformats.org/officeDocument/2006/custom-properties" xmlns:vt="http://schemas.openxmlformats.org/officeDocument/2006/docPropsVTypes"/>
</file>