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3399"/>
          <w:sz w:val="36"/>
        </w:rPr>
        <w:t>ПАО «РОСТЕЛЕКОМ» | КОММЕРЧЕСКОЕ ПРЕДЛОЖЕНИЕ</w:t>
      </w:r>
    </w:p>
    <w:p>
      <w:r>
        <w:t>Дата формирования: {{ date }}</w:t>
      </w:r>
    </w:p>
    <w:p>
      <w:r>
        <w:t>Клиент / Объект: {{ client_name }} (ИНН: {{ inn }})</w:t>
      </w:r>
    </w:p>
    <w:p>
      <w:r>
        <w:t>Проект развития: {{ project_title }}</w:t>
      </w:r>
    </w:p>
    <w:p>
      <w:pPr>
        <w:pStyle w:val="Heading2"/>
      </w:pPr>
      <w:r>
        <w:t>1. Параметры цифрового решения</w:t>
      </w:r>
    </w:p>
    <w:p>
      <w:r>
        <w:t>На основе аудита инфраструктуры экспертами ПАО «Ростелеком» для вашего объекта сформирована спецификация оборудования и каналов связи: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 работ / Сервис</w:t>
            </w:r>
          </w:p>
        </w:tc>
        <w:tc>
          <w:tcPr>
            <w:tcW w:type="dxa" w:w="2880"/>
          </w:tcPr>
          <w:p>
            <w:r>
              <w:t>Объем / Масштаб</w:t>
            </w:r>
          </w:p>
        </w:tc>
        <w:tc>
          <w:tcPr>
            <w:tcW w:type="dxa" w:w="2880"/>
          </w:tcPr>
          <w:p>
            <w:r>
              <w:t>Плановая стоимость (руб)</w:t>
            </w:r>
          </w:p>
        </w:tc>
      </w:tr>
      <w:tr>
        <w:tc>
          <w:tcPr>
            <w:tcW w:type="dxa" w:w="2880"/>
          </w:tcPr>
          <w:p>
            <w:r>
              <w:t>{% for item in items %}{{ item.name }}</w:t>
            </w:r>
          </w:p>
        </w:tc>
        <w:tc>
          <w:tcPr>
            <w:tcW w:type="dxa" w:w="2880"/>
          </w:tcPr>
          <w:p>
            <w:r>
              <w:t>{{ item.scale }}</w:t>
            </w:r>
          </w:p>
        </w:tc>
        <w:tc>
          <w:tcPr>
            <w:tcW w:type="dxa" w:w="2880"/>
          </w:tcPr>
          <w:p>
            <w:r>
              <w:t>{{ item.price }}{% if not loop.last %}</w:t>
              <w:br/>
              <w:t>{% endif %}{% endfor %}</w:t>
            </w:r>
          </w:p>
        </w:tc>
      </w:tr>
    </w:tbl>
    <w:p>
      <w:pPr>
        <w:pStyle w:val="Heading2"/>
      </w:pPr>
      <w:r>
        <w:t>2. Ценовое предложение и условия</w:t>
      </w:r>
    </w:p>
    <w:p>
      <w:r>
        <w:t>• Базовая себестоимость решения: {{ cost_price }} руб.</w:t>
      </w:r>
    </w:p>
    <w:p>
      <w:r>
        <w:t>• Оптимальная коммерческая стоимость: {{ optimal_price }} руб.</w:t>
      </w:r>
    </w:p>
    <w:p>
      <w:r>
        <w:t>• Минимальный согласованный порог: {{ min_price }} руб.</w:t>
      </w:r>
    </w:p>
    <w:p>
      <w:r>
        <w:t>• Расчетный уровень маржинальности: {{ margin_percent }}%</w:t>
      </w:r>
    </w:p>
    <w:p>
      <w:r>
        <w:br/>
        <w:t>Предложение действительно в течение 30 календарных дней.</w:t>
      </w:r>
    </w:p>
    <w:p>
      <w:r>
        <w:t>Контакты куратора: B2B Департамент ПАО «Ростелеком», b2b@rt.ru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