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33616F"/>
          <w:sz w:val="44"/>
          <w:szCs w:val="44"/>
        </w:rPr>
        <w:t xml:space="preserve">OLIST SALES ANALYTICS</w:t>
      </w:r>
    </w:p>
    <w:p>
      <w:pPr>
        <w:spacing w:after="240"/>
      </w:pPr>
      <w:r>
        <w:rPr>
          <w:color w:val="54635F"/>
          <w:sz w:val="24"/>
          <w:szCs w:val="24"/>
        </w:rPr>
        <w:t xml:space="preserve">Complete Technical &amp; Analytical Project Reference</w:t>
      </w:r>
    </w:p>
    <w:p>
      <w:pPr>
        <w:spacing w:after="160"/>
      </w:pPr>
      <w:r>
        <w:rPr>
          <w:color w:val="1E2A2B"/>
          <w:sz w:val="22"/>
          <w:szCs w:val="22"/>
        </w:rPr>
        <w:t xml:space="preserve">A comprehensive, self-contained reference to every technical and analytical decision behind this project — the pipeline, the schema, the DAX layer, the dashboard, the debugging history, and the findings — written to be read start to finish.</w:t>
      </w:r>
    </w:p>
    <w:p>
      <w:pPr>
        <w:spacing w:after="160"/>
      </w:pPr>
      <w:r>
        <w:rPr>
          <w:b/>
          <w:bCs/>
          <w:sz w:val="20"/>
          <w:szCs w:val="20"/>
        </w:rPr>
        <w:t xml:space="preserve">Scope: </w:t>
      </w:r>
      <w:r>
        <w:rPr>
          <w:color w:val="54635F"/>
          <w:sz w:val="20"/>
          <w:szCs w:val="20"/>
        </w:rPr>
        <w:t xml:space="preserve">PostgreSQL · SQL · Power BI · DAX · DirectQuery + Composite Model</w:t>
      </w:r>
    </w:p>
    <w:p>
      <w:pPr>
        <w:spacing w:after="160"/>
      </w:pPr>
      <w:r>
        <w:rPr>
          <w:b/>
          <w:bCs/>
          <w:sz w:val="20"/>
          <w:szCs w:val="20"/>
        </w:rPr>
        <w:t xml:space="preserve">Period covered: </w:t>
      </w:r>
      <w:r>
        <w:rPr>
          <w:color w:val="54635F"/>
          <w:sz w:val="20"/>
          <w:szCs w:val="20"/>
        </w:rPr>
        <w:t xml:space="preserve">September 2016 – October 2018  ·  98,666 orders</w:t>
      </w:r>
    </w:p>
    <w:p>
      <w:r>
        <w:br w:type="page"/>
      </w:r>
    </w:p>
    <w:p>
      <w:pPr>
        <w:pStyle w:val="Heading1"/>
        <w:spacing w:after="200" w:before="420"/>
      </w:pPr>
      <w:r>
        <w:t xml:space="preserve">1. Executive Summary</w:t>
      </w:r>
    </w:p>
    <w:p>
      <w:pPr>
        <w:spacing w:after="160"/>
      </w:pPr>
      <w:r>
        <w:rPr>
          <w:color w:val="1E2A2B"/>
          <w:sz w:val="22"/>
          <w:szCs w:val="22"/>
        </w:rPr>
        <w:t xml:space="preserve">This project is an end-to-end analytics build on the Olist Brazilian e-commerce public dataset. Raw transactional data — orders, order items, customers, products, sellers, payments, reviews, and geolocation records — is loaded into a PostgreSQL database, cleaned and reshaped through a layer of SQL views, and modeled and presented in a nine-page Power BI report.</w:t>
      </w:r>
    </w:p>
    <w:p>
      <w:pPr>
        <w:spacing w:after="160"/>
      </w:pPr>
      <w:r>
        <w:rPr>
          <w:color w:val="1E2A2B"/>
          <w:sz w:val="22"/>
          <w:szCs w:val="22"/>
        </w:rPr>
        <w:t xml:space="preserve">The build has three layers, each with a distinct responsibility:</w:t>
      </w:r>
    </w:p>
    <w:p>
      <w:pPr>
        <w:pStyle w:val="ListParagraph"/>
        <w:numPr>
          <w:ilvl w:val="0"/>
          <w:numId w:val="2"/>
        </w:numPr>
        <w:spacing w:after="80"/>
      </w:pPr>
      <w:r>
        <w:rPr>
          <w:color w:val="1E2A2B"/>
          <w:sz w:val="22"/>
          <w:szCs w:val="22"/>
        </w:rPr>
        <w:t xml:space="preserve">Raw layer (PostgreSQL tables): an unmodified, constrained copy of the source data — nine tables with primary keys, foreign keys, and indexes.</w:t>
      </w:r>
    </w:p>
    <w:p>
      <w:pPr>
        <w:pStyle w:val="ListParagraph"/>
        <w:numPr>
          <w:ilvl w:val="0"/>
          <w:numId w:val="2"/>
        </w:numPr>
        <w:spacing w:after="80"/>
      </w:pPr>
      <w:r>
        <w:rPr>
          <w:color w:val="1E2A2B"/>
          <w:sz w:val="22"/>
          <w:szCs w:val="22"/>
        </w:rPr>
        <w:t xml:space="preserve">Reporting layer (SQL views): five views that deduplicate, join, and derive the fields the dashboard actually needs, collapsing nine normalized tables into one analysis-ready fact view.</w:t>
      </w:r>
    </w:p>
    <w:p>
      <w:pPr>
        <w:pStyle w:val="ListParagraph"/>
        <w:numPr>
          <w:ilvl w:val="0"/>
          <w:numId w:val="2"/>
        </w:numPr>
        <w:spacing w:after="80"/>
      </w:pPr>
      <w:r>
        <w:rPr>
          <w:color w:val="1E2A2B"/>
          <w:sz w:val="22"/>
          <w:szCs w:val="22"/>
        </w:rPr>
        <w:t xml:space="preserve">Presentation layer (Power BI): a composite data model (DirectQuery against the fact view, Import for a calculated date table) driving twenty-five DAX measures across nine report pages.</w:t>
      </w:r>
    </w:p>
    <w:p>
      <w:pPr>
        <w:spacing w:after="160"/>
      </w:pPr>
      <w:r>
        <w:rPr>
          <w:color w:val="1E2A2B"/>
          <w:sz w:val="22"/>
          <w:szCs w:val="22"/>
        </w:rPr>
        <w:t xml:space="preserve">The headline result of the analysis: revenue grew from $51K in a partial 2016 launch year to $7.67M in 2018, on-time delivery sits at 93.23%, and the single strongest signal in the entire dataset is that late deliveries cut average customer rating almost in half (4.2 on-time versus 2.3 late). That combination — a real technical pipeline plus a defensible business finding — is what this document exists to let you explain fluently, from the schema up.</w:t>
      </w:r>
    </w:p>
    <w:p>
      <w:pPr>
        <w:pStyle w:val="Heading1"/>
        <w:spacing w:after="200" w:before="420"/>
      </w:pPr>
      <w:r>
        <w:t xml:space="preserve">2. Business Context &amp; Objectives</w:t>
      </w:r>
    </w:p>
    <w:p>
      <w:pPr>
        <w:spacing w:after="160"/>
      </w:pPr>
      <w:r>
        <w:rPr>
          <w:color w:val="1E2A2B"/>
          <w:sz w:val="22"/>
          <w:szCs w:val="22"/>
        </w:rPr>
        <w:t xml:space="preserve">Olist is a Brazilian e-commerce marketplace that connects small and medium-sized merchants to major retail channels — merchants list products, Olist handles logistics and customer relations across channels including Brazil's large marketplaces. The public dataset released by Olist covers roughly 100,000 orders placed between September 2016 and October 2018, and is one of the most commonly used real-world (not synthetic) datasets for practicing relational data modeling and BI development, because it has the genuine imperfections of production data: duplicate keys in places, partial-month effects at the tail of the observation window, missing category labels for a small subset of products, and a normalized schema spread across nine separate files rather than one clean table.</w:t>
      </w:r>
    </w:p>
    <w:p>
      <w:pPr>
        <w:spacing w:after="160"/>
      </w:pPr>
      <w:r>
        <w:rPr>
          <w:color w:val="1E2A2B"/>
          <w:sz w:val="22"/>
          <w:szCs w:val="22"/>
        </w:rPr>
        <w:t xml:space="preserve">Read against the finished report rather than a pre-written plan, the nine dashboard pages collectively answer five concrete business questions, each traceable to a specific page:</w:t>
      </w:r>
    </w:p>
    <w:p>
      <w:pPr>
        <w:pStyle w:val="ListParagraph"/>
        <w:numPr>
          <w:ilvl w:val="0"/>
          <w:numId w:val="3"/>
        </w:numPr>
        <w:spacing w:after="80"/>
      </w:pPr>
      <w:r>
        <w:rPr>
          <w:color w:val="1E2A2B"/>
          <w:sz w:val="22"/>
          <w:szCs w:val="22"/>
        </w:rPr>
        <w:t xml:space="preserve">Where does revenue come from, and how is it trending over time? (Business Overview, Sales Trend)</w:t>
      </w:r>
    </w:p>
    <w:p>
      <w:pPr>
        <w:pStyle w:val="ListParagraph"/>
        <w:numPr>
          <w:ilvl w:val="0"/>
          <w:numId w:val="3"/>
        </w:numPr>
        <w:spacing w:after="80"/>
      </w:pPr>
      <w:r>
        <w:rPr>
          <w:color w:val="1E2A2B"/>
          <w:sz w:val="22"/>
          <w:szCs w:val="22"/>
        </w:rPr>
        <w:t xml:space="preserve">Which product categories and geographies drive the business, and which underperform? (Category &amp; Product, Customer)</w:t>
      </w:r>
    </w:p>
    <w:p>
      <w:pPr>
        <w:pStyle w:val="ListParagraph"/>
        <w:numPr>
          <w:ilvl w:val="0"/>
          <w:numId w:val="3"/>
        </w:numPr>
        <w:spacing w:after="80"/>
      </w:pPr>
      <w:r>
        <w:rPr>
          <w:color w:val="1E2A2B"/>
          <w:sz w:val="22"/>
          <w:szCs w:val="22"/>
        </w:rPr>
        <w:t xml:space="preserve">Is delivery performance a real operational risk, and does it affect customer sentiment? (Delivery &amp; Logistics, Reviews)</w:t>
      </w:r>
    </w:p>
    <w:p>
      <w:pPr>
        <w:pStyle w:val="ListParagraph"/>
        <w:numPr>
          <w:ilvl w:val="0"/>
          <w:numId w:val="3"/>
        </w:numPr>
        <w:spacing w:after="80"/>
      </w:pPr>
      <w:r>
        <w:rPr>
          <w:color w:val="1E2A2B"/>
          <w:sz w:val="22"/>
          <w:szCs w:val="22"/>
        </w:rPr>
        <w:t xml:space="preserve">How do customers pay, and does payment behavior vary meaningfully by method? (Payments)</w:t>
      </w:r>
    </w:p>
    <w:p>
      <w:pPr>
        <w:pStyle w:val="ListParagraph"/>
        <w:numPr>
          <w:ilvl w:val="0"/>
          <w:numId w:val="3"/>
        </w:numPr>
        <w:spacing w:after="80"/>
      </w:pPr>
      <w:r>
        <w:rPr>
          <w:color w:val="1E2A2B"/>
          <w:sz w:val="22"/>
          <w:szCs w:val="22"/>
        </w:rPr>
        <w:t xml:space="preserve">How concentrated is the seller base, and who are the highest-value sellers? (Seller)</w:t>
      </w:r>
    </w:p>
    <w:p>
      <w:pPr>
        <w:spacing w:after="160"/>
      </w:pPr>
      <w:r>
        <w:rPr>
          <w:color w:val="1E2A2B"/>
          <w:sz w:val="22"/>
          <w:szCs w:val="22"/>
        </w:rPr>
        <w:t xml:space="preserve">This list is a way of organizing and presenting the finished work, not a scoping document written before development began. Framed honestly, it is still a legitimate and useful thing to say in an interview: 'each page maps cleanly onto a business question a stakeholder would actually ask' describes a real property of the finished dashboard, regardless of whether that structure was planned upfront or recognized afterward. What should not be claimed is that these five questions existed as a formal brief before the report was built — they did not; the report was built by following a structured tutorial, and this framing was constructed afterward by examining what each page ends up answering.</w:t>
      </w:r>
    </w:p>
    <w:p>
      <w:pPr>
        <w:pStyle w:val="Heading1"/>
        <w:spacing w:after="200" w:before="420"/>
      </w:pPr>
      <w:r>
        <w:t xml:space="preserve">3. Dataset Deep Dive</w:t>
      </w:r>
    </w:p>
    <w:p>
      <w:pPr>
        <w:spacing w:after="160"/>
      </w:pPr>
      <w:r>
        <w:rPr>
          <w:color w:val="1E2A2B"/>
          <w:sz w:val="22"/>
          <w:szCs w:val="22"/>
        </w:rPr>
        <w:t xml:space="preserve">The source data arrives as nine CSV files. Understanding the grain of each file — what exactly one row represents — is the foundation for everything that follows, because most of the modeling decisions later in this document exist specifically to handle grain mismatches between these files.</w:t>
      </w:r>
    </w:p>
    <w:tbl>
      <w:tblPr>
        <w:tblW w:type="dxa" w:w="9360"/>
        <w:tblBorders>
          <w:top w:val="single" w:color="DEDAD0" w:sz="4"/>
          <w:left w:val="single" w:color="DEDAD0" w:sz="4"/>
          <w:bottom w:val="single" w:color="DEDAD0" w:sz="4"/>
          <w:right w:val="single" w:color="DEDAD0" w:sz="4"/>
          <w:insideH w:val="single" w:color="EAE7DD" w:sz="2"/>
          <w:insideV w:val="single" w:color="EAE7DD" w:sz="2"/>
        </w:tblBorders>
      </w:tblPr>
      <w:tblGrid>
        <w:gridCol w:w="3036"/>
        <w:gridCol w:w="5059"/>
        <w:gridCol w:w="1265"/>
      </w:tblGrid>
      <w:tr>
        <w:tc>
          <w:tcPr>
            <w:tcW w:type="dxa" w:w="3036"/>
            <w:shd w:fill="EEF0E8" w:val="clear"/>
            <w:tcMar>
              <w:top w:type="dxa" w:w="80"/>
              <w:left w:type="dxa" w:w="120"/>
              <w:bottom w:type="dxa" w:w="80"/>
              <w:right w:type="dxa" w:w="120"/>
            </w:tcMar>
          </w:tcPr>
          <w:p>
            <w:pPr>
              <w:jc w:val="left"/>
            </w:pPr>
            <w:r>
              <w:rPr>
                <w:b/>
                <w:bCs/>
                <w:caps/>
                <w:color w:val="54635F"/>
                <w:sz w:val="16"/>
                <w:szCs w:val="16"/>
              </w:rPr>
              <w:t xml:space="preserve">Table</w:t>
            </w:r>
          </w:p>
        </w:tc>
        <w:tc>
          <w:tcPr>
            <w:tcW w:type="dxa" w:w="5059"/>
            <w:shd w:fill="EEF0E8" w:val="clear"/>
            <w:tcMar>
              <w:top w:type="dxa" w:w="80"/>
              <w:left w:type="dxa" w:w="120"/>
              <w:bottom w:type="dxa" w:w="80"/>
              <w:right w:type="dxa" w:w="120"/>
            </w:tcMar>
          </w:tcPr>
          <w:p>
            <w:pPr>
              <w:jc w:val="left"/>
            </w:pPr>
            <w:r>
              <w:rPr>
                <w:b/>
                <w:bCs/>
                <w:caps/>
                <w:color w:val="54635F"/>
                <w:sz w:val="16"/>
                <w:szCs w:val="16"/>
              </w:rPr>
              <w:t xml:space="preserve">Grain (what one row is)</w:t>
            </w:r>
          </w:p>
        </w:tc>
        <w:tc>
          <w:tcPr>
            <w:tcW w:type="dxa" w:w="1265"/>
            <w:shd w:fill="EEF0E8" w:val="clear"/>
            <w:tcMar>
              <w:top w:type="dxa" w:w="80"/>
              <w:left w:type="dxa" w:w="120"/>
              <w:bottom w:type="dxa" w:w="80"/>
              <w:right w:type="dxa" w:w="120"/>
            </w:tcMar>
          </w:tcPr>
          <w:p>
            <w:pPr>
              <w:jc w:val="left"/>
            </w:pPr>
            <w:r>
              <w:rPr>
                <w:b/>
                <w:bCs/>
                <w:caps/>
                <w:color w:val="54635F"/>
                <w:sz w:val="16"/>
                <w:szCs w:val="16"/>
              </w:rPr>
              <w:t xml:space="preserve">Rows</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olist_orders_dataset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order, with its full status timeline</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99,441</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olist_order_items_dataset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line item within an order (an order with 3 products has 3 rows)</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112,650</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olist_order_payments_dataset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payment transaction on an order (an order paid in 2 installments can have 2 rows)</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103,886</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olist_order_reviews_dataset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review submitted for an order — nominally one per order, but not guaranteed</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99,224</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olist_customers_dataset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customer record (customer_id is order-specific; customer_unique_id identifies the person)</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99,441</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olist_products_dataset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product</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32,951</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olist_sellers_dataset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seller</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3,095</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olist_geolocation_dataset</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lat/lng observation for a zip-code prefix (many rows per prefix)</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1,000,163</w:t>
            </w:r>
          </w:p>
        </w:tc>
      </w:tr>
      <w:tr>
        <w:tc>
          <w:tcPr>
            <w:tcW w:type="dxa" w:w="3036"/>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product_category_name_translation</w:t>
            </w:r>
          </w:p>
        </w:tc>
        <w:tc>
          <w:tcPr>
            <w:tcW w:type="dxa" w:w="5059"/>
            <w:tcMar>
              <w:top w:type="dxa" w:w="80"/>
              <w:left w:type="dxa" w:w="120"/>
              <w:bottom w:type="dxa" w:w="80"/>
              <w:right w:type="dxa" w:w="120"/>
            </w:tcMar>
          </w:tcPr>
          <w:p>
            <w:pPr>
              <w:jc w:val="left"/>
            </w:pPr>
            <w:r>
              <w:rPr>
                <w:b w:val="false"/>
                <w:bCs w:val="false"/>
                <w:caps w:val="false"/>
                <w:color w:val="1E2A2B"/>
                <w:sz w:val="19"/>
                <w:szCs w:val="19"/>
              </w:rPr>
              <w:t xml:space="preserve">One row per category, mapping Portuguese to English</w:t>
            </w:r>
          </w:p>
        </w:tc>
        <w:tc>
          <w:tcPr>
            <w:tcW w:type="dxa" w:w="1265"/>
            <w:tcMar>
              <w:top w:type="dxa" w:w="80"/>
              <w:left w:type="dxa" w:w="120"/>
              <w:bottom w:type="dxa" w:w="80"/>
              <w:right w:type="dxa" w:w="120"/>
            </w:tcMar>
          </w:tcPr>
          <w:p>
            <w:pPr>
              <w:jc w:val="right"/>
            </w:pPr>
            <w:r>
              <w:rPr>
                <w:b w:val="false"/>
                <w:bCs w:val="false"/>
                <w:caps w:val="false"/>
                <w:color w:val="1E2A2B"/>
                <w:sz w:val="19"/>
                <w:szCs w:val="19"/>
              </w:rPr>
              <w:t xml:space="preserve">71</w:t>
            </w:r>
          </w:p>
        </w:tc>
      </w:tr>
    </w:tbl>
    <w:p>
      <w:pPr>
        <w:spacing w:after="120"/>
      </w:pPr>
    </w:p>
    <w:p>
      <w:pPr>
        <w:pStyle w:val="Heading3"/>
        <w:spacing w:after="100" w:before="220"/>
      </w:pPr>
      <w:r>
        <w:t xml:space="preserve">A critical distinction: customer_id vs. customer_unique_id</w:t>
      </w:r>
    </w:p>
    <w:p>
      <w:pPr>
        <w:spacing w:after="160"/>
      </w:pPr>
      <w:r>
        <w:rPr>
          <w:color w:val="1E2A2B"/>
          <w:sz w:val="22"/>
          <w:szCs w:val="22"/>
        </w:rPr>
        <w:t xml:space="preserve">Every new order generates a new customer_id, even for a returning shopper — customer_id is really an order-scoped identifier, not a person. customer_unique_id is the stable identifier for the actual person across multiple orders. This is why the Customers DAX measure counts DISTINCTCOUNT of customer_unique_id rather than customer_id — counting customer_id would silently overcount repeat customers as new ones, inflating the customer base and understating repeat-purchase behavior.</w:t>
      </w:r>
    </w:p>
    <w:p>
      <w:pPr>
        <w:pStyle w:val="Heading3"/>
        <w:spacing w:after="100" w:before="220"/>
      </w:pPr>
      <w:r>
        <w:t xml:space="preserve">Why order_items is not the same grain as orders</w:t>
      </w:r>
    </w:p>
    <w:p>
      <w:pPr>
        <w:spacing w:after="160"/>
      </w:pPr>
      <w:r>
        <w:rPr>
          <w:color w:val="1E2A2B"/>
          <w:sz w:val="22"/>
          <w:szCs w:val="22"/>
        </w:rPr>
        <w:t xml:space="preserve">An order can contain multiple products, each becoming its own row in order_items. This is why the fact table built for the dashboard (bi_fact_sales) is built at order-item grain rather than order grain — every visual that needs an order-level count (like Orders, which uses DISTINCTCOUNT of order_id) has to explicitly collapse back up from that item-level grain, rather than being a simple COUNTROWS.</w:t>
      </w:r>
    </w:p>
    <w:p>
      <w:pPr>
        <w:pStyle w:val="Heading3"/>
        <w:spacing w:after="100" w:before="220"/>
      </w:pPr>
      <w:r>
        <w:t xml:space="preserve">Referential integrity — verified, not assumed</w:t>
      </w:r>
    </w:p>
    <w:p>
      <w:pPr>
        <w:spacing w:after="160"/>
      </w:pPr>
      <w:r>
        <w:rPr>
          <w:color w:val="1E2A2B"/>
          <w:sz w:val="22"/>
          <w:szCs w:val="22"/>
        </w:rPr>
        <w:t xml:space="preserve">Before building any constraints, every foreign key relationship was checked directly against the raw files: orders referencing customers, order items referencing orders/products/sellers, payments and reviews referencing orders. The result across all nine tables: zero orphaned foreign keys and zero duplicate primary keys. That verification is what allows the foreign key constraints in the schema to be applied with confidence rather than hope, and it also means the eventual JOIN-based views can use INNER JOIN where appropriate without silently dropping rows.</w:t>
      </w:r>
    </w:p>
    <w:p>
      <w:pPr>
        <w:pStyle w:val="Heading1"/>
        <w:spacing w:after="200" w:before="420"/>
      </w:pPr>
      <w:r>
        <w:t xml:space="preserve">4. Architecture &amp; Design Rationale</w:t>
      </w:r>
    </w:p>
    <w:p>
      <w:pPr>
        <w:spacing w:after="160"/>
      </w:pPr>
      <w:r>
        <w:rPr>
          <w:color w:val="1E2A2B"/>
          <w:sz w:val="22"/>
          <w:szCs w:val="22"/>
        </w:rPr>
        <w:t xml:space="preserve">Data flows through three stages, and each stage exists to solve a specific problem rather than being an arbitrary layer of indirection.</w:t>
      </w:r>
    </w:p>
    <w:p>
      <w:pPr>
        <w:spacing w:after="60"/>
      </w:pP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Kaggle CSVs  →  PostgreSQL raw tables  →  BI views  →  Power BI</w:t>
      </w:r>
      <w:r>
        <w:rPr>
          <w:rFonts w:ascii="Consolas" w:cs="Consolas" w:eastAsia="Consolas" w:hAnsi="Consolas"/>
          <w:color w:val="2C3B34"/>
          <w:sz w:val="18"/>
          <w:szCs w:val="18"/>
        </w:rPr>
        <w:br/>
        <w:t xml:space="preserve"> (9 files)      (COPY, PK/FK, indexes)   (dedup,        (DirectQuery</w:t>
      </w:r>
      <w:r>
        <w:rPr>
          <w:rFonts w:ascii="Consolas" w:cs="Consolas" w:eastAsia="Consolas" w:hAnsi="Consolas"/>
          <w:color w:val="2C3B34"/>
          <w:sz w:val="18"/>
          <w:szCs w:val="18"/>
        </w:rPr>
        <w:br/>
        <w:t xml:space="preserve">                                          joins,          + Import DimDate</w:t>
      </w:r>
      <w:r>
        <w:rPr>
          <w:rFonts w:ascii="Consolas" w:cs="Consolas" w:eastAsia="Consolas" w:hAnsi="Consolas"/>
          <w:color w:val="2C3B34"/>
          <w:sz w:val="18"/>
          <w:szCs w:val="18"/>
        </w:rPr>
        <w:br/>
        <w:t xml:space="preserve">                                          derived         + 25 DAX measures</w:t>
      </w:r>
      <w:r>
        <w:rPr>
          <w:rFonts w:ascii="Consolas" w:cs="Consolas" w:eastAsia="Consolas" w:hAnsi="Consolas"/>
          <w:color w:val="2C3B34"/>
          <w:sz w:val="18"/>
          <w:szCs w:val="18"/>
        </w:rPr>
        <w:br/>
        <w:t xml:space="preserve">                                          fields)         + 9 report pages)</w:t>
      </w:r>
    </w:p>
    <w:p>
      <w:pPr>
        <w:pStyle w:val="Heading3"/>
        <w:spacing w:after="100" w:before="220"/>
      </w:pPr>
      <w:r>
        <w:t xml:space="preserve">Why PostgreSQL rather than doing everything inside Power BI</w:t>
      </w:r>
    </w:p>
    <w:p>
      <w:pPr>
        <w:spacing w:after="160"/>
      </w:pPr>
      <w:r>
        <w:rPr>
          <w:color w:val="1E2A2B"/>
          <w:sz w:val="22"/>
          <w:szCs w:val="22"/>
        </w:rPr>
        <w:t xml:space="preserve">Power BI's own Power Query layer can clean and join data, but doing that work in SQL instead has three concrete advantages that matter for this project: the transformation logic (deduplication, joins, derived columns) lives in a version-controllable, human-readable .sql file rather than an opaque M-query step list; the same views could be reused by any other tool that can query Postgres, not just this one Power BI file; and — most importantly for a portfolio piece — it demonstrates SQL competency directly, which Power Query transformations do not.</w:t>
      </w:r>
    </w:p>
    <w:p>
      <w:pPr>
        <w:pStyle w:val="Heading3"/>
        <w:spacing w:after="100" w:before="220"/>
      </w:pPr>
      <w:r>
        <w:t xml:space="preserve">Why a separate reporting-view layer instead of querying raw tables directly from Power BI</w:t>
      </w:r>
    </w:p>
    <w:p>
      <w:pPr>
        <w:spacing w:after="160"/>
      </w:pPr>
      <w:r>
        <w:rPr>
          <w:color w:val="1E2A2B"/>
          <w:sz w:val="22"/>
          <w:szCs w:val="22"/>
        </w:rPr>
        <w:t xml:space="preserve">Building bi_fact_sales directly as a Power BI query against the nine raw tables would work, but it would move all of the join logic, deduplication logic, and null-handling logic into Power BI, invisible to anyone who only looks at the SQL. Keeping that logic in versioned SQL views means the transformation rules are auditable independently of the report, and they would keep working correctly even if the report were rebuilt from scratch or replaced with a different BI tool entirely.</w:t>
      </w:r>
    </w:p>
    <w:p>
      <w:pPr>
        <w:pStyle w:val="Heading3"/>
        <w:spacing w:after="100" w:before="220"/>
      </w:pPr>
      <w:r>
        <w:t xml:space="preserve">Why DirectQuery for the fact table instead of Import</w:t>
      </w:r>
    </w:p>
    <w:p>
      <w:pPr>
        <w:spacing w:after="160"/>
      </w:pPr>
      <w:r>
        <w:rPr>
          <w:color w:val="1E2A2B"/>
          <w:sz w:val="22"/>
          <w:szCs w:val="22"/>
        </w:rPr>
        <w:t xml:space="preserve">Import mode would copy the roughly 112,650-row bi_fact_sales result set directly into the .pbix file, and every report refresh would need to reload that full copy. DirectQuery instead sends live queries to PostgreSQL as the report is used, so the .pbix file itself stays tiny (roughly 114KB in this project) and the report always reflects the current state of the database rather than a point-in-time snapshot. The tradeoff is that DirectQuery visuals are only as fast as the underlying SQL query and the database's ability to serve it — which is why indexing the join and filter columns in the raw tables (covered in the next section) is not optional under this architecture, it is a performance requirement.</w:t>
      </w:r>
    </w:p>
    <w:p>
      <w:pPr>
        <w:pStyle w:val="Heading3"/>
        <w:spacing w:after="100" w:before="220"/>
      </w:pPr>
      <w:r>
        <w:t xml:space="preserve">Why the model still needed an Import-mode table (DimDate)</w:t>
      </w:r>
    </w:p>
    <w:p>
      <w:pPr>
        <w:spacing w:after="160"/>
      </w:pPr>
      <w:r>
        <w:rPr>
          <w:color w:val="1E2A2B"/>
          <w:sz w:val="22"/>
          <w:szCs w:val="22"/>
        </w:rPr>
        <w:t xml:space="preserve">Power BI's calculated tables — tables defined by a DAX expression rather than a data source query — can only run in Import mode; there is no DirectQuery equivalent for a calculated table. Since the project's time-intelligence measures (year-over-year comparison, year-to-date totals, rolling 30-day revenue) all need a proper date table to evaluate correctly, and that date table has to be DAX-generated to span exactly the order date range, the model ends up with one Import table and one DirectQuery table by necessity. This mixed arrangement is called a composite model, and it is one of Power BI's explicitly supported configurations — not a workaround.</w:t>
      </w:r>
    </w:p>
    <w:p>
      <w:pPr>
        <w:pStyle w:val="Heading1"/>
        <w:spacing w:after="200" w:before="420"/>
      </w:pPr>
      <w:r>
        <w:t xml:space="preserve">5. Database Schema In Depth</w:t>
      </w:r>
    </w:p>
    <w:p>
      <w:pPr>
        <w:pStyle w:val="Heading2"/>
        <w:spacing w:after="140" w:before="320"/>
      </w:pPr>
      <w:r>
        <w:t xml:space="preserve">5.1 Raw tables, keys, and indexes</w:t>
      </w:r>
    </w:p>
    <w:p>
      <w:pPr>
        <w:spacing w:after="160"/>
      </w:pPr>
      <w:r>
        <w:rPr>
          <w:color w:val="1E2A2B"/>
          <w:sz w:val="22"/>
          <w:szCs w:val="22"/>
        </w:rPr>
        <w:t xml:space="preserve">Each raw table mirrors its source CSV, with a primary key defined on the table's natural identifier and text used for all ID columns (since these are opaque hashes in the source data, not sequential integers). Indexes are placed specifically on the columns used to join tables together or filter by date, rather than indexing every column indiscriminately:</w:t>
      </w:r>
    </w:p>
    <w:tbl>
      <w:tblPr>
        <w:tblW w:type="dxa" w:w="9360"/>
        <w:tblBorders>
          <w:top w:val="single" w:color="DEDAD0" w:sz="4"/>
          <w:left w:val="single" w:color="DEDAD0" w:sz="4"/>
          <w:bottom w:val="single" w:color="DEDAD0" w:sz="4"/>
          <w:right w:val="single" w:color="DEDAD0" w:sz="4"/>
          <w:insideH w:val="single" w:color="EAE7DD" w:sz="2"/>
          <w:insideV w:val="single" w:color="EAE7DD" w:sz="2"/>
        </w:tblBorders>
      </w:tblPr>
      <w:tblGrid>
        <w:gridCol w:w="2833"/>
        <w:gridCol w:w="2833"/>
        <w:gridCol w:w="3695"/>
      </w:tblGrid>
      <w:tr>
        <w:tc>
          <w:tcPr>
            <w:tcW w:type="dxa" w:w="2833"/>
            <w:shd w:fill="EEF0E8" w:val="clear"/>
            <w:tcMar>
              <w:top w:type="dxa" w:w="80"/>
              <w:left w:type="dxa" w:w="120"/>
              <w:bottom w:type="dxa" w:w="80"/>
              <w:right w:type="dxa" w:w="120"/>
            </w:tcMar>
          </w:tcPr>
          <w:p>
            <w:pPr>
              <w:jc w:val="left"/>
            </w:pPr>
            <w:r>
              <w:rPr>
                <w:b/>
                <w:bCs/>
                <w:caps/>
                <w:color w:val="54635F"/>
                <w:sz w:val="16"/>
                <w:szCs w:val="16"/>
              </w:rPr>
              <w:t xml:space="preserve">Index</w:t>
            </w:r>
          </w:p>
        </w:tc>
        <w:tc>
          <w:tcPr>
            <w:tcW w:type="dxa" w:w="2833"/>
            <w:shd w:fill="EEF0E8" w:val="clear"/>
            <w:tcMar>
              <w:top w:type="dxa" w:w="80"/>
              <w:left w:type="dxa" w:w="120"/>
              <w:bottom w:type="dxa" w:w="80"/>
              <w:right w:type="dxa" w:w="120"/>
            </w:tcMar>
          </w:tcPr>
          <w:p>
            <w:pPr>
              <w:jc w:val="left"/>
            </w:pPr>
            <w:r>
              <w:rPr>
                <w:b/>
                <w:bCs/>
                <w:caps/>
                <w:color w:val="54635F"/>
                <w:sz w:val="16"/>
                <w:szCs w:val="16"/>
              </w:rPr>
              <w:t xml:space="preserve">Table.Column</w:t>
            </w:r>
          </w:p>
        </w:tc>
        <w:tc>
          <w:tcPr>
            <w:tcW w:type="dxa" w:w="3695"/>
            <w:shd w:fill="EEF0E8" w:val="clear"/>
            <w:tcMar>
              <w:top w:type="dxa" w:w="80"/>
              <w:left w:type="dxa" w:w="120"/>
              <w:bottom w:type="dxa" w:w="80"/>
              <w:right w:type="dxa" w:w="120"/>
            </w:tcMar>
          </w:tcPr>
          <w:p>
            <w:pPr>
              <w:jc w:val="left"/>
            </w:pPr>
            <w:r>
              <w:rPr>
                <w:b/>
                <w:bCs/>
                <w:caps/>
                <w:color w:val="54635F"/>
                <w:sz w:val="16"/>
                <w:szCs w:val="16"/>
              </w:rPr>
              <w:t xml:space="preserve">Why</w:t>
            </w:r>
          </w:p>
        </w:tc>
      </w:tr>
      <w:tr>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ix_orders_customer_id</w:t>
            </w:r>
          </w:p>
        </w:tc>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orders.customer_id</w:t>
            </w:r>
          </w:p>
        </w:tc>
        <w:tc>
          <w:tcPr>
            <w:tcW w:type="dxa" w:w="3695"/>
            <w:tcMar>
              <w:top w:type="dxa" w:w="80"/>
              <w:left w:type="dxa" w:w="120"/>
              <w:bottom w:type="dxa" w:w="80"/>
              <w:right w:type="dxa" w:w="120"/>
            </w:tcMar>
          </w:tcPr>
          <w:p>
            <w:pPr>
              <w:jc w:val="left"/>
            </w:pPr>
            <w:r>
              <w:rPr>
                <w:b w:val="false"/>
                <w:bCs w:val="false"/>
                <w:caps w:val="false"/>
                <w:color w:val="1E2A2B"/>
                <w:sz w:val="19"/>
                <w:szCs w:val="19"/>
              </w:rPr>
              <w:t xml:space="preserve">Supports the order→customer join used in bi_fact_order</w:t>
            </w:r>
          </w:p>
        </w:tc>
      </w:tr>
      <w:tr>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ix_orders_purchase_date</w:t>
            </w:r>
          </w:p>
        </w:tc>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orders.order_purchase_timestamp</w:t>
            </w:r>
          </w:p>
        </w:tc>
        <w:tc>
          <w:tcPr>
            <w:tcW w:type="dxa" w:w="3695"/>
            <w:tcMar>
              <w:top w:type="dxa" w:w="80"/>
              <w:left w:type="dxa" w:w="120"/>
              <w:bottom w:type="dxa" w:w="80"/>
              <w:right w:type="dxa" w:w="120"/>
            </w:tcMar>
          </w:tcPr>
          <w:p>
            <w:pPr>
              <w:jc w:val="left"/>
            </w:pPr>
            <w:r>
              <w:rPr>
                <w:b w:val="false"/>
                <w:bCs w:val="false"/>
                <w:caps w:val="false"/>
                <w:color w:val="1E2A2B"/>
                <w:sz w:val="19"/>
                <w:szCs w:val="19"/>
              </w:rPr>
              <w:t xml:space="preserve">Supports date filtering, used constantly under DirectQuery</w:t>
            </w:r>
          </w:p>
        </w:tc>
      </w:tr>
      <w:tr>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ix_items_order_id</w:t>
            </w:r>
          </w:p>
        </w:tc>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order_items.order_id</w:t>
            </w:r>
          </w:p>
        </w:tc>
        <w:tc>
          <w:tcPr>
            <w:tcW w:type="dxa" w:w="3695"/>
            <w:tcMar>
              <w:top w:type="dxa" w:w="80"/>
              <w:left w:type="dxa" w:w="120"/>
              <w:bottom w:type="dxa" w:w="80"/>
              <w:right w:type="dxa" w:w="120"/>
            </w:tcMar>
          </w:tcPr>
          <w:p>
            <w:pPr>
              <w:jc w:val="left"/>
            </w:pPr>
            <w:r>
              <w:rPr>
                <w:b w:val="false"/>
                <w:bCs w:val="false"/>
                <w:caps w:val="false"/>
                <w:color w:val="1E2A2B"/>
                <w:sz w:val="19"/>
                <w:szCs w:val="19"/>
              </w:rPr>
              <w:t xml:space="preserve">Supports the item→order join at the core of bi_fact_sales</w:t>
            </w:r>
          </w:p>
        </w:tc>
      </w:tr>
      <w:tr>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ix_items_product_id / _seller_id</w:t>
            </w:r>
          </w:p>
        </w:tc>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order_items.product_id / seller_id</w:t>
            </w:r>
          </w:p>
        </w:tc>
        <w:tc>
          <w:tcPr>
            <w:tcW w:type="dxa" w:w="3695"/>
            <w:tcMar>
              <w:top w:type="dxa" w:w="80"/>
              <w:left w:type="dxa" w:w="120"/>
              <w:bottom w:type="dxa" w:w="80"/>
              <w:right w:type="dxa" w:w="120"/>
            </w:tcMar>
          </w:tcPr>
          <w:p>
            <w:pPr>
              <w:jc w:val="left"/>
            </w:pPr>
            <w:r>
              <w:rPr>
                <w:b w:val="false"/>
                <w:bCs w:val="false"/>
                <w:caps w:val="false"/>
                <w:color w:val="1E2A2B"/>
                <w:sz w:val="19"/>
                <w:szCs w:val="19"/>
              </w:rPr>
              <w:t xml:space="preserve">Supports joins to the product and seller dimensions</w:t>
            </w:r>
          </w:p>
        </w:tc>
      </w:tr>
      <w:tr>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ix_payments_order_id</w:t>
            </w:r>
          </w:p>
        </w:tc>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payments.order_id</w:t>
            </w:r>
          </w:p>
        </w:tc>
        <w:tc>
          <w:tcPr>
            <w:tcW w:type="dxa" w:w="3695"/>
            <w:tcMar>
              <w:top w:type="dxa" w:w="80"/>
              <w:left w:type="dxa" w:w="120"/>
              <w:bottom w:type="dxa" w:w="80"/>
              <w:right w:type="dxa" w:w="120"/>
            </w:tcMar>
          </w:tcPr>
          <w:p>
            <w:pPr>
              <w:jc w:val="left"/>
            </w:pPr>
            <w:r>
              <w:rPr>
                <w:b w:val="false"/>
                <w:bCs w:val="false"/>
                <w:caps w:val="false"/>
                <w:color w:val="1E2A2B"/>
                <w:sz w:val="19"/>
                <w:szCs w:val="19"/>
              </w:rPr>
              <w:t xml:space="preserve">Supports the payment aggregation join</w:t>
            </w:r>
          </w:p>
        </w:tc>
      </w:tr>
      <w:tr>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ix_reviews_order_id</w:t>
            </w:r>
          </w:p>
        </w:tc>
        <w:tc>
          <w:tcPr>
            <w:tcW w:type="dxa" w:w="2833"/>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reviews.order_id</w:t>
            </w:r>
          </w:p>
        </w:tc>
        <w:tc>
          <w:tcPr>
            <w:tcW w:type="dxa" w:w="3695"/>
            <w:tcMar>
              <w:top w:type="dxa" w:w="80"/>
              <w:left w:type="dxa" w:w="120"/>
              <w:bottom w:type="dxa" w:w="80"/>
              <w:right w:type="dxa" w:w="120"/>
            </w:tcMar>
          </w:tcPr>
          <w:p>
            <w:pPr>
              <w:jc w:val="left"/>
            </w:pPr>
            <w:r>
              <w:rPr>
                <w:b w:val="false"/>
                <w:bCs w:val="false"/>
                <w:caps w:val="false"/>
                <w:color w:val="1E2A2B"/>
                <w:sz w:val="19"/>
                <w:szCs w:val="19"/>
              </w:rPr>
              <w:t xml:space="preserve">Supports the review deduplication join</w:t>
            </w:r>
          </w:p>
        </w:tc>
      </w:tr>
    </w:tbl>
    <w:p>
      <w:pPr>
        <w:spacing w:after="120"/>
      </w:pPr>
    </w:p>
    <w:p>
      <w:pPr>
        <w:pStyle w:val="Heading2"/>
        <w:spacing w:after="140" w:before="320"/>
      </w:pPr>
      <w:r>
        <w:t xml:space="preserve">5.2 The reporting views — logic and rationale</w:t>
      </w:r>
    </w:p>
    <w:p>
      <w:pPr>
        <w:spacing w:after="160"/>
      </w:pPr>
      <w:r>
        <w:rPr>
          <w:color w:val="1E2A2B"/>
          <w:sz w:val="22"/>
          <w:szCs w:val="22"/>
        </w:rPr>
        <w:t xml:space="preserve">Five views transform the raw tables into the single table the dashboard actually queries. Each one solves a specific problem present in the raw data.</w:t>
      </w:r>
    </w:p>
    <w:p>
      <w:pPr>
        <w:pStyle w:val="Heading3"/>
        <w:spacing w:after="100" w:before="220"/>
      </w:pPr>
      <w:r>
        <w:t xml:space="preserve">bi_dim_product — category translation and physical volume</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CREATE OR REPLACE VIEW bi_dim_product AS</w:t>
      </w:r>
      <w:r>
        <w:rPr>
          <w:rFonts w:ascii="Consolas" w:cs="Consolas" w:eastAsia="Consolas" w:hAnsi="Consolas"/>
          <w:color w:val="2C3B34"/>
          <w:sz w:val="18"/>
          <w:szCs w:val="18"/>
        </w:rPr>
        <w:br/>
        <w:t xml:space="preserve">SELECT p.product_id,</w:t>
      </w:r>
      <w:r>
        <w:rPr>
          <w:rFonts w:ascii="Consolas" w:cs="Consolas" w:eastAsia="Consolas" w:hAnsi="Consolas"/>
          <w:color w:val="2C3B34"/>
          <w:sz w:val="18"/>
          <w:szCs w:val="18"/>
        </w:rPr>
        <w:br/>
        <w:t xml:space="preserve">  COALESCE(t.product_category_name_english, p.product_category_name) AS category,</w:t>
      </w:r>
      <w:r>
        <w:rPr>
          <w:rFonts w:ascii="Consolas" w:cs="Consolas" w:eastAsia="Consolas" w:hAnsi="Consolas"/>
          <w:color w:val="2C3B34"/>
          <w:sz w:val="18"/>
          <w:szCs w:val="18"/>
        </w:rPr>
        <w:br/>
        <w:t xml:space="preserve">  p.product_weight_g, p.product_length_cm, p.product_height_cm, p.product_width_cm,</w:t>
      </w:r>
      <w:r>
        <w:rPr>
          <w:rFonts w:ascii="Consolas" w:cs="Consolas" w:eastAsia="Consolas" w:hAnsi="Consolas"/>
          <w:color w:val="2C3B34"/>
          <w:sz w:val="18"/>
          <w:szCs w:val="18"/>
        </w:rPr>
        <w:br/>
        <w:t xml:space="preserve">  (p.product_length_cm * p.product_height_cm * p.product_width_cm) AS volume_cm3</w:t>
      </w:r>
      <w:r>
        <w:rPr>
          <w:rFonts w:ascii="Consolas" w:cs="Consolas" w:eastAsia="Consolas" w:hAnsi="Consolas"/>
          <w:color w:val="2C3B34"/>
          <w:sz w:val="18"/>
          <w:szCs w:val="18"/>
        </w:rPr>
        <w:br/>
        <w:t xml:space="preserve">FROM olist_products_dataset p</w:t>
      </w:r>
      <w:r>
        <w:rPr>
          <w:rFonts w:ascii="Consolas" w:cs="Consolas" w:eastAsia="Consolas" w:hAnsi="Consolas"/>
          <w:color w:val="2C3B34"/>
          <w:sz w:val="18"/>
          <w:szCs w:val="18"/>
        </w:rPr>
        <w:br/>
        <w:t xml:space="preserve">LEFT JOIN product_category_name_translation t</w:t>
      </w:r>
      <w:r>
        <w:rPr>
          <w:rFonts w:ascii="Consolas" w:cs="Consolas" w:eastAsia="Consolas" w:hAnsi="Consolas"/>
          <w:color w:val="2C3B34"/>
          <w:sz w:val="18"/>
          <w:szCs w:val="18"/>
        </w:rPr>
        <w:br/>
        <w:t xml:space="preserve">  ON t.product_category_name = p.product_category_name;</w:t>
      </w:r>
    </w:p>
    <w:p>
      <w:pPr>
        <w:spacing w:after="160"/>
      </w:pPr>
      <w:r>
        <w:rPr>
          <w:color w:val="1E2A2B"/>
          <w:sz w:val="22"/>
          <w:szCs w:val="22"/>
        </w:rPr>
        <w:t xml:space="preserve">The category names in the raw product table are in Portuguese; this view translates them to English via a LEFT JOIN (not an inner join) to the translation table, and COALESCE falls back to the original Portuguese name whenever no translation exists — rather than producing a blank category. This matters because 610 of 32,951 products have no category assigned at all; COALESCE against a null translation still returns null gracefully rather than erroring, so those rows appear as blank/uncategorized in visuals rather than being silently dropped.</w:t>
      </w:r>
    </w:p>
    <w:p>
      <w:pPr>
        <w:pStyle w:val="Heading3"/>
        <w:spacing w:after="100" w:before="220"/>
      </w:pPr>
      <w:r>
        <w:t xml:space="preserve">bi_fact_review_latest — deduplicating reviews</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CREATE OR REPLACE VIEW bi_fact_review_latest AS</w:t>
      </w:r>
      <w:r>
        <w:rPr>
          <w:rFonts w:ascii="Consolas" w:cs="Consolas" w:eastAsia="Consolas" w:hAnsi="Consolas"/>
          <w:color w:val="2C3B34"/>
          <w:sz w:val="18"/>
          <w:szCs w:val="18"/>
        </w:rPr>
        <w:br/>
        <w:t xml:space="preserve">SELECT DISTINCT ON (r.order_id)</w:t>
      </w:r>
      <w:r>
        <w:rPr>
          <w:rFonts w:ascii="Consolas" w:cs="Consolas" w:eastAsia="Consolas" w:hAnsi="Consolas"/>
          <w:color w:val="2C3B34"/>
          <w:sz w:val="18"/>
          <w:szCs w:val="18"/>
        </w:rPr>
        <w:br/>
        <w:t xml:space="preserve">  r.order_id, r.review_score, r.review_creation_date, r.review_answer_timestamp</w:t>
      </w:r>
      <w:r>
        <w:rPr>
          <w:rFonts w:ascii="Consolas" w:cs="Consolas" w:eastAsia="Consolas" w:hAnsi="Consolas"/>
          <w:color w:val="2C3B34"/>
          <w:sz w:val="18"/>
          <w:szCs w:val="18"/>
        </w:rPr>
        <w:br/>
        <w:t xml:space="preserve">FROM olist_order_reviews_dataset r</w:t>
      </w:r>
      <w:r>
        <w:rPr>
          <w:rFonts w:ascii="Consolas" w:cs="Consolas" w:eastAsia="Consolas" w:hAnsi="Consolas"/>
          <w:color w:val="2C3B34"/>
          <w:sz w:val="18"/>
          <w:szCs w:val="18"/>
        </w:rPr>
        <w:br/>
        <w:t xml:space="preserve">ORDER BY r.order_id, r.review_creation_date DESC NULLS LAST;</w:t>
      </w:r>
    </w:p>
    <w:p>
      <w:pPr>
        <w:spacing w:after="160"/>
      </w:pPr>
      <w:r>
        <w:rPr>
          <w:color w:val="1E2A2B"/>
          <w:sz w:val="22"/>
          <w:szCs w:val="22"/>
        </w:rPr>
        <w:t xml:space="preserve">551 orders in the raw reviews table have more than one review record. Joining directly against the raw reviews table would fan out those 551 orders into duplicate rows downstream, inflating order and revenue counts for exactly those orders. PostgreSQL's DISTINCT ON (order_id), combined with ORDER BY order_id, review_creation_date DESC, keeps exactly one row per order — the most recently created review — discarding the rest. This is a Postgres-specific construct worth being able to explain: DISTINCT ON keeps the first row per group after sorting, so the sort order inside the same query determines which row survives.</w:t>
      </w:r>
    </w:p>
    <w:p>
      <w:pPr>
        <w:pStyle w:val="Heading3"/>
        <w:spacing w:after="100" w:before="220"/>
      </w:pPr>
      <w:r>
        <w:t xml:space="preserve">bi_fact_order — order-grain metrics with correct null handling</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CREATE OR REPLACE VIEW bi_fact_order AS</w:t>
      </w:r>
      <w:r>
        <w:rPr>
          <w:rFonts w:ascii="Consolas" w:cs="Consolas" w:eastAsia="Consolas" w:hAnsi="Consolas"/>
          <w:color w:val="2C3B34"/>
          <w:sz w:val="18"/>
          <w:szCs w:val="18"/>
        </w:rPr>
        <w:br/>
        <w:t xml:space="preserve">SELECT o.order_id, o.customer_id, o.order_status,</w:t>
      </w:r>
      <w:r>
        <w:rPr>
          <w:rFonts w:ascii="Consolas" w:cs="Consolas" w:eastAsia="Consolas" w:hAnsi="Consolas"/>
          <w:color w:val="2C3B34"/>
          <w:sz w:val="18"/>
          <w:szCs w:val="18"/>
        </w:rPr>
        <w:br/>
        <w:t xml:space="preserve">  o.order_purchase_timestamp::date AS purchase_date,</w:t>
      </w:r>
      <w:r>
        <w:rPr>
          <w:rFonts w:ascii="Consolas" w:cs="Consolas" w:eastAsia="Consolas" w:hAnsi="Consolas"/>
          <w:color w:val="2C3B34"/>
          <w:sz w:val="18"/>
          <w:szCs w:val="18"/>
        </w:rPr>
        <w:br/>
        <w:t xml:space="preserve">  date_trunc('month', o.order_purchase_timestamp)::date AS purchase_month,</w:t>
      </w:r>
      <w:r>
        <w:rPr>
          <w:rFonts w:ascii="Consolas" w:cs="Consolas" w:eastAsia="Consolas" w:hAnsi="Consolas"/>
          <w:color w:val="2C3B34"/>
          <w:sz w:val="18"/>
          <w:szCs w:val="18"/>
        </w:rPr>
        <w:br/>
        <w:t xml:space="preserve">  o.order_delivered_customer_date::date AS delivered_date,</w:t>
      </w:r>
      <w:r>
        <w:rPr>
          <w:rFonts w:ascii="Consolas" w:cs="Consolas" w:eastAsia="Consolas" w:hAnsi="Consolas"/>
          <w:color w:val="2C3B34"/>
          <w:sz w:val="18"/>
          <w:szCs w:val="18"/>
        </w:rPr>
        <w:br/>
        <w:t xml:space="preserve">  o.order_estimated_delivery_date::date AS estimated_date,</w:t>
      </w:r>
      <w:r>
        <w:rPr>
          <w:rFonts w:ascii="Consolas" w:cs="Consolas" w:eastAsia="Consolas" w:hAnsi="Consolas"/>
          <w:color w:val="2C3B34"/>
          <w:sz w:val="18"/>
          <w:szCs w:val="18"/>
        </w:rPr>
        <w:br/>
        <w:t xml:space="preserve">  CASE WHEN o.order_status = 'delivered'</w:t>
      </w:r>
      <w:r>
        <w:rPr>
          <w:rFonts w:ascii="Consolas" w:cs="Consolas" w:eastAsia="Consolas" w:hAnsi="Consolas"/>
          <w:color w:val="2C3B34"/>
          <w:sz w:val="18"/>
          <w:szCs w:val="18"/>
        </w:rPr>
        <w:br/>
        <w:t xml:space="preserve">        AND o.order_delivered_customer_date IS NOT NULL</w:t>
      </w:r>
      <w:r>
        <w:rPr>
          <w:rFonts w:ascii="Consolas" w:cs="Consolas" w:eastAsia="Consolas" w:hAnsi="Consolas"/>
          <w:color w:val="2C3B34"/>
          <w:sz w:val="18"/>
          <w:szCs w:val="18"/>
        </w:rPr>
        <w:br/>
        <w:t xml:space="preserve">       THEN (o.order_delivered_customer_date::date - o.order_purchase_timestamp::date)</w:t>
      </w:r>
      <w:r>
        <w:rPr>
          <w:rFonts w:ascii="Consolas" w:cs="Consolas" w:eastAsia="Consolas" w:hAnsi="Consolas"/>
          <w:color w:val="2C3B34"/>
          <w:sz w:val="18"/>
          <w:szCs w:val="18"/>
        </w:rPr>
        <w:br/>
        <w:t xml:space="preserve">       ELSE NULL END AS delivery_days,</w:t>
      </w:r>
      <w:r>
        <w:rPr>
          <w:rFonts w:ascii="Consolas" w:cs="Consolas" w:eastAsia="Consolas" w:hAnsi="Consolas"/>
          <w:color w:val="2C3B34"/>
          <w:sz w:val="18"/>
          <w:szCs w:val="18"/>
        </w:rPr>
        <w:br/>
        <w:t xml:space="preserve">  CASE WHEN o.order_status = 'delivered'</w:t>
      </w:r>
      <w:r>
        <w:rPr>
          <w:rFonts w:ascii="Consolas" w:cs="Consolas" w:eastAsia="Consolas" w:hAnsi="Consolas"/>
          <w:color w:val="2C3B34"/>
          <w:sz w:val="18"/>
          <w:szCs w:val="18"/>
        </w:rPr>
        <w:br/>
        <w:t xml:space="preserve">        AND o.order_delivered_customer_date IS NOT NULL</w:t>
      </w:r>
      <w:r>
        <w:rPr>
          <w:rFonts w:ascii="Consolas" w:cs="Consolas" w:eastAsia="Consolas" w:hAnsi="Consolas"/>
          <w:color w:val="2C3B34"/>
          <w:sz w:val="18"/>
          <w:szCs w:val="18"/>
        </w:rPr>
        <w:br/>
        <w:t xml:space="preserve">        AND o.order_delivered_customer_date::date &gt; o.order_estimated_delivery_date::date</w:t>
      </w:r>
      <w:r>
        <w:rPr>
          <w:rFonts w:ascii="Consolas" w:cs="Consolas" w:eastAsia="Consolas" w:hAnsi="Consolas"/>
          <w:color w:val="2C3B34"/>
          <w:sz w:val="18"/>
          <w:szCs w:val="18"/>
        </w:rPr>
        <w:br/>
        <w:t xml:space="preserve">       THEN 1 ELSE 0 END AS is_late,</w:t>
      </w:r>
      <w:r>
        <w:rPr>
          <w:rFonts w:ascii="Consolas" w:cs="Consolas" w:eastAsia="Consolas" w:hAnsi="Consolas"/>
          <w:color w:val="2C3B34"/>
          <w:sz w:val="18"/>
          <w:szCs w:val="18"/>
        </w:rPr>
        <w:br/>
        <w:t xml:space="preserve">  c.customer_unique_id, c.customer_city, c.customer_state</w:t>
      </w:r>
      <w:r>
        <w:rPr>
          <w:rFonts w:ascii="Consolas" w:cs="Consolas" w:eastAsia="Consolas" w:hAnsi="Consolas"/>
          <w:color w:val="2C3B34"/>
          <w:sz w:val="18"/>
          <w:szCs w:val="18"/>
        </w:rPr>
        <w:br/>
        <w:t xml:space="preserve">FROM olist_orders_dataset o</w:t>
      </w:r>
      <w:r>
        <w:rPr>
          <w:rFonts w:ascii="Consolas" w:cs="Consolas" w:eastAsia="Consolas" w:hAnsi="Consolas"/>
          <w:color w:val="2C3B34"/>
          <w:sz w:val="18"/>
          <w:szCs w:val="18"/>
        </w:rPr>
        <w:br/>
        <w:t xml:space="preserve">JOIN olist_customers_dataset c ON c.customer_id = o.customer_id;</w:t>
      </w:r>
    </w:p>
    <w:p>
      <w:pPr>
        <w:spacing w:after="160"/>
      </w:pPr>
      <w:r>
        <w:rPr>
          <w:color w:val="1E2A2B"/>
          <w:sz w:val="22"/>
          <w:szCs w:val="22"/>
        </w:rPr>
        <w:t xml:space="preserve">Two design decisions here are worth being able to defend directly. First, delivery_days and is_late are explicitly set to NULL — never 0 — for any order that was never delivered. A cancelled or still-in-transit order has no meaningful delivery duration, and treating it as 0 days would corrupt the Avg Delivery Days measure by dragging the average down with fake zero values. Second, the join to customers is an INNER JOIN rather than a LEFT JOIN — this is safe specifically because the referential integrity check in Section 3 already confirmed every order's customer_id exists in the customers table, so an inner join here cannot silently drop any order.</w:t>
      </w:r>
    </w:p>
    <w:p>
      <w:pPr>
        <w:pStyle w:val="Heading3"/>
        <w:spacing w:after="100" w:before="220"/>
      </w:pPr>
      <w:r>
        <w:t xml:space="preserve">bi_fact_sales — the reporting fact table</w:t>
      </w:r>
    </w:p>
    <w:p>
      <w:pPr>
        <w:spacing w:after="160"/>
      </w:pPr>
      <w:r>
        <w:rPr>
          <w:color w:val="1E2A2B"/>
          <w:sz w:val="22"/>
          <w:szCs w:val="22"/>
        </w:rPr>
        <w:t xml:space="preserve">This is the view Power BI actually connects to. It starts from order_items (the item-level grain the business questions require, since revenue and product-level analysis need to happen at the line-item level) and left-joins in everything else: the order-level fields from bi_fact_order, the translated category from bi_dim_product, the deduplicated review from bi_fact_review_latest, the raw payment record, and the seller's location. LEFT JOIN is used for every one of these secondary joins rather than INNER JOIN, so that an order item is never dropped from the report simply because it has no review yet, or because a payment record hasn't matched — a missing review should show as a blank rating on that row, not delete the row's revenue from the total.</w:t>
      </w:r>
    </w:p>
    <w:p>
      <w:pPr>
        <w:pStyle w:val="Heading3"/>
        <w:spacing w:after="100" w:before="220"/>
      </w:pPr>
      <w:r>
        <w:t xml:space="preserve">bi_payments_order — collapsing multi-installment payments to one row per order</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CREATE OR REPLACE VIEW bi_payments_order AS</w:t>
      </w:r>
      <w:r>
        <w:rPr>
          <w:rFonts w:ascii="Consolas" w:cs="Consolas" w:eastAsia="Consolas" w:hAnsi="Consolas"/>
          <w:color w:val="2C3B34"/>
          <w:sz w:val="18"/>
          <w:szCs w:val="18"/>
        </w:rPr>
        <w:br/>
        <w:t xml:space="preserve">SELECT op.order_id,</w:t>
      </w:r>
      <w:r>
        <w:rPr>
          <w:rFonts w:ascii="Consolas" w:cs="Consolas" w:eastAsia="Consolas" w:hAnsi="Consolas"/>
          <w:color w:val="2C3B34"/>
          <w:sz w:val="18"/>
          <w:szCs w:val="18"/>
        </w:rPr>
        <w:br/>
        <w:t xml:space="preserve">  SUM(op.payment_value) AS order_payment_value,</w:t>
      </w:r>
      <w:r>
        <w:rPr>
          <w:rFonts w:ascii="Consolas" w:cs="Consolas" w:eastAsia="Consolas" w:hAnsi="Consolas"/>
          <w:color w:val="2C3B34"/>
          <w:sz w:val="18"/>
          <w:szCs w:val="18"/>
        </w:rPr>
        <w:br/>
        <w:t xml:space="preserve">  MAX(op.payment_installments) AS order_payment_installments,</w:t>
      </w:r>
      <w:r>
        <w:rPr>
          <w:rFonts w:ascii="Consolas" w:cs="Consolas" w:eastAsia="Consolas" w:hAnsi="Consolas"/>
          <w:color w:val="2C3B34"/>
          <w:sz w:val="18"/>
          <w:szCs w:val="18"/>
        </w:rPr>
        <w:br/>
        <w:t xml:space="preserve">  (ARRAY_AGG(op.payment_type ORDER BY op.payment_value DESC NULLS LAST))[1] AS order_payment_type</w:t>
      </w:r>
      <w:r>
        <w:rPr>
          <w:rFonts w:ascii="Consolas" w:cs="Consolas" w:eastAsia="Consolas" w:hAnsi="Consolas"/>
          <w:color w:val="2C3B34"/>
          <w:sz w:val="18"/>
          <w:szCs w:val="18"/>
        </w:rPr>
        <w:br/>
        <w:t xml:space="preserve">FROM olist_order_payments_dataset op</w:t>
      </w:r>
      <w:r>
        <w:rPr>
          <w:rFonts w:ascii="Consolas" w:cs="Consolas" w:eastAsia="Consolas" w:hAnsi="Consolas"/>
          <w:color w:val="2C3B34"/>
          <w:sz w:val="18"/>
          <w:szCs w:val="18"/>
        </w:rPr>
        <w:br/>
        <w:t xml:space="preserve">GROUP BY op.order_id;</w:t>
      </w:r>
    </w:p>
    <w:p>
      <w:pPr>
        <w:spacing w:after="160"/>
      </w:pPr>
      <w:r>
        <w:rPr>
          <w:color w:val="1E2A2B"/>
          <w:sz w:val="22"/>
          <w:szCs w:val="22"/>
        </w:rPr>
        <w:t xml:space="preserve">An order paid across two methods (say, a voucher plus a credit card) produces two rows in the raw payments table. This view collapses those back to one row per order, summing the total value, and — for the case where more than one payment_type appears on the same order — using ARRAY_AGG ordered by payment value descending and taking the first element to pick the dominant (highest-value) payment method as the order's representative payment type, rather than arbitrarily picking whichever row happened to load first.</w:t>
      </w:r>
    </w:p>
    <w:p>
      <w:pPr>
        <w:pStyle w:val="Heading1"/>
        <w:spacing w:after="200" w:before="420"/>
      </w:pPr>
      <w:r>
        <w:t xml:space="preserve">6. Power BI Data Model</w:t>
      </w:r>
    </w:p>
    <w:p>
      <w:pPr>
        <w:spacing w:after="160"/>
      </w:pPr>
      <w:r>
        <w:rPr>
          <w:color w:val="1E2A2B"/>
          <w:sz w:val="22"/>
          <w:szCs w:val="22"/>
        </w:rPr>
        <w:t xml:space="preserve">The model contains exactly two tables: bi_fact_sales (DirectQuery) and DimDate (Import, DAX calculated table). One relationship connects them.</w:t>
      </w:r>
    </w:p>
    <w:tbl>
      <w:tblPr>
        <w:tblW w:type="dxa" w:w="9360"/>
        <w:tblBorders>
          <w:top w:val="single" w:color="DEDAD0" w:sz="4"/>
          <w:left w:val="single" w:color="DEDAD0" w:sz="4"/>
          <w:bottom w:val="single" w:color="DEDAD0" w:sz="4"/>
          <w:right w:val="single" w:color="DEDAD0" w:sz="4"/>
          <w:insideH w:val="single" w:color="EAE7DD" w:sz="2"/>
          <w:insideV w:val="single" w:color="EAE7DD" w:sz="2"/>
        </w:tblBorders>
      </w:tblPr>
      <w:tblGrid>
        <w:gridCol w:w="3228"/>
        <w:gridCol w:w="2152"/>
        <w:gridCol w:w="1614"/>
        <w:gridCol w:w="1291"/>
        <w:gridCol w:w="1076"/>
      </w:tblGrid>
      <w:tr>
        <w:tc>
          <w:tcPr>
            <w:tcW w:type="dxa" w:w="3228"/>
            <w:shd w:fill="EEF0E8" w:val="clear"/>
            <w:tcMar>
              <w:top w:type="dxa" w:w="80"/>
              <w:left w:type="dxa" w:w="120"/>
              <w:bottom w:type="dxa" w:w="80"/>
              <w:right w:type="dxa" w:w="120"/>
            </w:tcMar>
          </w:tcPr>
          <w:p>
            <w:pPr>
              <w:jc w:val="left"/>
            </w:pPr>
            <w:r>
              <w:rPr>
                <w:b/>
                <w:bCs/>
                <w:caps/>
                <w:color w:val="54635F"/>
                <w:sz w:val="16"/>
                <w:szCs w:val="16"/>
              </w:rPr>
              <w:t xml:space="preserve">From</w:t>
            </w:r>
          </w:p>
        </w:tc>
        <w:tc>
          <w:tcPr>
            <w:tcW w:type="dxa" w:w="2152"/>
            <w:shd w:fill="EEF0E8" w:val="clear"/>
            <w:tcMar>
              <w:top w:type="dxa" w:w="80"/>
              <w:left w:type="dxa" w:w="120"/>
              <w:bottom w:type="dxa" w:w="80"/>
              <w:right w:type="dxa" w:w="120"/>
            </w:tcMar>
          </w:tcPr>
          <w:p>
            <w:pPr>
              <w:jc w:val="left"/>
            </w:pPr>
            <w:r>
              <w:rPr>
                <w:b/>
                <w:bCs/>
                <w:caps/>
                <w:color w:val="54635F"/>
                <w:sz w:val="16"/>
                <w:szCs w:val="16"/>
              </w:rPr>
              <w:t xml:space="preserve">To</w:t>
            </w:r>
          </w:p>
        </w:tc>
        <w:tc>
          <w:tcPr>
            <w:tcW w:type="dxa" w:w="1614"/>
            <w:shd w:fill="EEF0E8" w:val="clear"/>
            <w:tcMar>
              <w:top w:type="dxa" w:w="80"/>
              <w:left w:type="dxa" w:w="120"/>
              <w:bottom w:type="dxa" w:w="80"/>
              <w:right w:type="dxa" w:w="120"/>
            </w:tcMar>
          </w:tcPr>
          <w:p>
            <w:pPr>
              <w:jc w:val="left"/>
            </w:pPr>
            <w:r>
              <w:rPr>
                <w:b/>
                <w:bCs/>
                <w:caps/>
                <w:color w:val="54635F"/>
                <w:sz w:val="16"/>
                <w:szCs w:val="16"/>
              </w:rPr>
              <w:t xml:space="preserve">Cardinality</w:t>
            </w:r>
          </w:p>
        </w:tc>
        <w:tc>
          <w:tcPr>
            <w:tcW w:type="dxa" w:w="1291"/>
            <w:shd w:fill="EEF0E8" w:val="clear"/>
            <w:tcMar>
              <w:top w:type="dxa" w:w="80"/>
              <w:left w:type="dxa" w:w="120"/>
              <w:bottom w:type="dxa" w:w="80"/>
              <w:right w:type="dxa" w:w="120"/>
            </w:tcMar>
          </w:tcPr>
          <w:p>
            <w:pPr>
              <w:jc w:val="left"/>
            </w:pPr>
            <w:r>
              <w:rPr>
                <w:b/>
                <w:bCs/>
                <w:caps/>
                <w:color w:val="54635F"/>
                <w:sz w:val="16"/>
                <w:szCs w:val="16"/>
              </w:rPr>
              <w:t xml:space="preserve">Cross-filter</w:t>
            </w:r>
          </w:p>
        </w:tc>
        <w:tc>
          <w:tcPr>
            <w:tcW w:type="dxa" w:w="1076"/>
            <w:shd w:fill="EEF0E8" w:val="clear"/>
            <w:tcMar>
              <w:top w:type="dxa" w:w="80"/>
              <w:left w:type="dxa" w:w="120"/>
              <w:bottom w:type="dxa" w:w="80"/>
              <w:right w:type="dxa" w:w="120"/>
            </w:tcMar>
          </w:tcPr>
          <w:p>
            <w:pPr>
              <w:jc w:val="left"/>
            </w:pPr>
            <w:r>
              <w:rPr>
                <w:b/>
                <w:bCs/>
                <w:caps/>
                <w:color w:val="54635F"/>
                <w:sz w:val="16"/>
                <w:szCs w:val="16"/>
              </w:rPr>
              <w:t xml:space="preserve">Active</w:t>
            </w:r>
          </w:p>
        </w:tc>
      </w:tr>
      <w:tr>
        <w:tc>
          <w:tcPr>
            <w:tcW w:type="dxa" w:w="3228"/>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bi_fact_sales[purchase_date]</w:t>
            </w:r>
          </w:p>
        </w:tc>
        <w:tc>
          <w:tcPr>
            <w:tcW w:type="dxa" w:w="2152"/>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DimDate[Date]</w:t>
            </w:r>
          </w:p>
        </w:tc>
        <w:tc>
          <w:tcPr>
            <w:tcW w:type="dxa" w:w="1614"/>
            <w:tcMar>
              <w:top w:type="dxa" w:w="80"/>
              <w:left w:type="dxa" w:w="120"/>
              <w:bottom w:type="dxa" w:w="80"/>
              <w:right w:type="dxa" w:w="120"/>
            </w:tcMar>
          </w:tcPr>
          <w:p>
            <w:pPr>
              <w:jc w:val="left"/>
            </w:pPr>
            <w:r>
              <w:rPr>
                <w:b w:val="false"/>
                <w:bCs w:val="false"/>
                <w:caps w:val="false"/>
                <w:color w:val="1E2A2B"/>
                <w:sz w:val="19"/>
                <w:szCs w:val="19"/>
              </w:rPr>
              <w:t xml:space="preserve">Many-to-one</w:t>
            </w:r>
          </w:p>
        </w:tc>
        <w:tc>
          <w:tcPr>
            <w:tcW w:type="dxa" w:w="1291"/>
            <w:tcMar>
              <w:top w:type="dxa" w:w="80"/>
              <w:left w:type="dxa" w:w="120"/>
              <w:bottom w:type="dxa" w:w="80"/>
              <w:right w:type="dxa" w:w="120"/>
            </w:tcMar>
          </w:tcPr>
          <w:p>
            <w:pPr>
              <w:jc w:val="left"/>
            </w:pPr>
            <w:r>
              <w:rPr>
                <w:b w:val="false"/>
                <w:bCs w:val="false"/>
                <w:caps w:val="false"/>
                <w:color w:val="1E2A2B"/>
                <w:sz w:val="19"/>
                <w:szCs w:val="19"/>
              </w:rPr>
              <w:t xml:space="preserve">Single</w:t>
            </w:r>
          </w:p>
        </w:tc>
        <w:tc>
          <w:tcPr>
            <w:tcW w:type="dxa" w:w="1076"/>
            <w:tcMar>
              <w:top w:type="dxa" w:w="80"/>
              <w:left w:type="dxa" w:w="120"/>
              <w:bottom w:type="dxa" w:w="80"/>
              <w:right w:type="dxa" w:w="120"/>
            </w:tcMar>
          </w:tcPr>
          <w:p>
            <w:pPr>
              <w:jc w:val="left"/>
            </w:pPr>
            <w:r>
              <w:rPr>
                <w:b/>
                <w:bCs/>
                <w:caps w:val="false"/>
                <w:color w:val="2E6B45"/>
                <w:sz w:val="19"/>
                <w:szCs w:val="19"/>
              </w:rPr>
              <w:t xml:space="preserve">Yes</w:t>
            </w:r>
          </w:p>
        </w:tc>
      </w:tr>
    </w:tbl>
    <w:p>
      <w:pPr>
        <w:spacing w:after="120"/>
      </w:pPr>
    </w:p>
    <w:p>
      <w:pPr>
        <w:pStyle w:val="Heading3"/>
        <w:spacing w:after="100" w:before="220"/>
      </w:pPr>
      <w:r>
        <w:t xml:space="preserve">Why 'Mark as Date Table' is not optional</w:t>
      </w:r>
    </w:p>
    <w:p>
      <w:pPr>
        <w:spacing w:after="160"/>
      </w:pPr>
      <w:r>
        <w:rPr>
          <w:color w:val="1E2A2B"/>
          <w:sz w:val="22"/>
          <w:szCs w:val="22"/>
        </w:rPr>
        <w:t xml:space="preserve">Time-intelligence DAX functions — TOTALYTD, SAMEPERIODLASTYEAR, DATESINPERIOD — do not work by inspecting arbitrary date columns; they require a table explicitly flagged to Power BI's engine as a date table, with one row per calendar day and no gaps. Marking DimDate this way is what allows the engine to correctly compute things like 'the same period last year' by walking the calendar rather than guessing. Without this flag, those functions can silently return incorrect or blank results even when the relationship itself is correctly built.</w:t>
      </w:r>
    </w:p>
    <w:p>
      <w:pPr>
        <w:pStyle w:val="Heading3"/>
        <w:spacing w:after="100" w:before="220"/>
      </w:pPr>
      <w:r>
        <w:t xml:space="preserve">Why the Month column needed an explicit sort-by-column</w:t>
      </w:r>
    </w:p>
    <w:p>
      <w:pPr>
        <w:spacing w:after="160"/>
      </w:pPr>
      <w:r>
        <w:rPr>
          <w:color w:val="1E2A2B"/>
          <w:sz w:val="22"/>
          <w:szCs w:val="22"/>
        </w:rPr>
        <w:t xml:space="preserve">DimDate[Month] stores calendar-month names as text ('Jan', 'Feb', ...). Text columns sort alphabetically by default, which is not calendar order. Setting Month's Sort By Column property to Month No (a plain integer 1–12) tells every visual that groups by Month to display Jan→Dec regardless of the fact that the underlying values are text. This is a common, easy-to-miss Power BI modeling detail, and its absence was one of the defects found and corrected during this project (see Section 10).</w:t>
      </w:r>
    </w:p>
    <w:p>
      <w:pPr>
        <w:pStyle w:val="Heading3"/>
        <w:spacing w:after="100" w:before="220"/>
      </w:pPr>
      <w:r>
        <w:t xml:space="preserve">Why this is a single wide fact table rather than a conventional star schema</w:t>
      </w:r>
    </w:p>
    <w:p>
      <w:pPr>
        <w:spacing w:after="160"/>
      </w:pPr>
      <w:r>
        <w:rPr>
          <w:color w:val="1E2A2B"/>
          <w:sz w:val="22"/>
          <w:szCs w:val="22"/>
        </w:rPr>
        <w:t xml:space="preserve">A textbook star schema would split category, customer geography, and seller geography into separate dimension tables related to a slim fact table. This project instead keeps everything in one wide bi_fact_sales view. That is a legitimate simplification for a dataset and model of this size — it avoids managing several additional relationships for a report with no requirement for row-level security or reusable shared dimensions — but it is also a real, explainable tradeoff: every dimension attribute (city, category, seller_id) is repeated on every one of the 112,650 fact rows rather than living once in a lookup table, which increases the amount of data DirectQuery has to scan on every visual interaction. In an interview, this is worth naming proactively as a scaling limitation rather than waiting to be asked.</w:t>
      </w:r>
    </w:p>
    <w:p>
      <w:pPr>
        <w:pStyle w:val="Heading1"/>
        <w:spacing w:after="200" w:before="420"/>
      </w:pPr>
      <w:r>
        <w:t xml:space="preserve">7. DAX Measure Reference</w:t>
      </w:r>
    </w:p>
    <w:p>
      <w:pPr>
        <w:spacing w:after="160"/>
      </w:pPr>
      <w:r>
        <w:rPr>
          <w:color w:val="1E2A2B"/>
          <w:sz w:val="22"/>
          <w:szCs w:val="22"/>
        </w:rPr>
        <w:t xml:space="preserve">Twenty-five measures are defined, grouped below by purpose. Each includes the formula and the reasoning behind how it is written, not just what it returns.</w:t>
      </w:r>
    </w:p>
    <w:p>
      <w:pPr>
        <w:pStyle w:val="Heading2"/>
        <w:spacing w:after="140" w:before="320"/>
      </w:pPr>
      <w:r>
        <w:t xml:space="preserve">7.1 Base measures</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Revenue := SUM ( bi_fact_sales[price] )</w:t>
      </w:r>
      <w:r>
        <w:rPr>
          <w:rFonts w:ascii="Consolas" w:cs="Consolas" w:eastAsia="Consolas" w:hAnsi="Consolas"/>
          <w:color w:val="2C3B34"/>
          <w:sz w:val="18"/>
          <w:szCs w:val="18"/>
        </w:rPr>
        <w:br/>
        <w:t xml:space="preserve">Freight := SUM ( bi_fact_sales[freight_value] )</w:t>
      </w:r>
      <w:r>
        <w:rPr>
          <w:rFonts w:ascii="Consolas" w:cs="Consolas" w:eastAsia="Consolas" w:hAnsi="Consolas"/>
          <w:color w:val="2C3B34"/>
          <w:sz w:val="18"/>
          <w:szCs w:val="18"/>
        </w:rPr>
        <w:br/>
        <w:t xml:space="preserve">GMV := [Revenue] + [Freight]</w:t>
      </w:r>
    </w:p>
    <w:p>
      <w:pPr>
        <w:spacing w:after="160"/>
      </w:pPr>
      <w:r>
        <w:rPr>
          <w:color w:val="1E2A2B"/>
          <w:sz w:val="22"/>
          <w:szCs w:val="22"/>
        </w:rPr>
        <w:t xml:space="preserve">Revenue is defined as the sum of item price only — freight (shipping cost) is tracked separately and combined into GMV (Gross Merchandise Value) as a distinct measure, because conflating the two would overstate what the seller actually earns from the sale itself.</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Orders := DISTINCTCOUNT ( bi_fact_sales[order_id] )</w:t>
      </w:r>
      <w:r>
        <w:rPr>
          <w:rFonts w:ascii="Consolas" w:cs="Consolas" w:eastAsia="Consolas" w:hAnsi="Consolas"/>
          <w:color w:val="2C3B34"/>
          <w:sz w:val="18"/>
          <w:szCs w:val="18"/>
        </w:rPr>
        <w:br/>
        <w:t xml:space="preserve">Customers := DISTINCTCOUNT ( bi_fact_sales[customer_unique_id] )</w:t>
      </w:r>
      <w:r>
        <w:rPr>
          <w:rFonts w:ascii="Consolas" w:cs="Consolas" w:eastAsia="Consolas" w:hAnsi="Consolas"/>
          <w:color w:val="2C3B34"/>
          <w:sz w:val="18"/>
          <w:szCs w:val="18"/>
        </w:rPr>
        <w:br/>
        <w:t xml:space="preserve">Items Sold := COUNTROWS ( bi_fact_sales )</w:t>
      </w:r>
    </w:p>
    <w:p>
      <w:pPr>
        <w:spacing w:after="160"/>
      </w:pPr>
      <w:r>
        <w:rPr>
          <w:color w:val="1E2A2B"/>
          <w:sz w:val="22"/>
          <w:szCs w:val="22"/>
        </w:rPr>
        <w:t xml:space="preserve">Orders uses DISTINCTCOUNT rather than COUNTROWS specifically because the fact table is at item grain — a simple row count would overstate order volume by counting every line item. Customers uses customer_unique_id, not customer_id, for the reason explained in Section 3.</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AOV := DIVIDE ( [Revenue], [Orders] )</w:t>
      </w:r>
      <w:r>
        <w:rPr>
          <w:rFonts w:ascii="Consolas" w:cs="Consolas" w:eastAsia="Consolas" w:hAnsi="Consolas"/>
          <w:color w:val="2C3B34"/>
          <w:sz w:val="18"/>
          <w:szCs w:val="18"/>
        </w:rPr>
        <w:br/>
        <w:t xml:space="preserve">Items per Order := DIVIDE ( [Items Sold], [Orders] )</w:t>
      </w:r>
    </w:p>
    <w:p>
      <w:pPr>
        <w:spacing w:after="160"/>
      </w:pPr>
      <w:r>
        <w:rPr>
          <w:color w:val="1E2A2B"/>
          <w:sz w:val="22"/>
          <w:szCs w:val="22"/>
        </w:rPr>
        <w:t xml:space="preserve">Both ratio measures use DIVIDE rather than the plain / operator. DIVIDE returns BLANK (or a specified alternate value) on a zero denominator instead of throwing a division-by-zero error, which matters constantly under filter contexts where a slicer selection can legitimately produce zero orders.</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Delivered Orders := CALCULATE ( [Orders], bi_fact_sales[order_status] = "delivered" )</w:t>
      </w:r>
      <w:r>
        <w:rPr>
          <w:rFonts w:ascii="Consolas" w:cs="Consolas" w:eastAsia="Consolas" w:hAnsi="Consolas"/>
          <w:color w:val="2C3B34"/>
          <w:sz w:val="18"/>
          <w:szCs w:val="18"/>
        </w:rPr>
        <w:br/>
        <w:t xml:space="preserve">Late Orders := CALCULATE ( [Orders], bi_fact_sales[order_status] = "delivered", bi_fact_sales[is_late] = 1 )</w:t>
      </w:r>
      <w:r>
        <w:rPr>
          <w:rFonts w:ascii="Consolas" w:cs="Consolas" w:eastAsia="Consolas" w:hAnsi="Consolas"/>
          <w:color w:val="2C3B34"/>
          <w:sz w:val="18"/>
          <w:szCs w:val="18"/>
        </w:rPr>
        <w:br/>
        <w:t xml:space="preserve">On-time % := DIVIDE ( [Delivered Orders] - [Late Orders], [Delivered Orders] )</w:t>
      </w:r>
    </w:p>
    <w:p>
      <w:pPr>
        <w:spacing w:after="160"/>
      </w:pPr>
      <w:r>
        <w:rPr>
          <w:color w:val="1E2A2B"/>
          <w:sz w:val="22"/>
          <w:szCs w:val="22"/>
        </w:rPr>
        <w:t xml:space="preserve">On-time % is deliberately computed as a share of delivered orders only (not all orders), because an order that was cancelled or never delivered cannot meaningfully be called 'on time' or 'late' — including it in the denominator would understate on-time performance by mixing in orders that were never eligible to be on time in the first place.</w:t>
      </w:r>
    </w:p>
    <w:p>
      <w:pPr>
        <w:pStyle w:val="Heading2"/>
        <w:spacing w:after="140" w:before="320"/>
      </w:pPr>
      <w:r>
        <w:t xml:space="preserve">7.2 Time intelligence</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Revenue YTD := TOTALYTD ( [Revenue], DimDate[Date] )</w:t>
      </w:r>
      <w:r>
        <w:rPr>
          <w:rFonts w:ascii="Consolas" w:cs="Consolas" w:eastAsia="Consolas" w:hAnsi="Consolas"/>
          <w:color w:val="2C3B34"/>
          <w:sz w:val="18"/>
          <w:szCs w:val="18"/>
        </w:rPr>
        <w:br/>
        <w:t xml:space="preserve">Revenue LY := CALCULATE ( [Revenue], SAMEPERIODLASTYEAR ( DimDate[Date] ) )</w:t>
      </w:r>
      <w:r>
        <w:rPr>
          <w:rFonts w:ascii="Consolas" w:cs="Consolas" w:eastAsia="Consolas" w:hAnsi="Consolas"/>
          <w:color w:val="2C3B34"/>
          <w:sz w:val="18"/>
          <w:szCs w:val="18"/>
        </w:rPr>
        <w:br/>
        <w:t xml:space="preserve">YoY % := DIVIDE ( [Revenue] - [Revenue LY], [Revenue LY] )</w:t>
      </w:r>
      <w:r>
        <w:rPr>
          <w:rFonts w:ascii="Consolas" w:cs="Consolas" w:eastAsia="Consolas" w:hAnsi="Consolas"/>
          <w:color w:val="2C3B34"/>
          <w:sz w:val="18"/>
          <w:szCs w:val="18"/>
        </w:rPr>
        <w:br/>
        <w:t xml:space="preserve">Rolling 30D Revenue :=</w:t>
      </w:r>
      <w:r>
        <w:rPr>
          <w:rFonts w:ascii="Consolas" w:cs="Consolas" w:eastAsia="Consolas" w:hAnsi="Consolas"/>
          <w:color w:val="2C3B34"/>
          <w:sz w:val="18"/>
          <w:szCs w:val="18"/>
        </w:rPr>
        <w:br/>
        <w:t xml:space="preserve">CALCULATE ( [Revenue], DATESINPERIOD ( DimDate[Date], MAX ( DimDate[Date] ), -30, DAY ) )</w:t>
      </w:r>
    </w:p>
    <w:p>
      <w:pPr>
        <w:spacing w:after="160"/>
      </w:pPr>
      <w:r>
        <w:rPr>
          <w:color w:val="1E2A2B"/>
          <w:sz w:val="22"/>
          <w:szCs w:val="22"/>
        </w:rPr>
        <w:t xml:space="preserve">Each of these relies on CALCULATE performing context transition against the DimDate relationship established in Section 6 — this is the direct, practical payoff of having correctly marked DimDate as a date table and built the relationship: without both of those in place, these four formulas would still be syntactically valid DAX but would return incorrect numbers. Rolling 30D Revenue in particular is date-relative to whatever the current filter context's MAX(DimDate[Date]) resolves to, which is what makes it usable inside a KPI card without hardcoding a date.</w:t>
      </w:r>
    </w:p>
    <w:p>
      <w:pPr>
        <w:pStyle w:val="Heading2"/>
        <w:spacing w:after="140" w:before="320"/>
      </w:pPr>
      <w:r>
        <w:t xml:space="preserve">7.3 Review sentiment</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Positive Reviews % :=</w:t>
      </w:r>
      <w:r>
        <w:rPr>
          <w:rFonts w:ascii="Consolas" w:cs="Consolas" w:eastAsia="Consolas" w:hAnsi="Consolas"/>
          <w:color w:val="2C3B34"/>
          <w:sz w:val="18"/>
          <w:szCs w:val="18"/>
        </w:rPr>
        <w:br/>
        <w:t xml:space="preserve">DIVIDE(</w:t>
      </w:r>
      <w:r>
        <w:rPr>
          <w:rFonts w:ascii="Consolas" w:cs="Consolas" w:eastAsia="Consolas" w:hAnsi="Consolas"/>
          <w:color w:val="2C3B34"/>
          <w:sz w:val="18"/>
          <w:szCs w:val="18"/>
        </w:rPr>
        <w:br/>
        <w:t xml:space="preserve">  CALCULATE( COUNTROWS(bi_fact_sales), bi_fact_sales[review_score] &gt;= 4 ),</w:t>
      </w:r>
      <w:r>
        <w:rPr>
          <w:rFonts w:ascii="Consolas" w:cs="Consolas" w:eastAsia="Consolas" w:hAnsi="Consolas"/>
          <w:color w:val="2C3B34"/>
          <w:sz w:val="18"/>
          <w:szCs w:val="18"/>
        </w:rPr>
        <w:br/>
        <w:t xml:space="preserve">  CALCULATE( COUNTROWS(bi_fact_sales), NOT ISBLANK(bi_fact_sales[review_score]) )</w:t>
      </w:r>
      <w:r>
        <w:rPr>
          <w:rFonts w:ascii="Consolas" w:cs="Consolas" w:eastAsia="Consolas" w:hAnsi="Consolas"/>
          <w:color w:val="2C3B34"/>
          <w:sz w:val="18"/>
          <w:szCs w:val="18"/>
        </w:rPr>
        <w:br/>
        <w:t xml:space="preserve">)</w:t>
      </w:r>
    </w:p>
    <w:p>
      <w:pPr>
        <w:spacing w:after="160"/>
      </w:pPr>
      <w:r>
        <w:rPr>
          <w:color w:val="1E2A2B"/>
          <w:sz w:val="22"/>
          <w:szCs w:val="22"/>
        </w:rPr>
        <w:t xml:space="preserve">The denominator explicitly excludes blank review scores (orders with no review submitted) rather than dividing by total row count — otherwise unreviewed orders would silently deflate the positive-review percentage even though they carry no sentiment signal at all.</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Review Bucket :=</w:t>
      </w:r>
      <w:r>
        <w:rPr>
          <w:rFonts w:ascii="Consolas" w:cs="Consolas" w:eastAsia="Consolas" w:hAnsi="Consolas"/>
          <w:color w:val="2C3B34"/>
          <w:sz w:val="18"/>
          <w:szCs w:val="18"/>
        </w:rPr>
        <w:br/>
        <w:t xml:space="preserve">SWITCH ( TRUE(),</w:t>
      </w:r>
      <w:r>
        <w:rPr>
          <w:rFonts w:ascii="Consolas" w:cs="Consolas" w:eastAsia="Consolas" w:hAnsi="Consolas"/>
          <w:color w:val="2C3B34"/>
          <w:sz w:val="18"/>
          <w:szCs w:val="18"/>
        </w:rPr>
        <w:br/>
        <w:t xml:space="preserve">  ISBLANK ( bi_fact_sales[review_score] ), "No Review",</w:t>
      </w:r>
      <w:r>
        <w:rPr>
          <w:rFonts w:ascii="Consolas" w:cs="Consolas" w:eastAsia="Consolas" w:hAnsi="Consolas"/>
          <w:color w:val="2C3B34"/>
          <w:sz w:val="18"/>
          <w:szCs w:val="18"/>
        </w:rPr>
        <w:br/>
        <w:t xml:space="preserve">  bi_fact_sales[review_score] &gt;= 4, "Positive (4-5)",</w:t>
      </w:r>
      <w:r>
        <w:rPr>
          <w:rFonts w:ascii="Consolas" w:cs="Consolas" w:eastAsia="Consolas" w:hAnsi="Consolas"/>
          <w:color w:val="2C3B34"/>
          <w:sz w:val="18"/>
          <w:szCs w:val="18"/>
        </w:rPr>
        <w:br/>
        <w:t xml:space="preserve">  bi_fact_sales[review_score] = 3, "Neutral (3)",</w:t>
      </w:r>
      <w:r>
        <w:rPr>
          <w:rFonts w:ascii="Consolas" w:cs="Consolas" w:eastAsia="Consolas" w:hAnsi="Consolas"/>
          <w:color w:val="2C3B34"/>
          <w:sz w:val="18"/>
          <w:szCs w:val="18"/>
        </w:rPr>
        <w:br/>
        <w:t xml:space="preserve">  "Negative (1-2)"</w:t>
      </w:r>
      <w:r>
        <w:rPr>
          <w:rFonts w:ascii="Consolas" w:cs="Consolas" w:eastAsia="Consolas" w:hAnsi="Consolas"/>
          <w:color w:val="2C3B34"/>
          <w:sz w:val="18"/>
          <w:szCs w:val="18"/>
        </w:rPr>
        <w:br/>
        <w:t xml:space="preserve">)</w:t>
      </w:r>
    </w:p>
    <w:p>
      <w:pPr>
        <w:spacing w:after="160"/>
      </w:pPr>
      <w:r>
        <w:rPr>
          <w:color w:val="1E2A2B"/>
          <w:sz w:val="22"/>
          <w:szCs w:val="22"/>
        </w:rPr>
        <w:t xml:space="preserve">SWITCH(TRUE(), ...) is a standard DAX idiom for evaluating an ordered list of arbitrary boolean conditions rather than matching a single expression against fixed values — used here because the buckets are range conditions (&gt;= 4, = 3, else), not discrete lookups.</w:t>
      </w:r>
    </w:p>
    <w:p>
      <w:pPr>
        <w:pStyle w:val="Heading2"/>
        <w:spacing w:after="140" w:before="320"/>
      </w:pPr>
      <w:r>
        <w:t xml:space="preserve">7.4 Payments, delivery, seller, and drillthrough</w:t>
      </w:r>
    </w:p>
    <w:p>
      <w:pPr>
        <w:pBdr>
          <w:top w:val="single" w:color="DEDAD0" w:sz="4"/>
          <w:bottom w:val="single" w:color="DEDAD0" w:sz="4"/>
          <w:left w:val="single" w:color="DEDAD0" w:sz="4"/>
          <w:right w:val="single" w:color="DEDAD0" w:sz="4"/>
        </w:pBdr>
        <w:shd w:fill="EEF0E8" w:val="clear"/>
        <w:spacing w:after="200" w:before="120"/>
        <w:ind w:left="60" w:right="60"/>
      </w:pPr>
      <w:r>
        <w:rPr>
          <w:rFonts w:ascii="Consolas" w:cs="Consolas" w:eastAsia="Consolas" w:hAnsi="Consolas"/>
          <w:color w:val="2C3B34"/>
          <w:sz w:val="18"/>
          <w:szCs w:val="18"/>
        </w:rPr>
        <w:t xml:space="preserve">Payment Value := SUM ( bi_fact_sales[payment_value] )</w:t>
      </w:r>
      <w:r>
        <w:rPr>
          <w:rFonts w:ascii="Consolas" w:cs="Consolas" w:eastAsia="Consolas" w:hAnsi="Consolas"/>
          <w:color w:val="2C3B34"/>
          <w:sz w:val="18"/>
          <w:szCs w:val="18"/>
        </w:rPr>
        <w:br/>
        <w:t xml:space="preserve">Avg Installments := AVERAGE ( bi_fact_sales[payment_installments] )</w:t>
      </w:r>
      <w:r>
        <w:rPr>
          <w:rFonts w:ascii="Consolas" w:cs="Consolas" w:eastAsia="Consolas" w:hAnsi="Consolas"/>
          <w:color w:val="2C3B34"/>
          <w:sz w:val="18"/>
          <w:szCs w:val="18"/>
        </w:rPr>
        <w:br/>
        <w:t xml:space="preserve">Avg Delivery Days := AVERAGE ( bi_fact_sales[delivery_days] )</w:t>
      </w:r>
      <w:r>
        <w:rPr>
          <w:rFonts w:ascii="Consolas" w:cs="Consolas" w:eastAsia="Consolas" w:hAnsi="Consolas"/>
          <w:color w:val="2C3B34"/>
          <w:sz w:val="18"/>
          <w:szCs w:val="18"/>
        </w:rPr>
        <w:br/>
        <w:t xml:space="preserve">Late % := DIVIDE( [Late Orders], [Delivered Orders] )</w:t>
      </w:r>
      <w:r>
        <w:rPr>
          <w:rFonts w:ascii="Consolas" w:cs="Consolas" w:eastAsia="Consolas" w:hAnsi="Consolas"/>
          <w:color w:val="2C3B34"/>
          <w:sz w:val="18"/>
          <w:szCs w:val="18"/>
        </w:rPr>
        <w:br/>
        <w:t xml:space="preserve">Sellers := DISTINCTCOUNT ( bi_fact_sales[seller_id] )</w:t>
      </w:r>
      <w:r>
        <w:rPr>
          <w:rFonts w:ascii="Consolas" w:cs="Consolas" w:eastAsia="Consolas" w:hAnsi="Consolas"/>
          <w:color w:val="2C3B34"/>
          <w:sz w:val="18"/>
          <w:szCs w:val="18"/>
        </w:rPr>
        <w:br/>
        <w:t xml:space="preserve">Revenue per Seller := DIVIDE ( [Revenue], [Sellers] )</w:t>
      </w:r>
      <w:r>
        <w:rPr>
          <w:rFonts w:ascii="Consolas" w:cs="Consolas" w:eastAsia="Consolas" w:hAnsi="Consolas"/>
          <w:color w:val="2C3B34"/>
          <w:sz w:val="18"/>
          <w:szCs w:val="18"/>
        </w:rPr>
        <w:br/>
        <w:t xml:space="preserve">Drill Title := "Drillthrough: " &amp; COALESCE( SELECTEDVALUE(bi_fact_sales[category]), "All" )</w:t>
      </w:r>
    </w:p>
    <w:p>
      <w:pPr>
        <w:spacing w:after="160"/>
      </w:pPr>
      <w:r>
        <w:rPr>
          <w:color w:val="1E2A2B"/>
          <w:sz w:val="22"/>
          <w:szCs w:val="22"/>
        </w:rPr>
        <w:t xml:space="preserve">Avg Delivery Days averaging bi_fact_sales[delivery_days] works correctly specifically because that column was defined as NULL (not 0) for undelivered orders in bi_fact_order (Section 5.2) — AVERAGE in DAX ignores blanks automatically, so the null-handling decision made at the SQL layer is what keeps this measure accurate three layers downstream. Drill Title uses SELECTEDVALUE, which returns a single value only when exactly one distinct value is in context, and COALESCE supplies a fallback label when the drillthrough page is viewed without a specific category selected.</w:t>
      </w:r>
    </w:p>
    <w:p>
      <w:pPr>
        <w:pStyle w:val="Heading1"/>
        <w:spacing w:after="200" w:before="420"/>
      </w:pPr>
      <w:r>
        <w:t xml:space="preserve">8. Dashboard Walkthrough</w:t>
      </w:r>
    </w:p>
    <w:p>
      <w:pPr>
        <w:spacing w:after="160"/>
      </w:pPr>
      <w:r>
        <w:rPr>
          <w:color w:val="1E2A2B"/>
          <w:sz w:val="22"/>
          <w:szCs w:val="22"/>
        </w:rPr>
        <w:t xml:space="preserve">The report has nine pages. Each is described below with its visuals and the specific question it answers — this is the level of detail to be able to reconstruct verbally without looking at the screen.</w:t>
      </w:r>
    </w:p>
    <w:p>
      <w:pPr>
        <w:pStyle w:val="Heading3"/>
        <w:spacing w:after="100" w:before="220"/>
      </w:pPr>
      <w:r>
        <w:t xml:space="preserve">Page 1 — Business Overview</w:t>
      </w:r>
    </w:p>
    <w:p>
      <w:pPr>
        <w:spacing w:after="160"/>
      </w:pPr>
      <w:r>
        <w:rPr>
          <w:color w:val="1E2A2B"/>
          <w:sz w:val="22"/>
          <w:szCs w:val="22"/>
        </w:rPr>
        <w:t xml:space="preserve">Seven KPI cards (Revenue, Orders, Customers, AOV, On-time %, Average Rating, YoY %) give the headline state of the business at a glance. A line chart shows the revenue trend across the full date range chronologically. A column chart shows total order volume by calendar month (aggregated across all years, to surface seasonality independent of year-over-year growth). A bar chart ranks the top 10 categories by revenue. A map plots revenue concentration by customer state. A donut chart shows the order status mix (delivered vs. cancelled vs. other statuses).</w:t>
      </w:r>
    </w:p>
    <w:p>
      <w:pPr>
        <w:pStyle w:val="Heading3"/>
        <w:spacing w:after="100" w:before="220"/>
      </w:pPr>
      <w:r>
        <w:t xml:space="preserve">Page 2 — Sales Trend</w:t>
      </w:r>
    </w:p>
    <w:p>
      <w:pPr>
        <w:spacing w:after="160"/>
      </w:pPr>
      <w:r>
        <w:rPr>
          <w:color w:val="1E2A2B"/>
          <w:sz w:val="22"/>
          <w:szCs w:val="22"/>
        </w:rPr>
        <w:t xml:space="preserve">This page is where time-intelligence measures live: a dual-line comparison of the current year's revenue against the same period last year, a rolling 30-day revenue KPI card, a year-to-date area chart, and a Category × Year matrix breaking out revenue, AOV, and order count per category across each calendar year — the source of the year-over-year growth figures cited throughout this document.</w:t>
      </w:r>
    </w:p>
    <w:p>
      <w:pPr>
        <w:pStyle w:val="Heading3"/>
        <w:spacing w:after="100" w:before="220"/>
      </w:pPr>
      <w:r>
        <w:t xml:space="preserve">Page 3 — Category &amp; Product</w:t>
      </w:r>
    </w:p>
    <w:p>
      <w:pPr>
        <w:spacing w:after="160"/>
      </w:pPr>
      <w:r>
        <w:rPr>
          <w:color w:val="1E2A2B"/>
          <w:sz w:val="22"/>
          <w:szCs w:val="22"/>
        </w:rPr>
        <w:t xml:space="preserve">A scatter chart plots AOV against order volume per category, with bubble size encoding revenue and color distinguishing each category — this is the visual that answers 'which categories are high-volume-low-price versus low-volume-high-price.' A treemap shows revenue share by category. A ranked bar chart surfaces the highest-rated categories. A detail table lists per-category revenue, orders, AOV, rating, and on-time percentage together.</w:t>
      </w:r>
    </w:p>
    <w:p>
      <w:pPr>
        <w:pStyle w:val="Heading3"/>
        <w:spacing w:after="100" w:before="220"/>
      </w:pPr>
      <w:r>
        <w:t xml:space="preserve">Page 4 — Customer</w:t>
      </w:r>
    </w:p>
    <w:p>
      <w:pPr>
        <w:spacing w:after="160"/>
      </w:pPr>
      <w:r>
        <w:rPr>
          <w:color w:val="1E2A2B"/>
          <w:sz w:val="22"/>
          <w:szCs w:val="22"/>
        </w:rPr>
        <w:t xml:space="preserve">A map and ranked bar charts show revenue concentration by customer state and city. A State × Category matrix lets a viewer cross-reference which categories perform best in which states — the source of the São Paulo concentration finding in Section 9.</w:t>
      </w:r>
    </w:p>
    <w:p>
      <w:pPr>
        <w:pStyle w:val="Heading3"/>
        <w:spacing w:after="100" w:before="220"/>
      </w:pPr>
      <w:r>
        <w:t xml:space="preserve">Page 5 — Delivery &amp; Logistics</w:t>
      </w:r>
    </w:p>
    <w:p>
      <w:pPr>
        <w:spacing w:after="160"/>
      </w:pPr>
      <w:r>
        <w:rPr>
          <w:color w:val="1E2A2B"/>
          <w:sz w:val="22"/>
          <w:szCs w:val="22"/>
        </w:rPr>
        <w:t xml:space="preserve">KPI cards for on-time percentage and total late-order count sit alongside a late-orders-by-month trend, a bar chart of average delivery duration by category, and a bar chart of late-delivery rate by customer state — this page isolates the operational metric that the Reviews page then connects to customer sentiment.</w:t>
      </w:r>
    </w:p>
    <w:p>
      <w:pPr>
        <w:pStyle w:val="Heading3"/>
        <w:spacing w:after="100" w:before="220"/>
      </w:pPr>
      <w:r>
        <w:t xml:space="preserve">Page 6 — Reviews</w:t>
      </w:r>
    </w:p>
    <w:p>
      <w:pPr>
        <w:spacing w:after="160"/>
      </w:pPr>
      <w:r>
        <w:rPr>
          <w:color w:val="1E2A2B"/>
          <w:sz w:val="22"/>
          <w:szCs w:val="22"/>
        </w:rPr>
        <w:t xml:space="preserve">KPI cards for average rating, positive review percentage, and negative review percentage sit next to a rating-distribution donut (using the Review Bucket measure), a bar chart comparing average rating for late versus on-time orders — the direct visual evidence for the strongest finding in this project — and a ranked bar chart of average rating by category.</w:t>
      </w:r>
    </w:p>
    <w:p>
      <w:pPr>
        <w:pStyle w:val="Heading3"/>
        <w:spacing w:after="100" w:before="220"/>
      </w:pPr>
      <w:r>
        <w:t xml:space="preserve">Page 7 — Payments</w:t>
      </w:r>
    </w:p>
    <w:p>
      <w:pPr>
        <w:spacing w:after="160"/>
      </w:pPr>
      <w:r>
        <w:rPr>
          <w:color w:val="1E2A2B"/>
          <w:sz w:val="22"/>
          <w:szCs w:val="22"/>
        </w:rPr>
        <w:t xml:space="preserve">A donut shows payment method share by value. A column chart compares average installment count across payment methods. A line chart shows payment value trend over time. A summary table ties payment type to total value, order count, and AOV together.</w:t>
      </w:r>
    </w:p>
    <w:p>
      <w:pPr>
        <w:pStyle w:val="Heading3"/>
        <w:spacing w:after="100" w:before="220"/>
      </w:pPr>
      <w:r>
        <w:t xml:space="preserve">Page 8 — Seller</w:t>
      </w:r>
    </w:p>
    <w:p>
      <w:pPr>
        <w:spacing w:after="160"/>
      </w:pPr>
      <w:r>
        <w:rPr>
          <w:color w:val="1E2A2B"/>
          <w:sz w:val="22"/>
          <w:szCs w:val="22"/>
        </w:rPr>
        <w:t xml:space="preserve">KPI cards for total seller count and revenue per seller sit next to a ranked bar chart of the top 10 sellers by revenue, a map of revenue by seller state, and a Seller State × Category matrix — the source of the seller-concentration finding in Section 9.</w:t>
      </w:r>
    </w:p>
    <w:p>
      <w:pPr>
        <w:pStyle w:val="Heading3"/>
        <w:spacing w:after="100" w:before="220"/>
      </w:pPr>
      <w:r>
        <w:t xml:space="preserve">Page 9 — Drill Through</w:t>
      </w:r>
    </w:p>
    <w:p>
      <w:pPr>
        <w:spacing w:after="160"/>
      </w:pPr>
      <w:r>
        <w:rPr>
          <w:color w:val="1E2A2B"/>
          <w:sz w:val="22"/>
          <w:szCs w:val="22"/>
        </w:rPr>
        <w:t xml:space="preserve">A category-scoped detail page reached by right-clicking a category value on any other page and selecting Drill Through. It re-displays the full KPI set (Revenue, Orders, Customers, AOV, Average Rating, On-time %) and a revenue trend and top-customer-states table, all filtered to the single selected category, with the Drill Title measure confirming which category is currently in view.</w:t>
      </w:r>
    </w:p>
    <w:p>
      <w:pPr>
        <w:pStyle w:val="Heading1"/>
        <w:spacing w:after="200" w:before="420"/>
      </w:pPr>
      <w:r>
        <w:t xml:space="preserve">9. Key Findings &amp; Methodology</w:t>
      </w:r>
    </w:p>
    <w:p>
      <w:pPr>
        <w:pStyle w:val="Heading3"/>
        <w:spacing w:after="100" w:before="220"/>
      </w:pPr>
      <w:r>
        <w:t xml:space="preserve">Revenue grew sharply across the observed period</w:t>
      </w:r>
    </w:p>
    <w:p>
      <w:pPr>
        <w:spacing w:after="160"/>
      </w:pPr>
      <w:r>
        <w:rPr>
          <w:color w:val="1E2A2B"/>
          <w:sz w:val="22"/>
          <w:szCs w:val="22"/>
        </w:rPr>
        <w:t xml:space="preserve">$51,220 in 2016 (312 orders, a partial launch year) → $6,483,894 in 2017 (44,579 orders) → $7,674,136 in 2018 (53,775 orders, covering roughly ten months of that year). Source: the Category × Year matrix on the Sales Trend page, which cross-tabulates the Revenue measure by DimDate[Year].</w:t>
      </w:r>
    </w:p>
    <w:p>
      <w:pPr>
        <w:pStyle w:val="Heading3"/>
        <w:spacing w:after="100" w:before="220"/>
      </w:pPr>
      <w:r>
        <w:t xml:space="preserve">Late delivery is the strongest driver of dissatisfaction in the dataset</w:t>
      </w:r>
    </w:p>
    <w:p>
      <w:pPr>
        <w:pBdr>
          <w:left w:val="single" w:color="33616F" w:sz="24"/>
        </w:pBdr>
        <w:shd w:fill="E4EEEF" w:val="clear"/>
        <w:spacing w:after="200" w:before="160"/>
        <w:ind w:left="100"/>
      </w:pPr>
      <w:r>
        <w:rPr>
          <w:color w:val="1E2A2B"/>
          <w:sz w:val="22"/>
          <w:szCs w:val="22"/>
        </w:rPr>
        <w:t xml:space="preserve">Average rating, on-time orders: 4.2. Average rating, late orders: 2.3. Source: the Average Rating measure sliced by the is_late column on the Reviews page — a nearly two-point swing, and the clearest single correlation anywhere in this dataset between an operational metric and a satisfaction outcome.</w:t>
      </w:r>
    </w:p>
    <w:p>
      <w:pPr>
        <w:pStyle w:val="Heading3"/>
        <w:spacing w:after="100" w:before="220"/>
      </w:pPr>
      <w:r>
        <w:t xml:space="preserve">Revenue is heavily concentrated in one state</w:t>
      </w:r>
    </w:p>
    <w:p>
      <w:pPr>
        <w:spacing w:after="160"/>
      </w:pPr>
      <w:r>
        <w:rPr>
          <w:color w:val="1E2A2B"/>
          <w:sz w:val="22"/>
          <w:szCs w:val="22"/>
        </w:rPr>
        <w:t xml:space="preserve">São Paulo (SP) accounts for approximately $5.4M of the $14.21M total — roughly 38% — with the next-highest state (Rio de Janeiro) trailing at $1.9M. Source: the Top 10 Customer States By Revenue bar chart on the Customer page. The drop-off from first to second place is steep rather than gradual, which is itself worth noting: this is not a long tail of evenly distributed states, it is one dominant hub and then a second tier.</w:t>
      </w:r>
    </w:p>
    <w:p>
      <w:pPr>
        <w:pStyle w:val="Heading3"/>
        <w:spacing w:after="100" w:before="220"/>
      </w:pPr>
      <w:r>
        <w:t xml:space="preserve">Category performance is top-heavy</w:t>
      </w:r>
    </w:p>
    <w:tbl>
      <w:tblPr>
        <w:tblW w:type="dxa" w:w="9360"/>
        <w:tblBorders>
          <w:top w:val="single" w:color="DEDAD0" w:sz="4"/>
          <w:left w:val="single" w:color="DEDAD0" w:sz="4"/>
          <w:bottom w:val="single" w:color="DEDAD0" w:sz="4"/>
          <w:right w:val="single" w:color="DEDAD0" w:sz="4"/>
          <w:insideH w:val="single" w:color="EAE7DD" w:sz="2"/>
          <w:insideV w:val="single" w:color="EAE7DD" w:sz="2"/>
        </w:tblBorders>
      </w:tblPr>
      <w:tblGrid>
        <w:gridCol w:w="4255"/>
        <w:gridCol w:w="2553"/>
        <w:gridCol w:w="2553"/>
      </w:tblGrid>
      <w:tr>
        <w:tc>
          <w:tcPr>
            <w:tcW w:type="dxa" w:w="4255"/>
            <w:shd w:fill="EEF0E8" w:val="clear"/>
            <w:tcMar>
              <w:top w:type="dxa" w:w="80"/>
              <w:left w:type="dxa" w:w="120"/>
              <w:bottom w:type="dxa" w:w="80"/>
              <w:right w:type="dxa" w:w="120"/>
            </w:tcMar>
          </w:tcPr>
          <w:p>
            <w:pPr>
              <w:jc w:val="left"/>
            </w:pPr>
            <w:r>
              <w:rPr>
                <w:b/>
                <w:bCs/>
                <w:caps/>
                <w:color w:val="54635F"/>
                <w:sz w:val="16"/>
                <w:szCs w:val="16"/>
              </w:rPr>
              <w:t xml:space="preserve">Category</w:t>
            </w:r>
          </w:p>
        </w:tc>
        <w:tc>
          <w:tcPr>
            <w:tcW w:type="dxa" w:w="2553"/>
            <w:shd w:fill="EEF0E8" w:val="clear"/>
            <w:tcMar>
              <w:top w:type="dxa" w:w="80"/>
              <w:left w:type="dxa" w:w="120"/>
              <w:bottom w:type="dxa" w:w="80"/>
              <w:right w:type="dxa" w:w="120"/>
            </w:tcMar>
          </w:tcPr>
          <w:p>
            <w:pPr>
              <w:jc w:val="left"/>
            </w:pPr>
            <w:r>
              <w:rPr>
                <w:b/>
                <w:bCs/>
                <w:caps/>
                <w:color w:val="54635F"/>
                <w:sz w:val="16"/>
                <w:szCs w:val="16"/>
              </w:rPr>
              <w:t xml:space="preserve">Revenue</w:t>
            </w:r>
          </w:p>
        </w:tc>
        <w:tc>
          <w:tcPr>
            <w:tcW w:type="dxa" w:w="2553"/>
            <w:shd w:fill="EEF0E8" w:val="clear"/>
            <w:tcMar>
              <w:top w:type="dxa" w:w="80"/>
              <w:left w:type="dxa" w:w="120"/>
              <w:bottom w:type="dxa" w:w="80"/>
              <w:right w:type="dxa" w:w="120"/>
            </w:tcMar>
          </w:tcPr>
          <w:p>
            <w:pPr>
              <w:jc w:val="left"/>
            </w:pPr>
            <w:r>
              <w:rPr>
                <w:b/>
                <w:bCs/>
                <w:caps/>
                <w:color w:val="54635F"/>
                <w:sz w:val="16"/>
                <w:szCs w:val="16"/>
              </w:rPr>
              <w:t xml:space="preserve">Share of total</w:t>
            </w:r>
          </w:p>
        </w:tc>
      </w:tr>
      <w:tr>
        <w:tc>
          <w:tcPr>
            <w:tcW w:type="dxa" w:w="4255"/>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health_beauty</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$1.30M</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9.1%</w:t>
            </w:r>
          </w:p>
        </w:tc>
      </w:tr>
      <w:tr>
        <w:tc>
          <w:tcPr>
            <w:tcW w:type="dxa" w:w="4255"/>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watches_gifts</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$1.25M</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8.8%</w:t>
            </w:r>
          </w:p>
        </w:tc>
      </w:tr>
      <w:tr>
        <w:tc>
          <w:tcPr>
            <w:tcW w:type="dxa" w:w="4255"/>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bed_bath_table</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$1.09M</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7.7%</w:t>
            </w:r>
          </w:p>
        </w:tc>
      </w:tr>
      <w:tr>
        <w:tc>
          <w:tcPr>
            <w:tcW w:type="dxa" w:w="4255"/>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sports_leisure</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$1.02M</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7.2%</w:t>
            </w:r>
          </w:p>
        </w:tc>
      </w:tr>
      <w:tr>
        <w:tc>
          <w:tcPr>
            <w:tcW w:type="dxa" w:w="4255"/>
            <w:tcMar>
              <w:top w:type="dxa" w:w="80"/>
              <w:left w:type="dxa" w:w="120"/>
              <w:bottom w:type="dxa" w:w="80"/>
              <w:right w:type="dxa" w:w="120"/>
            </w:tcMar>
          </w:tcPr>
          <w:p>
            <w:pPr>
              <w:jc w:val="left"/>
            </w:pPr>
            <w:r>
              <w:rPr>
                <w:rFonts w:ascii="Consolas" w:cs="Consolas" w:eastAsia="Consolas" w:hAnsi="Consolas"/>
                <w:b w:val="false"/>
                <w:bCs w:val="false"/>
                <w:caps w:val="false"/>
                <w:color w:val="1E2A2B"/>
                <w:sz w:val="19"/>
                <w:szCs w:val="19"/>
              </w:rPr>
              <w:t xml:space="preserve">computers_accessories</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$0.94M</w:t>
            </w:r>
          </w:p>
        </w:tc>
        <w:tc>
          <w:tcPr>
            <w:tcW w:type="dxa" w:w="2553"/>
            <w:tcMar>
              <w:top w:type="dxa" w:w="80"/>
              <w:left w:type="dxa" w:w="120"/>
              <w:bottom w:type="dxa" w:w="80"/>
              <w:right w:type="dxa" w:w="120"/>
            </w:tcMar>
          </w:tcPr>
          <w:p>
            <w:pPr>
              <w:jc w:val="right"/>
            </w:pPr>
            <w:r>
              <w:rPr>
                <w:b w:val="false"/>
                <w:bCs w:val="false"/>
                <w:caps w:val="false"/>
                <w:color w:val="1E2A2B"/>
                <w:sz w:val="19"/>
                <w:szCs w:val="19"/>
              </w:rPr>
              <w:t xml:space="preserve">6.6%</w:t>
            </w:r>
          </w:p>
        </w:tc>
      </w:tr>
    </w:tbl>
    <w:p>
      <w:pPr>
        <w:spacing w:after="120"/>
      </w:pPr>
    </w:p>
    <w:p>
      <w:pPr>
        <w:pStyle w:val="Heading3"/>
        <w:spacing w:after="100" w:before="220"/>
      </w:pPr>
      <w:r>
        <w:t xml:space="preserve">Seller revenue is concentrated among a small group of top performers</w:t>
      </w:r>
    </w:p>
    <w:p>
      <w:pPr>
        <w:spacing w:after="160"/>
      </w:pPr>
      <w:r>
        <w:rPr>
          <w:color w:val="1E2A2B"/>
          <w:sz w:val="22"/>
          <w:szCs w:val="22"/>
        </w:rPr>
        <w:t xml:space="preserve">Of 3,095 active sellers, average revenue per seller is $4.59K. The single top seller generated $245K — roughly 53 times the average — a pattern consistent with a marketplace where a small number of power sellers carry disproportionate transaction volume. Source: Sellers and Revenue per Seller measures against the Top 10 Sellers by Revenue bar chart on the Seller page.</w:t>
      </w:r>
    </w:p>
    <w:p>
      <w:pPr>
        <w:pStyle w:val="Heading3"/>
        <w:spacing w:after="100" w:before="220"/>
      </w:pPr>
      <w:r>
        <w:t xml:space="preserve">Payment behavior favors credit, with installment usage concentrated there</w:t>
      </w:r>
    </w:p>
    <w:p>
      <w:pPr>
        <w:spacing w:after="160"/>
      </w:pPr>
      <w:r>
        <w:rPr>
          <w:color w:val="1E2A2B"/>
          <w:sz w:val="22"/>
          <w:szCs w:val="22"/>
        </w:rPr>
        <w:t xml:space="preserve">Credit card drives 76.8% of total payment value ($15.59M of $20.31M). Boleto (a Brazilian bank-slip payment method paid in full, common for customers without credit access) accounts for roughly 20% ($4.06M). Credit card carries a materially higher average installment count (3.6) than boleto, debit, or voucher (all effectively 1.0) — customers specifically use credit to spread payments, while every other method is functionally pay-in-full.</w:t>
      </w:r>
    </w:p>
    <w:p>
      <w:pPr>
        <w:pStyle w:val="Heading3"/>
        <w:spacing w:after="100" w:before="220"/>
      </w:pPr>
      <w:r>
        <w:t xml:space="preserve">Overall sentiment is positive, with a clearly identifiable negative tail</w:t>
      </w:r>
    </w:p>
    <w:p>
      <w:pPr>
        <w:spacing w:after="160"/>
      </w:pPr>
      <w:r>
        <w:rPr>
          <w:color w:val="1E2A2B"/>
          <w:sz w:val="22"/>
          <w:szCs w:val="22"/>
        </w:rPr>
        <w:t xml:space="preserve">76.97% of orders receive a positive rating (4–5 stars), 14.08% are neutral (3 stars), and 8.95% are negative (1–2 stars). Read alongside the delivery finding above, the negative tail is best explained as a delivery-performance problem rather than a product-quality problem — which is itself an actionable distinction: it points operational improvement effort at logistics rather than at product sourcing or category selection.</w:t>
      </w:r>
    </w:p>
    <w:p>
      <w:pPr>
        <w:pStyle w:val="Heading3"/>
        <w:spacing w:after="100" w:before="220"/>
      </w:pPr>
      <w:r>
        <w:t xml:space="preserve">Order status breakdown and what 'late' actually measures</w:t>
      </w:r>
    </w:p>
    <w:p>
      <w:pPr>
        <w:spacing w:after="160"/>
      </w:pPr>
      <w:r>
        <w:rPr>
          <w:color w:val="1E2A2B"/>
          <w:sz w:val="22"/>
          <w:szCs w:val="22"/>
        </w:rPr>
        <w:t xml:space="preserve">Of 99,441 raw orders, 96,478 (97.0%) reach delivered status, 625 (0.6%) are canceled, and the remainder sit in earlier pipeline states (shipped, invoiced, processing, unavailable, created) that were never fulfilled within the dataset's observation window. is_late and delivery_days are deliberately computed only against the delivered population — an order that was canceled or never shipped was never 'on time' or 'late' in any meaningful sense, so folding it into the denominator would dilute the delivery-performance metric with orders that were never eligible to meet it. Within delivered orders, 6.77% (6,535 orders) arrive after their estimated delivery date; the 93.23% on-time figure reported in the Overview KPI is the complement of that share.</w:t>
      </w:r>
    </w:p>
    <w:p>
      <w:pPr>
        <w:pStyle w:val="Heading3"/>
        <w:spacing w:after="100" w:before="220"/>
      </w:pPr>
      <w:r>
        <w:t xml:space="preserve">Freight is a meaningful share of order economics</w:t>
      </w:r>
    </w:p>
    <w:p>
      <w:pPr>
        <w:spacing w:after="160"/>
      </w:pPr>
      <w:r>
        <w:rPr>
          <w:color w:val="1E2A2B"/>
          <w:sz w:val="22"/>
          <w:szCs w:val="22"/>
        </w:rPr>
        <w:t xml:space="preserve">Summed across bi_fact_sales, freight value totals approximately $2.25M against $14.21M in product revenue — freight equal to roughly 15.9% of the price customers pay for the goods themselves. This is computed directly from the freight_value column already present at the order-item grain, rather than as a derived measure, and it matters for interpreting AOV: a meaningful share of what a customer pays is shipping cost, not product margin, which is a relevant caveat for anyone reading the $144.01 average order value figure as pure revenue-per-order.</w:t>
      </w:r>
    </w:p>
    <w:p>
      <w:pPr>
        <w:pStyle w:val="Heading3"/>
        <w:spacing w:after="100" w:before="220"/>
      </w:pPr>
      <w:r>
        <w:t xml:space="preserve">Items per order stays close to 1, but the tail matters</w:t>
      </w:r>
    </w:p>
    <w:p>
      <w:pPr>
        <w:spacing w:after="160"/>
      </w:pPr>
      <w:r>
        <w:rPr>
          <w:color w:val="1E2A2B"/>
          <w:sz w:val="22"/>
          <w:szCs w:val="22"/>
        </w:rPr>
        <w:t xml:space="preserve">112,650 order items across 98,666 distinct orders in bi_fact_sales works out to roughly 1.14 items per order on average. Most orders carry a single line item; the small remainder of multi-item orders is enough to pull the average above 1.0 without changing the basic shape of the business — this is a marketplace of largely single-SKU purchases, not a cart-heavy retail model, which is relevant context for why category-level and product-level revenue splits (Section 9, category table above) sum cleanly against the order-item grain fact table.</w:t>
      </w:r>
    </w:p>
    <w:p>
      <w:pPr>
        <w:pStyle w:val="Heading3"/>
        <w:spacing w:after="100" w:before="220"/>
      </w:pPr>
      <w:r>
        <w:t xml:space="preserve">Monthly seasonality — and why it must be read against data coverage, not taken at face value</w:t>
      </w:r>
    </w:p>
    <w:p>
      <w:pPr>
        <w:spacing w:after="160"/>
      </w:pPr>
      <w:r>
        <w:rPr>
          <w:color w:val="1E2A2B"/>
          <w:sz w:val="22"/>
          <w:szCs w:val="22"/>
        </w:rPr>
        <w:t xml:space="preserve">The Orders By Months chart shows a clear seasonal shape: order volume builds through the year and peaks in Q4 (particularly November, driven by Black Friday), then drops sharply in the final two months shown. Read naively, that drop looks like a business decline. It is not — it is a data-coverage artifact, and this is precisely the kind of chart that a candidate should be able to defend under questioning rather than present as face-value truth.</w:t>
      </w:r>
    </w:p>
    <w:p>
      <w:pPr>
        <w:pBdr>
          <w:left w:val="single" w:color="33616F" w:sz="24"/>
        </w:pBdr>
        <w:shd w:fill="E4EEEF" w:val="clear"/>
        <w:spacing w:after="200" w:before="160"/>
        <w:ind w:left="100"/>
      </w:pPr>
      <w:r>
        <w:rPr>
          <w:color w:val="1E2A2B"/>
          <w:sz w:val="22"/>
          <w:szCs w:val="22"/>
        </w:rPr>
        <w:t xml:space="preserve">The dataset does not cover every month equally across years. January through August each have two full years of data (2017 and 2018) to average together. September and October have partial 2016 data plus 2017 and 2018. November and December have only 2016 and 2017 — the dataset ends October 17, 2018, so there is no 2018 November or December at all. A month-over-month chart that blends years is therefore comparing genuinely different sample sizes month to month: November and December's totals are built from two years of data while most other months are built from two-to-three, and October 2018 itself is roughly a half-month of activity. The correct statement is 'order volume is strongly seasonal with a Q4 peak, and the apparent falloff after that peak partly reflects a shorter data window for those calendar months, not confirmed evidence of declining demand into 2019' — a chart-reading nuance worth stating proactively in any walkthrough of this visual.</w:t>
      </w:r>
    </w:p>
    <w:p>
      <w:pPr>
        <w:pStyle w:val="Heading3"/>
        <w:spacing w:after="100" w:before="220"/>
      </w:pPr>
      <w:r>
        <w:t xml:space="preserve">Geographic concentration extends beyond the single top state</w:t>
      </w:r>
    </w:p>
    <w:p>
      <w:pPr>
        <w:spacing w:after="160"/>
      </w:pPr>
      <w:r>
        <w:rPr>
          <w:color w:val="1E2A2B"/>
          <w:sz w:val="22"/>
          <w:szCs w:val="22"/>
        </w:rPr>
        <w:t xml:space="preserve">The top three customer states by revenue — São Paulo, Rio de Janeiro, and Minas Gerais — together account for roughly 55% of total revenue ($7.8M of $14.21M), against 27 states in total. Combined with the fact that São Paulo alone is 38%, this describes a business whose revenue is heavily anchored in Brazil's southeastern economic core rather than evenly distributed nationally, which has direct implications for anything from delivery-network investment to regional marketing spend.</w:t>
      </w:r>
    </w:p>
    <w:p>
      <w:pPr>
        <w:pStyle w:val="Heading3"/>
        <w:spacing w:after="100" w:before="220"/>
      </w:pPr>
      <w:r>
        <w:t xml:space="preserve">Seller concentration, extended: the top decile carries a disproportionate share</w:t>
      </w:r>
    </w:p>
    <w:p>
      <w:pPr>
        <w:spacing w:after="160"/>
      </w:pPr>
      <w:r>
        <w:rPr>
          <w:color w:val="1E2A2B"/>
          <w:sz w:val="22"/>
          <w:szCs w:val="22"/>
        </w:rPr>
        <w:t xml:space="preserve">The 10 highest-revenue sellers (of 3,095 total) together generate approximately $1.29M — roughly 9.1% of total platform revenue from 0.3% of sellers. Combined with the top single seller's $245K figure (Section 9 above), this confirms the concentration is not a one-outlier artifact: revenue is structurally concentrated across a small group of high-performing sellers, not evenly spread across the marketplace.</w:t>
      </w:r>
    </w:p>
    <w:p>
      <w:pPr>
        <w:pStyle w:val="Heading3"/>
        <w:spacing w:after="100" w:before="220"/>
      </w:pPr>
      <w:r>
        <w:t xml:space="preserve">Category ratings vary far more than category revenue</w:t>
      </w:r>
    </w:p>
    <w:p>
      <w:pPr>
        <w:spacing w:after="160"/>
      </w:pPr>
      <w:r>
        <w:rPr>
          <w:color w:val="1E2A2B"/>
          <w:sz w:val="22"/>
          <w:szCs w:val="22"/>
        </w:rPr>
        <w:t xml:space="preserve">While revenue is concentrated in a handful of categories (Section 9, category table above), average rating is comparatively stable for most categories but has a clear low outlier: diapers_and_hygiene averages approximately 3.26, well below the 4.03 platform-wide average, while the highest-rated categories (including books and music-related categories) sit around 4.5–4.6. Because rating and revenue are measured on independent axes here, a category can be a strong revenue contributor and a middling satisfaction performer at the same time — worth checking explicitly rather than assuming the two move together, since nothing in the model forces them to.</w:t>
      </w:r>
    </w:p>
    <w:p>
      <w:pPr>
        <w:pStyle w:val="Heading3"/>
        <w:spacing w:after="100" w:before="220"/>
      </w:pPr>
      <w:r>
        <w:t xml:space="preserve">Underperformance is a long tail, not a small set of identifiable laggards</w:t>
      </w:r>
    </w:p>
    <w:p>
      <w:pPr>
        <w:spacing w:after="160"/>
      </w:pPr>
      <w:r>
        <w:rPr>
          <w:color w:val="1E2A2B"/>
          <w:sz w:val="22"/>
          <w:szCs w:val="22"/>
        </w:rPr>
        <w:t xml:space="preserve">On the revenue side, there is no small cluster of categories or states clearly 'underperforming' relative to a peer group — revenue drops off gradually across dozens of long-tail categories (below the top 5 shown above) and across the 24 states outside the top 3, rather than concentrating a large share of volume in a handful of visibly weak performers. The more precise and defensible statement is: revenue is concentrated at the top (top 5 categories at 39.4% combined, top 3 states at 55%) and diffuse everywhere else, so 'which categories/states underperform' is better answered as 'everything outside the top tier, in aggregate' than as a short named list. The one specific, named underperformer in this dataset is on the satisfaction axis rather than the revenue axis: diapers_and_hygiene, at 3.26 average rating against the 4.03 platform average (previous finding above).</w:t>
      </w:r>
    </w:p>
    <w:p>
      <w:pPr>
        <w:pStyle w:val="Heading1"/>
        <w:spacing w:after="200" w:before="420"/>
      </w:pPr>
      <w:r>
        <w:t xml:space="preserve">10. Data Quality Notes</w:t>
      </w:r>
    </w:p>
    <w:p>
      <w:pPr>
        <w:pStyle w:val="ListParagraph"/>
        <w:numPr>
          <w:ilvl w:val="0"/>
          <w:numId w:val="2"/>
        </w:numPr>
        <w:spacing w:after="80"/>
      </w:pPr>
      <w:r>
        <w:rPr>
          <w:color w:val="1E2A2B"/>
          <w:sz w:val="22"/>
          <w:szCs w:val="22"/>
        </w:rPr>
        <w:t xml:space="preserve">Duplicate reviews. 551 orders carry more than one review record in the raw data. Resolved by keeping only the most recent review per order (bi_fact_review_latest, Section 5.2).</w:t>
      </w:r>
    </w:p>
    <w:p>
      <w:pPr>
        <w:pStyle w:val="ListParagraph"/>
        <w:numPr>
          <w:ilvl w:val="0"/>
          <w:numId w:val="2"/>
        </w:numPr>
        <w:spacing w:after="80"/>
      </w:pPr>
      <w:r>
        <w:rPr>
          <w:color w:val="1E2A2B"/>
          <w:sz w:val="22"/>
          <w:szCs w:val="22"/>
        </w:rPr>
        <w:t xml:space="preserve">Missing product categories. 610 of 32,951 products (1.9%) have no category assigned. Handled by COALESCE against the translation table rather than dropping the rows (bi_dim_product, Section 5.2).</w:t>
      </w:r>
    </w:p>
    <w:p>
      <w:pPr>
        <w:pStyle w:val="ListParagraph"/>
        <w:numPr>
          <w:ilvl w:val="0"/>
          <w:numId w:val="2"/>
        </w:numPr>
        <w:spacing w:after="80"/>
      </w:pPr>
      <w:r>
        <w:rPr>
          <w:color w:val="1E2A2B"/>
          <w:sz w:val="22"/>
          <w:szCs w:val="22"/>
        </w:rPr>
        <w:t xml:space="preserve">Partial final month. The dataset's last recorded order falls on October 17, 2018. Trend visuals covering that final calendar month reflect roughly half a month of activity, which produces a visible dip in month-over-month charts that reflects data coverage, not an actual decline in the business — worth stating proactively rather than letting a chart appear to show a business downturn.</w:t>
      </w:r>
    </w:p>
    <w:p>
      <w:pPr>
        <w:pStyle w:val="ListParagraph"/>
        <w:numPr>
          <w:ilvl w:val="0"/>
          <w:numId w:val="2"/>
        </w:numPr>
        <w:spacing w:after="80"/>
      </w:pPr>
      <w:r>
        <w:rPr>
          <w:color w:val="1E2A2B"/>
          <w:sz w:val="22"/>
          <w:szCs w:val="22"/>
        </w:rPr>
        <w:t xml:space="preserve">Line-count vs. row-count discrepancy in the source CSV. The raw reviews file's line count is higher than its true row count because some review comments contain embedded newline characters inside quoted CSV fields — expected CSV behavior, not a data defect, but a good example of why row counts should always be validated against actual parsed rows rather than a raw wc -l.</w:t>
      </w:r>
    </w:p>
    <w:p>
      <w:pPr>
        <w:pStyle w:val="Heading1"/>
        <w:spacing w:after="200" w:before="420"/>
      </w:pPr>
      <w:r>
        <w:t xml:space="preserve">11. Engineering Issue Log</w:t>
      </w:r>
    </w:p>
    <w:p>
      <w:pPr>
        <w:spacing w:after="160"/>
      </w:pPr>
      <w:r>
        <w:rPr>
          <w:color w:val="1E2A2B"/>
          <w:sz w:val="22"/>
          <w:szCs w:val="22"/>
        </w:rPr>
        <w:t xml:space="preserve">Issues found during review of the SQL scripts, the compiled Power BI data model, and the rendered report output, each diagnosed and corrected as part of building this project.</w:t>
      </w:r>
    </w:p>
    <w:tbl>
      <w:tblPr>
        <w:tblW w:type="dxa" w:w="9360"/>
        <w:tblBorders>
          <w:top w:val="single" w:color="DEDAD0" w:sz="4"/>
          <w:left w:val="single" w:color="DEDAD0" w:sz="4"/>
          <w:bottom w:val="single" w:color="DEDAD0" w:sz="4"/>
          <w:right w:val="single" w:color="DEDAD0" w:sz="4"/>
          <w:insideH w:val="single" w:color="EAE7DD" w:sz="2"/>
          <w:insideV w:val="single" w:color="EAE7DD" w:sz="2"/>
        </w:tblBorders>
      </w:tblPr>
      <w:tblGrid>
        <w:gridCol w:w="653"/>
        <w:gridCol w:w="3700"/>
        <w:gridCol w:w="3918"/>
        <w:gridCol w:w="1088"/>
      </w:tblGrid>
      <w:tr>
        <w:tc>
          <w:tcPr>
            <w:tcW w:type="dxa" w:w="653"/>
            <w:shd w:fill="EEF0E8" w:val="clear"/>
            <w:tcMar>
              <w:top w:type="dxa" w:w="80"/>
              <w:left w:type="dxa" w:w="120"/>
              <w:bottom w:type="dxa" w:w="80"/>
              <w:right w:type="dxa" w:w="120"/>
            </w:tcMar>
          </w:tcPr>
          <w:p>
            <w:pPr>
              <w:jc w:val="left"/>
            </w:pPr>
            <w:r>
              <w:rPr>
                <w:b/>
                <w:bCs/>
                <w:caps/>
                <w:color w:val="54635F"/>
                <w:sz w:val="16"/>
                <w:szCs w:val="16"/>
              </w:rPr>
              <w:t xml:space="preserve">#</w:t>
            </w:r>
          </w:p>
        </w:tc>
        <w:tc>
          <w:tcPr>
            <w:tcW w:type="dxa" w:w="3700"/>
            <w:shd w:fill="EEF0E8" w:val="clear"/>
            <w:tcMar>
              <w:top w:type="dxa" w:w="80"/>
              <w:left w:type="dxa" w:w="120"/>
              <w:bottom w:type="dxa" w:w="80"/>
              <w:right w:type="dxa" w:w="120"/>
            </w:tcMar>
          </w:tcPr>
          <w:p>
            <w:pPr>
              <w:jc w:val="left"/>
            </w:pPr>
            <w:r>
              <w:rPr>
                <w:b/>
                <w:bCs/>
                <w:caps/>
                <w:color w:val="54635F"/>
                <w:sz w:val="16"/>
                <w:szCs w:val="16"/>
              </w:rPr>
              <w:t xml:space="preserve">Issue</w:t>
            </w:r>
          </w:p>
        </w:tc>
        <w:tc>
          <w:tcPr>
            <w:tcW w:type="dxa" w:w="3918"/>
            <w:shd w:fill="EEF0E8" w:val="clear"/>
            <w:tcMar>
              <w:top w:type="dxa" w:w="80"/>
              <w:left w:type="dxa" w:w="120"/>
              <w:bottom w:type="dxa" w:w="80"/>
              <w:right w:type="dxa" w:w="120"/>
            </w:tcMar>
          </w:tcPr>
          <w:p>
            <w:pPr>
              <w:jc w:val="left"/>
            </w:pPr>
            <w:r>
              <w:rPr>
                <w:b/>
                <w:bCs/>
                <w:caps/>
                <w:color w:val="54635F"/>
                <w:sz w:val="16"/>
                <w:szCs w:val="16"/>
              </w:rPr>
              <w:t xml:space="preserve">Fix</w:t>
            </w:r>
          </w:p>
        </w:tc>
        <w:tc>
          <w:tcPr>
            <w:tcW w:type="dxa" w:w="1088"/>
            <w:shd w:fill="EEF0E8" w:val="clear"/>
            <w:tcMar>
              <w:top w:type="dxa" w:w="80"/>
              <w:left w:type="dxa" w:w="120"/>
              <w:bottom w:type="dxa" w:w="80"/>
              <w:right w:type="dxa" w:w="120"/>
            </w:tcMar>
          </w:tcPr>
          <w:p>
            <w:pPr>
              <w:jc w:val="left"/>
            </w:pPr>
            <w:r>
              <w:rPr>
                <w:b/>
                <w:bCs/>
                <w:caps/>
                <w:color w:val="54635F"/>
                <w:sz w:val="16"/>
                <w:szCs w:val="16"/>
              </w:rPr>
              <w:t xml:space="preserve">Status</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11.1</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Geolocation table loaded ~10% too many rows — a redundant \i legacy insert script re-inserted rows the COPY statement already loaded in full.</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Removed the redundant \i line; deleted the unused 120MB legacy insert-script folder.</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11.2</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Repo clutter: unrelated dummy Sample Table.sql and a stale, out-of-sync Project.sql duplicate.</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Both files deleted.</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11.3</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Hardcoded Z:/archive/... Windows path in the load script; COPY runs server-side and needs a server-reachable path.</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Replaced with a &lt;PROJECT_PATH&gt; placeholder plus an instruction comment.</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11.4</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Page/visual design spec saved as Report Views.sql — easily confused with the real BIViews.sql.</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Renamed to report_page_design.md.</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11.5</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Orders By Months chart sorted months alphabetically (Aug, May, Jul...) instead of Jan–Dec.</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Set DimDate[Month] Sort By Column to Month No, and corrected the visual's own axis-sort override, which otherwise takes priority.</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11.6</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Revenue Trend and Payment Value Trend charts sorted by value descending, making growing revenue look like a decline — contradicted the Category × Year table.</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Axis sort changed to date ascending on every affected chart (Overview, Sales Trend, Drill Through — fixed individually, as axis sort is per-visual).</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11.7</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Rolling 30D Revenue KPI card showed a meaningless 'Goal: 145.00 (+496,923.83%)' — Target field was bound to the AOV measure.</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Target field removed, leaving a clean KPI value and sparkline.</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11.8</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Typos/mismatched titles: 'Cstomers' KPI label, a chart title with a stray trailing quote, and a copy-pasted 'Revenue Vs Last Year' title left on the Rolling 30D Revenue card.</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All three corrected in the Format pane.</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11.9</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Treemap/table, pivot tables, and donut charts across several pages had no title set.</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Titles added to every visual.</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11.10</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AOV vs Orders by Category scatter chart had ~70 overlapping, truncated on-chart category labels.</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Replaced on-chart labels with color-coded bubbles plus legend/tooltip identification.</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11.11</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Business Overview page exported with content compressed into the top-left third of the page.</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Page canvas Height/Width reset to match the standard 16:9 dimensions used elsewhere.</w:t>
            </w:r>
          </w:p>
        </w:tc>
        <w:tc>
          <w:tcPr>
            <w:tcW w:type="dxa" w:w="1088"/>
            <w:tcMar>
              <w:top w:type="dxa" w:w="80"/>
              <w:left w:type="dxa" w:w="120"/>
              <w:bottom w:type="dxa" w:w="80"/>
              <w:right w:type="dxa" w:w="120"/>
            </w:tcMar>
          </w:tcPr>
          <w:p>
            <w:pPr>
              <w:jc w:val="left"/>
            </w:pPr>
            <w:r>
              <w:rPr>
                <w:b w:val="false"/>
                <w:bCs w:val="false"/>
                <w:caps w:val="false"/>
                <w:color w:val="2E6B45"/>
                <w:sz w:val="19"/>
                <w:szCs w:val="19"/>
              </w:rPr>
              <w:t xml:space="preserve">Fixed</w:t>
            </w:r>
          </w:p>
        </w:tc>
      </w:tr>
      <w:tr>
        <w:tc>
          <w:tcPr>
            <w:tcW w:type="dxa" w:w="653"/>
            <w:tcMar>
              <w:top w:type="dxa" w:w="80"/>
              <w:left w:type="dxa" w:w="120"/>
              <w:bottom w:type="dxa" w:w="80"/>
              <w:right w:type="dxa" w:w="120"/>
            </w:tcMar>
          </w:tcPr>
          <w:p>
            <w:pPr>
              <w:jc w:val="left"/>
            </w:pPr>
            <w:r>
              <w:rPr>
                <w:b w:val="false"/>
                <w:bCs w:val="false"/>
                <w:caps w:val="false"/>
                <w:color w:val="1E2A2B"/>
                <w:sz w:val="19"/>
                <w:szCs w:val="19"/>
              </w:rPr>
              <w:t xml:space="preserve">11.12</w:t>
            </w:r>
          </w:p>
        </w:tc>
        <w:tc>
          <w:tcPr>
            <w:tcW w:type="dxa" w:w="3700"/>
            <w:tcMar>
              <w:top w:type="dxa" w:w="80"/>
              <w:left w:type="dxa" w:w="120"/>
              <w:bottom w:type="dxa" w:w="80"/>
              <w:right w:type="dxa" w:w="120"/>
            </w:tcMar>
          </w:tcPr>
          <w:p>
            <w:pPr>
              <w:jc w:val="left"/>
            </w:pPr>
            <w:r>
              <w:rPr>
                <w:b w:val="false"/>
                <w:bCs w:val="false"/>
                <w:caps w:val="false"/>
                <w:color w:val="1E2A2B"/>
                <w:sz w:val="19"/>
                <w:szCs w:val="19"/>
              </w:rPr>
              <w:t xml:space="preserve">Legacy Map visual (Overview, Customer, Seller pages) shows a 'being retired soon' notice.</w:t>
            </w:r>
          </w:p>
        </w:tc>
        <w:tc>
          <w:tcPr>
            <w:tcW w:type="dxa" w:w="3918"/>
            <w:tcMar>
              <w:top w:type="dxa" w:w="80"/>
              <w:left w:type="dxa" w:w="120"/>
              <w:bottom w:type="dxa" w:w="80"/>
              <w:right w:type="dxa" w:w="120"/>
            </w:tcMar>
          </w:tcPr>
          <w:p>
            <w:pPr>
              <w:jc w:val="left"/>
            </w:pPr>
            <w:r>
              <w:rPr>
                <w:b w:val="false"/>
                <w:bCs w:val="false"/>
                <w:caps w:val="false"/>
                <w:color w:val="1E2A2B"/>
                <w:sz w:val="19"/>
                <w:szCs w:val="19"/>
              </w:rPr>
              <w:t xml:space="preserve">Azure Maps blocked by a tenant permission not available on this account; ArcGIS Maps misgeocoded Brazilian state codes as US cities (21 of 27 failed). Classic Map kept — fully functional, cosmetic warning only.</w:t>
            </w:r>
          </w:p>
        </w:tc>
        <w:tc>
          <w:tcPr>
            <w:tcW w:type="dxa" w:w="1088"/>
            <w:tcMar>
              <w:top w:type="dxa" w:w="80"/>
              <w:left w:type="dxa" w:w="120"/>
              <w:bottom w:type="dxa" w:w="80"/>
              <w:right w:type="dxa" w:w="120"/>
            </w:tcMar>
          </w:tcPr>
          <w:p>
            <w:pPr>
              <w:jc w:val="left"/>
            </w:pPr>
            <w:r>
              <w:rPr>
                <w:b w:val="false"/>
                <w:bCs w:val="false"/>
                <w:caps w:val="false"/>
                <w:color w:val="8A5A10"/>
                <w:sz w:val="19"/>
                <w:szCs w:val="19"/>
              </w:rPr>
              <w:t xml:space="preserve">Accepted</w:t>
            </w:r>
          </w:p>
        </w:tc>
      </w:tr>
    </w:tbl>
    <w:p>
      <w:pPr>
        <w:spacing w:after="120"/>
      </w:pPr>
    </w:p>
    <w:p>
      <w:pPr>
        <w:spacing w:after="400"/>
      </w:pPr>
    </w:p>
    <w:p>
      <w:r>
        <w:rPr>
          <w:i/>
          <w:iCs/>
          <w:color w:val="54635F"/>
          <w:sz w:val="16"/>
          <w:szCs w:val="16"/>
        </w:rPr>
        <w:t xml:space="preserve">Olist Sales Analytics — complete project reference generated from the project's SQL scripts, DAX measures, compiled Power BI data model, exported report pages, and the full engineering record of issues found and resolved during development.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3616F"/>
      <w:sz w:val="32"/>
      <w:szCs w:val="32"/>
    </w:rPr>
  </w:style>
  <w:style w:type="paragraph" w:styleId="Heading2">
    <w:name w:val="Heading 2"/>
    <w:basedOn w:val="Normal"/>
    <w:next w:val="Normal"/>
    <w:qFormat/>
    <w:rPr>
      <w:rFonts w:ascii="Calibri" w:cs="Calibri" w:eastAsia="Calibri" w:hAnsi="Calibri"/>
      <w:b/>
      <w:bCs/>
      <w:color w:val="1E2A2B"/>
      <w:sz w:val="25"/>
      <w:szCs w:val="25"/>
    </w:rPr>
  </w:style>
  <w:style w:type="paragraph" w:styleId="Heading3">
    <w:name w:val="Heading 3"/>
    <w:basedOn w:val="Normal"/>
    <w:next w:val="Normal"/>
    <w:qFormat/>
    <w:rPr>
      <w:rFonts w:ascii="Calibri" w:cs="Calibri" w:eastAsia="Calibri" w:hAnsi="Calibri"/>
      <w:b/>
      <w:bCs/>
      <w:color w:val="1E2A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2026-09-16T19:42:45.802Z</dcterms:created>
  <dcterms:modified xsi:type="dcterms:W3CDTF">2026-09-16T19:42:45.802Z</dcterms:modified>
</cp:coreProperties>
</file>

<file path=docProps/custom.xml><?xml version="1.0" encoding="utf-8"?>
<Properties xmlns="http://schemas.openxmlformats.org/officeDocument/2006/custom-properties" xmlns:vt="http://schemas.openxmlformats.org/officeDocument/2006/docPropsVTypes"/>
</file>