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4"/>
        </w:rPr>
        <w:t>SAYZE OS — Complete 4-Minute Presentation Pitch &amp; Video Script</w:t>
      </w:r>
    </w:p>
    <w:p>
      <w:pPr>
        <w:spacing w:after="320"/>
      </w:pPr>
      <w:r>
        <w:rPr>
          <w:i/>
          <w:color w:val="555555"/>
          <w:sz w:val="23"/>
        </w:rPr>
        <w:t>Nebius x NVIDIA Global AI Hackathon 2026 | Grand Prize Competition Master Pitch Deck &amp; Demo Script</w:t>
      </w:r>
    </w:p>
    <w:p>
      <w:r>
        <w:t xml:space="preserve">This document provides a highly structured, word-for-word </w:t>
      </w:r>
      <w:r>
        <w:rPr>
          <w:b/>
        </w:rPr>
        <w:t>4-Minute Video Pitch Script and Presentation Guide</w:t>
      </w:r>
      <w:r>
        <w:t xml:space="preserve"> for </w:t>
      </w:r>
      <w:r>
        <w:rPr>
          <w:b/>
        </w:rPr>
        <w:t>SAYZE OS</w:t>
      </w:r>
      <w:r>
        <w:t>. It is specifically calibrated for hackathon judges evaluating the Nebius x NVIDIA $20,000 Grand Prize, $3,000 Tavily Award, and Personal AI track. It balances live software navigation, technical architecture explanations, and clear business impact.</w:t>
      </w:r>
    </w:p>
    <w:p>
      <w:pPr>
        <w:spacing w:before="280" w:after="120"/>
      </w:pPr>
      <w:r>
        <w:rPr>
          <w:b/>
          <w:color w:val="003366"/>
          <w:sz w:val="28"/>
        </w:rPr>
        <w:t>📊 4-Minute Pitch Agenda &amp; Timing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03366"/>
            <w:tcMar>
              <w:top w:w="100" w:type="dxa"/>
              <w:bottom w:w="100" w:type="dxa"/>
              <w:left w:w="120" w:type="dxa"/>
              <w:right w:w="120" w:type="dxa"/>
            </w:tcMar>
          </w:tcPr>
          <w:p>
            <w:r>
              <w:rPr>
                <w:rFonts w:ascii="Arial" w:hAnsi="Arial"/>
                <w:b/>
                <w:color w:val="FFFFFF"/>
                <w:sz w:val="19"/>
              </w:rPr>
              <w:t>Timestamp</w:t>
            </w:r>
          </w:p>
        </w:tc>
        <w:tc>
          <w:tcPr>
            <w:tcW w:type="dxa" w:w="2592"/>
            <w:shd w:fill="003366"/>
            <w:tcMar>
              <w:top w:w="100" w:type="dxa"/>
              <w:bottom w:w="100" w:type="dxa"/>
              <w:left w:w="120" w:type="dxa"/>
              <w:right w:w="120" w:type="dxa"/>
            </w:tcMar>
          </w:tcPr>
          <w:p>
            <w:r>
              <w:rPr>
                <w:rFonts w:ascii="Arial" w:hAnsi="Arial"/>
                <w:b/>
                <w:color w:val="FFFFFF"/>
                <w:sz w:val="19"/>
              </w:rPr>
              <w:t>Pitch Phase</w:t>
            </w:r>
          </w:p>
        </w:tc>
        <w:tc>
          <w:tcPr>
            <w:tcW w:type="dxa" w:w="3600"/>
            <w:shd w:fill="003366"/>
            <w:tcMar>
              <w:top w:w="100" w:type="dxa"/>
              <w:bottom w:w="100" w:type="dxa"/>
              <w:left w:w="120" w:type="dxa"/>
              <w:right w:w="120" w:type="dxa"/>
            </w:tcMar>
          </w:tcPr>
          <w:p>
            <w:r>
              <w:rPr>
                <w:rFonts w:ascii="Arial" w:hAnsi="Arial"/>
                <w:b/>
                <w:color w:val="FFFFFF"/>
                <w:sz w:val="19"/>
              </w:rPr>
              <w:t>Focus &amp; Visual</w:t>
            </w:r>
          </w:p>
        </w:tc>
        <w:tc>
          <w:tcPr>
            <w:tcW w:type="dxa" w:w="1728"/>
            <w:shd w:fill="003366"/>
            <w:tcMar>
              <w:top w:w="100" w:type="dxa"/>
              <w:bottom w:w="100" w:type="dxa"/>
              <w:left w:w="120" w:type="dxa"/>
              <w:right w:w="120" w:type="dxa"/>
            </w:tcMar>
          </w:tcPr>
          <w:p>
            <w:r>
              <w:rPr>
                <w:rFonts w:ascii="Arial" w:hAnsi="Arial"/>
                <w:b/>
                <w:color w:val="FFFFFF"/>
                <w:sz w:val="19"/>
              </w:rPr>
              <w:t>Target Tech Track</w:t>
            </w:r>
          </w:p>
        </w:tc>
      </w:tr>
      <w:tr>
        <w:tc>
          <w:tcPr>
            <w:tcW w:type="dxa" w:w="1440"/>
            <w:shd w:fill="F0F4F8"/>
            <w:tcMar>
              <w:top w:w="80" w:type="dxa"/>
              <w:bottom w:w="80" w:type="dxa"/>
              <w:left w:w="100" w:type="dxa"/>
              <w:right w:w="100" w:type="dxa"/>
            </w:tcMar>
          </w:tcPr>
          <w:p>
            <w:r>
              <w:rPr>
                <w:rFonts w:ascii="Arial" w:hAnsi="Arial"/>
                <w:color w:val="333333"/>
                <w:sz w:val="18"/>
              </w:rPr>
              <w:t>0:00 - 0:30</w:t>
            </w:r>
          </w:p>
        </w:tc>
        <w:tc>
          <w:tcPr>
            <w:tcW w:type="dxa" w:w="2592"/>
            <w:shd w:fill="F0F4F8"/>
            <w:tcMar>
              <w:top w:w="80" w:type="dxa"/>
              <w:bottom w:w="80" w:type="dxa"/>
              <w:left w:w="100" w:type="dxa"/>
              <w:right w:w="100" w:type="dxa"/>
            </w:tcMar>
          </w:tcPr>
          <w:p>
            <w:r>
              <w:rPr>
                <w:rFonts w:ascii="Arial" w:hAnsi="Arial"/>
                <w:color w:val="333333"/>
                <w:sz w:val="18"/>
              </w:rPr>
              <w:t>1. The Hook &amp; Core Problem</w:t>
            </w:r>
          </w:p>
        </w:tc>
        <w:tc>
          <w:tcPr>
            <w:tcW w:type="dxa" w:w="3600"/>
            <w:shd w:fill="F0F4F8"/>
            <w:tcMar>
              <w:top w:w="80" w:type="dxa"/>
              <w:bottom w:w="80" w:type="dxa"/>
              <w:left w:w="100" w:type="dxa"/>
              <w:right w:w="100" w:type="dxa"/>
            </w:tcMar>
          </w:tcPr>
          <w:p>
            <w:r>
              <w:rPr>
                <w:rFonts w:ascii="Arial" w:hAnsi="Arial"/>
                <w:color w:val="333333"/>
                <w:sz w:val="18"/>
              </w:rPr>
              <w:t>Opening slide &amp; Privacy Dilemma graphic</w:t>
            </w:r>
          </w:p>
        </w:tc>
        <w:tc>
          <w:tcPr>
            <w:tcW w:type="dxa" w:w="1728"/>
            <w:shd w:fill="F0F4F8"/>
            <w:tcMar>
              <w:top w:w="80" w:type="dxa"/>
              <w:bottom w:w="80" w:type="dxa"/>
              <w:left w:w="100" w:type="dxa"/>
              <w:right w:w="100" w:type="dxa"/>
            </w:tcMar>
          </w:tcPr>
          <w:p>
            <w:r>
              <w:rPr>
                <w:rFonts w:ascii="Arial" w:hAnsi="Arial"/>
                <w:color w:val="333333"/>
                <w:sz w:val="18"/>
              </w:rPr>
              <w:t>NVIDIA NemoClaw</w:t>
            </w:r>
          </w:p>
        </w:tc>
      </w:tr>
      <w:tr>
        <w:tc>
          <w:tcPr>
            <w:tcW w:type="dxa" w:w="1440"/>
            <w:shd w:fill="FFFFFF"/>
            <w:tcMar>
              <w:top w:w="80" w:type="dxa"/>
              <w:bottom w:w="80" w:type="dxa"/>
              <w:left w:w="100" w:type="dxa"/>
              <w:right w:w="100" w:type="dxa"/>
            </w:tcMar>
          </w:tcPr>
          <w:p>
            <w:r>
              <w:rPr>
                <w:rFonts w:ascii="Arial" w:hAnsi="Arial"/>
                <w:color w:val="333333"/>
                <w:sz w:val="18"/>
              </w:rPr>
              <w:t>0:30 - 1:30</w:t>
            </w:r>
          </w:p>
        </w:tc>
        <w:tc>
          <w:tcPr>
            <w:tcW w:type="dxa" w:w="2592"/>
            <w:shd w:fill="FFFFFF"/>
            <w:tcMar>
              <w:top w:w="80" w:type="dxa"/>
              <w:bottom w:w="80" w:type="dxa"/>
              <w:left w:w="100" w:type="dxa"/>
              <w:right w:w="100" w:type="dxa"/>
            </w:tcMar>
          </w:tcPr>
          <w:p>
            <w:r>
              <w:rPr>
                <w:rFonts w:ascii="Arial" w:hAnsi="Arial"/>
                <w:color w:val="333333"/>
                <w:sz w:val="18"/>
              </w:rPr>
              <w:t>2. On-Device Guardrail Demo</w:t>
            </w:r>
          </w:p>
        </w:tc>
        <w:tc>
          <w:tcPr>
            <w:tcW w:type="dxa" w:w="3600"/>
            <w:shd w:fill="FFFFFF"/>
            <w:tcMar>
              <w:top w:w="80" w:type="dxa"/>
              <w:bottom w:w="80" w:type="dxa"/>
              <w:left w:w="100" w:type="dxa"/>
              <w:right w:w="100" w:type="dxa"/>
            </w:tcMar>
          </w:tcPr>
          <w:p>
            <w:r>
              <w:rPr>
                <w:rFonts w:ascii="Arial" w:hAnsi="Arial"/>
                <w:color w:val="333333"/>
                <w:sz w:val="18"/>
              </w:rPr>
              <w:t>Live Chat: PII Redaction &amp; Shield HUD</w:t>
            </w:r>
          </w:p>
        </w:tc>
        <w:tc>
          <w:tcPr>
            <w:tcW w:type="dxa" w:w="1728"/>
            <w:shd w:fill="FFFFFF"/>
            <w:tcMar>
              <w:top w:w="80" w:type="dxa"/>
              <w:bottom w:w="80" w:type="dxa"/>
              <w:left w:w="100" w:type="dxa"/>
              <w:right w:w="100" w:type="dxa"/>
            </w:tcMar>
          </w:tcPr>
          <w:p>
            <w:r>
              <w:rPr>
                <w:rFonts w:ascii="Arial" w:hAnsi="Arial"/>
                <w:color w:val="333333"/>
                <w:sz w:val="18"/>
              </w:rPr>
              <w:t>NVIDIA NemoClaw / React</w:t>
            </w:r>
          </w:p>
        </w:tc>
      </w:tr>
      <w:tr>
        <w:tc>
          <w:tcPr>
            <w:tcW w:type="dxa" w:w="1440"/>
            <w:shd w:fill="F0F4F8"/>
            <w:tcMar>
              <w:top w:w="80" w:type="dxa"/>
              <w:bottom w:w="80" w:type="dxa"/>
              <w:left w:w="100" w:type="dxa"/>
              <w:right w:w="100" w:type="dxa"/>
            </w:tcMar>
          </w:tcPr>
          <w:p>
            <w:r>
              <w:rPr>
                <w:rFonts w:ascii="Arial" w:hAnsi="Arial"/>
                <w:color w:val="333333"/>
                <w:sz w:val="18"/>
              </w:rPr>
              <w:t>1:30 - 2:30</w:t>
            </w:r>
          </w:p>
        </w:tc>
        <w:tc>
          <w:tcPr>
            <w:tcW w:type="dxa" w:w="2592"/>
            <w:shd w:fill="F0F4F8"/>
            <w:tcMar>
              <w:top w:w="80" w:type="dxa"/>
              <w:bottom w:w="80" w:type="dxa"/>
              <w:left w:w="100" w:type="dxa"/>
              <w:right w:w="100" w:type="dxa"/>
            </w:tcMar>
          </w:tcPr>
          <w:p>
            <w:r>
              <w:rPr>
                <w:rFonts w:ascii="Arial" w:hAnsi="Arial"/>
                <w:color w:val="333333"/>
                <w:sz w:val="18"/>
              </w:rPr>
              <w:t>3. Nebius Router &amp; Tavily Search</w:t>
            </w:r>
          </w:p>
        </w:tc>
        <w:tc>
          <w:tcPr>
            <w:tcW w:type="dxa" w:w="3600"/>
            <w:shd w:fill="F0F4F8"/>
            <w:tcMar>
              <w:top w:w="80" w:type="dxa"/>
              <w:bottom w:w="80" w:type="dxa"/>
              <w:left w:w="100" w:type="dxa"/>
              <w:right w:w="100" w:type="dxa"/>
            </w:tcMar>
          </w:tcPr>
          <w:p>
            <w:r>
              <w:rPr>
                <w:rFonts w:ascii="Arial" w:hAnsi="Arial"/>
                <w:color w:val="333333"/>
                <w:sz w:val="18"/>
              </w:rPr>
              <w:t>Live HUD: Model switching &amp; Live Web Grounding</w:t>
            </w:r>
          </w:p>
        </w:tc>
        <w:tc>
          <w:tcPr>
            <w:tcW w:type="dxa" w:w="1728"/>
            <w:shd w:fill="F0F4F8"/>
            <w:tcMar>
              <w:top w:w="80" w:type="dxa"/>
              <w:bottom w:w="80" w:type="dxa"/>
              <w:left w:w="100" w:type="dxa"/>
              <w:right w:w="100" w:type="dxa"/>
            </w:tcMar>
          </w:tcPr>
          <w:p>
            <w:r>
              <w:rPr>
                <w:rFonts w:ascii="Arial" w:hAnsi="Arial"/>
                <w:color w:val="333333"/>
                <w:sz w:val="18"/>
              </w:rPr>
              <w:t>Nebius / Tavily API</w:t>
            </w:r>
          </w:p>
        </w:tc>
      </w:tr>
      <w:tr>
        <w:tc>
          <w:tcPr>
            <w:tcW w:type="dxa" w:w="1440"/>
            <w:shd w:fill="FFFFFF"/>
            <w:tcMar>
              <w:top w:w="80" w:type="dxa"/>
              <w:bottom w:w="80" w:type="dxa"/>
              <w:left w:w="100" w:type="dxa"/>
              <w:right w:w="100" w:type="dxa"/>
            </w:tcMar>
          </w:tcPr>
          <w:p>
            <w:r>
              <w:rPr>
                <w:rFonts w:ascii="Arial" w:hAnsi="Arial"/>
                <w:color w:val="333333"/>
                <w:sz w:val="18"/>
              </w:rPr>
              <w:t>2:30 - 3:30</w:t>
            </w:r>
          </w:p>
        </w:tc>
        <w:tc>
          <w:tcPr>
            <w:tcW w:type="dxa" w:w="2592"/>
            <w:shd w:fill="FFFFFF"/>
            <w:tcMar>
              <w:top w:w="80" w:type="dxa"/>
              <w:bottom w:w="80" w:type="dxa"/>
              <w:left w:w="100" w:type="dxa"/>
              <w:right w:w="100" w:type="dxa"/>
            </w:tcMar>
          </w:tcPr>
          <w:p>
            <w:r>
              <w:rPr>
                <w:rFonts w:ascii="Arial" w:hAnsi="Arial"/>
                <w:color w:val="333333"/>
                <w:sz w:val="18"/>
              </w:rPr>
              <w:t>4. Architecture &amp; Vector Memory</w:t>
            </w:r>
          </w:p>
        </w:tc>
        <w:tc>
          <w:tcPr>
            <w:tcW w:type="dxa" w:w="3600"/>
            <w:shd w:fill="FFFFFF"/>
            <w:tcMar>
              <w:top w:w="80" w:type="dxa"/>
              <w:bottom w:w="80" w:type="dxa"/>
              <w:left w:w="100" w:type="dxa"/>
              <w:right w:w="100" w:type="dxa"/>
            </w:tcMar>
          </w:tcPr>
          <w:p>
            <w:r>
              <w:rPr>
                <w:rFonts w:ascii="Arial" w:hAnsi="Arial"/>
                <w:color w:val="333333"/>
                <w:sz w:val="18"/>
              </w:rPr>
              <w:t>Monorepo Code Base, Qdrant &amp; Docker Stack</w:t>
            </w:r>
          </w:p>
        </w:tc>
        <w:tc>
          <w:tcPr>
            <w:tcW w:type="dxa" w:w="1728"/>
            <w:shd w:fill="FFFFFF"/>
            <w:tcMar>
              <w:top w:w="80" w:type="dxa"/>
              <w:bottom w:w="80" w:type="dxa"/>
              <w:left w:w="100" w:type="dxa"/>
              <w:right w:w="100" w:type="dxa"/>
            </w:tcMar>
          </w:tcPr>
          <w:p>
            <w:r>
              <w:rPr>
                <w:rFonts w:ascii="Arial" w:hAnsi="Arial"/>
                <w:color w:val="333333"/>
                <w:sz w:val="18"/>
              </w:rPr>
              <w:t>FastAPI / Qdrant / Docker</w:t>
            </w:r>
          </w:p>
        </w:tc>
      </w:tr>
      <w:tr>
        <w:tc>
          <w:tcPr>
            <w:tcW w:type="dxa" w:w="1440"/>
            <w:shd w:fill="F0F4F8"/>
            <w:tcMar>
              <w:top w:w="80" w:type="dxa"/>
              <w:bottom w:w="80" w:type="dxa"/>
              <w:left w:w="100" w:type="dxa"/>
              <w:right w:w="100" w:type="dxa"/>
            </w:tcMar>
          </w:tcPr>
          <w:p>
            <w:r>
              <w:rPr>
                <w:rFonts w:ascii="Arial" w:hAnsi="Arial"/>
                <w:color w:val="333333"/>
                <w:sz w:val="18"/>
              </w:rPr>
              <w:t>3:30 - 4:00</w:t>
            </w:r>
          </w:p>
        </w:tc>
        <w:tc>
          <w:tcPr>
            <w:tcW w:type="dxa" w:w="2592"/>
            <w:shd w:fill="F0F4F8"/>
            <w:tcMar>
              <w:top w:w="80" w:type="dxa"/>
              <w:bottom w:w="80" w:type="dxa"/>
              <w:left w:w="100" w:type="dxa"/>
              <w:right w:w="100" w:type="dxa"/>
            </w:tcMar>
          </w:tcPr>
          <w:p>
            <w:r>
              <w:rPr>
                <w:rFonts w:ascii="Arial" w:hAnsi="Arial"/>
                <w:color w:val="333333"/>
                <w:sz w:val="18"/>
              </w:rPr>
              <w:t>5. Impact, Differentiation &amp; Closing</w:t>
            </w:r>
          </w:p>
        </w:tc>
        <w:tc>
          <w:tcPr>
            <w:tcW w:type="dxa" w:w="3600"/>
            <w:shd w:fill="F0F4F8"/>
            <w:tcMar>
              <w:top w:w="80" w:type="dxa"/>
              <w:bottom w:w="80" w:type="dxa"/>
              <w:left w:w="100" w:type="dxa"/>
              <w:right w:w="100" w:type="dxa"/>
            </w:tcMar>
          </w:tcPr>
          <w:p>
            <w:r>
              <w:rPr>
                <w:rFonts w:ascii="Arial" w:hAnsi="Arial"/>
                <w:color w:val="333333"/>
                <w:sz w:val="18"/>
              </w:rPr>
              <w:t>ChatGPT vs SAYZE OS Matrix &amp; Call to Action</w:t>
            </w:r>
          </w:p>
        </w:tc>
        <w:tc>
          <w:tcPr>
            <w:tcW w:type="dxa" w:w="1728"/>
            <w:shd w:fill="F0F4F8"/>
            <w:tcMar>
              <w:top w:w="80" w:type="dxa"/>
              <w:bottom w:w="80" w:type="dxa"/>
              <w:left w:w="100" w:type="dxa"/>
              <w:right w:w="100" w:type="dxa"/>
            </w:tcMar>
          </w:tcPr>
          <w:p>
            <w:r>
              <w:rPr>
                <w:rFonts w:ascii="Arial" w:hAnsi="Arial"/>
                <w:color w:val="333333"/>
                <w:sz w:val="18"/>
              </w:rPr>
              <w:t>Grand Prize Target</w:t>
            </w:r>
          </w:p>
        </w:tc>
      </w:tr>
    </w:tbl>
    <w:p/>
    <w:p>
      <w:pPr>
        <w:spacing w:before="360" w:after="160"/>
      </w:pPr>
      <w:r>
        <w:rPr>
          <w:b/>
          <w:color w:val="003366"/>
          <w:sz w:val="32"/>
        </w:rPr>
        <w:t>🎬 Complete 4-Minute Presentation Script &amp; Screen Directives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003366"/>
              <w:left w:val="single" w:sz="24" w:space="0" w:color="003366"/>
              <w:bottom w:val="single" w:sz="6" w:space="0" w:color="003366"/>
              <w:right w:val="single" w:sz="6" w:space="0" w:color="003366"/>
            </w:tcBorders>
          </w:tcPr>
          <w:p>
            <w:pPr>
              <w:spacing w:before="0" w:after="120"/>
            </w:pPr>
            <w:r>
              <w:rPr>
                <w:rFonts w:ascii="Arial" w:hAnsi="Arial"/>
                <w:b/>
                <w:color w:val="003366"/>
                <w:sz w:val="22"/>
              </w:rPr>
              <w:t xml:space="preserve">⏱️ [0:00 - 0:30] </w:t>
            </w:r>
            <w:r>
              <w:rPr>
                <w:rFonts w:ascii="Arial" w:hAnsi="Arial"/>
                <w:b/>
                <w:color w:val="003366"/>
                <w:sz w:val="24"/>
              </w:rPr>
              <w:t>Phase 1: The Hook &amp; The Cloud AI Privacy Crisis</w:t>
            </w:r>
          </w:p>
          <w:p>
            <w:pPr>
              <w:spacing w:before="80" w:after="120"/>
            </w:pPr>
            <w:r>
              <w:rPr>
                <w:rFonts w:ascii="Arial" w:hAnsi="Arial"/>
                <w:b/>
                <w:color w:val="4682B4"/>
                <w:sz w:val="19"/>
              </w:rPr>
              <w:t>🎬 ON-SCREEN ACTION / VISUAL DEMO:</w:t>
              <w:br/>
            </w:r>
            <w:r>
              <w:rPr>
                <w:rFonts w:ascii="Arial" w:hAnsi="Arial"/>
                <w:i/>
                <w:color w:val="444444"/>
                <w:sz w:val="20"/>
              </w:rPr>
              <w:t>Full screen title slide displaying SAYZE OS cyberpunk glassmorphic logo with subtitle: 'Zero-Trust Executive Intelligence'. Cut briefly to a high-contrast graphic contrasting 'Unencrypted Cloud AI Logging' vs 'SAYZE OS On-Device Air-Gap'.</w:t>
            </w:r>
          </w:p>
          <w:p>
            <w:pPr>
              <w:spacing w:before="80" w:after="120"/>
            </w:pPr>
            <w:r>
              <w:rPr>
                <w:rFonts w:ascii="Arial" w:hAnsi="Arial"/>
                <w:b/>
                <w:color w:val="003366"/>
                <w:sz w:val="19"/>
              </w:rPr>
              <w:t>🎙️ SPOKEN SCRIPT (VOICEOVER):</w:t>
              <w:br/>
            </w:r>
            <w:r>
              <w:rPr>
                <w:rFonts w:ascii="Georgia" w:hAnsi="Georgia"/>
                <w:color w:val="111111"/>
                <w:sz w:val="21"/>
              </w:rPr>
              <w:t>"Every single day, millions of executives, developers, and users face a critical privacy dilemma. We want the power of 500-billion-parameter AI models to draft emails, analyze receipts, and summarize documents—but doing so means transmitting raw credit cards, social security numbers, and private contacts directly to cloud servers. Existing solutions ask you to either sacrifice performance with slow local models or pinky-promise that cloud black boxes won't log your data. Welcome to SAYZE OS—the world's first zero-trust, air-gapped personal AI executive assistant."</w:t>
            </w:r>
          </w:p>
          <w:p>
            <w:pPr>
              <w:spacing w:before="80" w:after="40"/>
            </w:pPr>
            <w:r>
              <w:rPr>
                <w:rFonts w:ascii="Consolas" w:hAnsi="Consolas"/>
                <w:b/>
                <w:color w:val="10B981"/>
                <w:sz w:val="18"/>
              </w:rPr>
              <w:t xml:space="preserve">⚙️ TECHNICAL HIGHLIGHT: </w:t>
            </w:r>
            <w:r>
              <w:rPr>
                <w:rFonts w:ascii="Consolas" w:hAnsi="Consolas"/>
                <w:color w:val="333333"/>
                <w:sz w:val="18"/>
              </w:rPr>
              <w:t>Establishes core product differentiation and targets the Personal AI track.</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003366"/>
              <w:left w:val="single" w:sz="24" w:space="0" w:color="003366"/>
              <w:bottom w:val="single" w:sz="6" w:space="0" w:color="003366"/>
              <w:right w:val="single" w:sz="6" w:space="0" w:color="003366"/>
            </w:tcBorders>
          </w:tcPr>
          <w:p>
            <w:pPr>
              <w:spacing w:before="0" w:after="120"/>
            </w:pPr>
            <w:r>
              <w:rPr>
                <w:rFonts w:ascii="Arial" w:hAnsi="Arial"/>
                <w:b/>
                <w:color w:val="003366"/>
                <w:sz w:val="22"/>
              </w:rPr>
              <w:t xml:space="preserve">⏱️ [0:30 - 1:30] </w:t>
            </w:r>
            <w:r>
              <w:rPr>
                <w:rFonts w:ascii="Arial" w:hAnsi="Arial"/>
                <w:b/>
                <w:color w:val="003366"/>
                <w:sz w:val="24"/>
              </w:rPr>
              <w:t>Phase 2: Live Demo — On-Device NVIDIA NemoClaw Guardrails</w:t>
            </w:r>
          </w:p>
          <w:p>
            <w:pPr>
              <w:spacing w:before="80" w:after="120"/>
            </w:pPr>
            <w:r>
              <w:rPr>
                <w:rFonts w:ascii="Arial" w:hAnsi="Arial"/>
                <w:b/>
                <w:color w:val="4682B4"/>
                <w:sz w:val="19"/>
              </w:rPr>
              <w:t>🎬 ON-SCREEN ACTION / VISUAL DEMO:</w:t>
              <w:br/>
            </w:r>
            <w:r>
              <w:rPr>
                <w:rFonts w:ascii="Arial" w:hAnsi="Arial"/>
                <w:i/>
                <w:color w:val="444444"/>
                <w:sz w:val="20"/>
              </w:rPr>
              <w:t>Screen record the React dashboard live. Type the prompt with mock PII into the glowing floating input pill. Mouse hover over the SecurityBadge component as the green pulse ring activates and the PII counter increments to '+3 Protected Tokens'. Switch side-panel tab to 'Privacy Air-Gap Log' showing side-by-side Raw Input vs Masked Output.</w:t>
            </w:r>
          </w:p>
          <w:p>
            <w:pPr>
              <w:spacing w:before="80" w:after="120"/>
            </w:pPr>
            <w:r>
              <w:rPr>
                <w:rFonts w:ascii="Arial" w:hAnsi="Arial"/>
                <w:b/>
                <w:color w:val="003366"/>
                <w:sz w:val="19"/>
              </w:rPr>
              <w:t>🎙️ SPOKEN SCRIPT (VOICEOVER):</w:t>
              <w:br/>
            </w:r>
            <w:r>
              <w:rPr>
                <w:rFonts w:ascii="Georgia" w:hAnsi="Georgia"/>
                <w:color w:val="111111"/>
                <w:sz w:val="21"/>
              </w:rPr>
              <w:t>"Let's see SAYZE OS in action. Watch closely as I type a high-risk prompt containing sensitive PII into our Cyberpunk HUD: 'Hey SAYZE OS, book my flight ticket. My email is john.doe.secure@enterprise-mail.com, phone is +1-555-839-2044, and charge card 4532-7182-9302-4112.' The instant I hit send, NVIDIA NemoClaw intercepts the message locally on my device. It executes embedding analysis and high-precision regex rules, stripping out all sensitive data and replacing them with semantic tokens like [EMAIL_TOKEN_0] and [CARD_TOKEN_0]. Look at our real-time Security Badge on top—the green neon shield rings pulse, and our live token counter updates instantly. The cloud model never sees raw identity data. When the response streams back, NemoClaw seamlessly re-injects the real data locally on my screen. 100% functionality with 0% data exposure."</w:t>
            </w:r>
          </w:p>
          <w:p>
            <w:pPr>
              <w:spacing w:before="80" w:after="40"/>
            </w:pPr>
            <w:r>
              <w:rPr>
                <w:rFonts w:ascii="Consolas" w:hAnsi="Consolas"/>
                <w:b/>
                <w:color w:val="10B981"/>
                <w:sz w:val="18"/>
              </w:rPr>
              <w:t xml:space="preserve">⚙️ TECHNICAL HIGHLIGHT: </w:t>
            </w:r>
            <w:r>
              <w:rPr>
                <w:rFonts w:ascii="Consolas" w:hAnsi="Consolas"/>
                <w:color w:val="333333"/>
                <w:sz w:val="18"/>
              </w:rPr>
              <w:t>NVIDIA NemoClaw local guardrail execution in backend/security/nemoclaw.py + React Framer Motion HUD telemetry.</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003366"/>
              <w:left w:val="single" w:sz="24" w:space="0" w:color="003366"/>
              <w:bottom w:val="single" w:sz="6" w:space="0" w:color="003366"/>
              <w:right w:val="single" w:sz="6" w:space="0" w:color="003366"/>
            </w:tcBorders>
          </w:tcPr>
          <w:p>
            <w:pPr>
              <w:spacing w:before="0" w:after="120"/>
            </w:pPr>
            <w:r>
              <w:rPr>
                <w:rFonts w:ascii="Arial" w:hAnsi="Arial"/>
                <w:b/>
                <w:color w:val="003366"/>
                <w:sz w:val="22"/>
              </w:rPr>
              <w:t xml:space="preserve">⏱️ [1:30 - 2:30] </w:t>
            </w:r>
            <w:r>
              <w:rPr>
                <w:rFonts w:ascii="Arial" w:hAnsi="Arial"/>
                <w:b/>
                <w:color w:val="003366"/>
                <w:sz w:val="24"/>
              </w:rPr>
              <w:t>Phase 3: Live Demo — Nebius Token Factory Routing &amp; Tavily Web Grounding</w:t>
            </w:r>
          </w:p>
          <w:p>
            <w:pPr>
              <w:spacing w:before="80" w:after="120"/>
            </w:pPr>
            <w:r>
              <w:rPr>
                <w:rFonts w:ascii="Arial" w:hAnsi="Arial"/>
                <w:b/>
                <w:color w:val="4682B4"/>
                <w:sz w:val="19"/>
              </w:rPr>
              <w:t>🎬 ON-SCREEN ACTION / VISUAL DEMO:</w:t>
              <w:br/>
            </w:r>
            <w:r>
              <w:rPr>
                <w:rFonts w:ascii="Arial" w:hAnsi="Arial"/>
                <w:i/>
                <w:color w:val="444444"/>
                <w:sz w:val="20"/>
              </w:rPr>
              <w:t>Type real-time query into chat. Show the side panel automatically highlight 'Route: Nemotron-3-5-Lightning + Tavily Search'. Point cursor to the live web search snippet badges rendered inside the sleek dark glass assistant message bubble.</w:t>
            </w:r>
          </w:p>
          <w:p>
            <w:pPr>
              <w:spacing w:before="80" w:after="120"/>
            </w:pPr>
            <w:r>
              <w:rPr>
                <w:rFonts w:ascii="Arial" w:hAnsi="Arial"/>
                <w:b/>
                <w:color w:val="003366"/>
                <w:sz w:val="19"/>
              </w:rPr>
              <w:t>🎙️ SPOKEN SCRIPT (VOICEOVER):</w:t>
              <w:br/>
            </w:r>
            <w:r>
              <w:rPr>
                <w:rFonts w:ascii="Georgia" w:hAnsi="Georgia"/>
                <w:color w:val="111111"/>
                <w:sz w:val="21"/>
              </w:rPr>
              <w:t>"Now, let's look under the hood at our dynamic intelligence engine. SAYZE OS doesn't rely on a single rigid model. Powered by Nebius Token Factory, our backend router dynamically evaluates query intent. When I ask for complex systems engineering or code, it routes the sanitized request to NVIDIA Nemotron-3-Ultra-550b for deep reasoning. But when I ask for real-time information—like 'What are the latest breakthrough stock headlines for Nebius Group today?'—the router instantly detects search intent. It dispatches an anonymized query through the Tavily Search API, fetches grounded live web snippets, and feeds them into Nemotron-3-5-Lightning for sub-second, hallucination-free generation. Look at our Telemetry Model Inspector on the right: it displays the exact model tier used, latency metrics, and grounded web sources."</w:t>
            </w:r>
          </w:p>
          <w:p>
            <w:pPr>
              <w:spacing w:before="80" w:after="40"/>
            </w:pPr>
            <w:r>
              <w:rPr>
                <w:rFonts w:ascii="Consolas" w:hAnsi="Consolas"/>
                <w:b/>
                <w:color w:val="10B981"/>
                <w:sz w:val="18"/>
              </w:rPr>
              <w:t xml:space="preserve">⚙️ TECHNICAL HIGHLIGHT: </w:t>
            </w:r>
            <w:r>
              <w:rPr>
                <w:rFonts w:ascii="Consolas" w:hAnsi="Consolas"/>
                <w:color w:val="333333"/>
                <w:sz w:val="18"/>
              </w:rPr>
              <w:t>Nebius Token Factory dynamic routing (backend/engine/router.py) + Tavily Search API web grounding integration.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003366"/>
              <w:left w:val="single" w:sz="24" w:space="0" w:color="003366"/>
              <w:bottom w:val="single" w:sz="6" w:space="0" w:color="003366"/>
              <w:right w:val="single" w:sz="6" w:space="0" w:color="003366"/>
            </w:tcBorders>
          </w:tcPr>
          <w:p>
            <w:pPr>
              <w:spacing w:before="0" w:after="120"/>
            </w:pPr>
            <w:r>
              <w:rPr>
                <w:rFonts w:ascii="Arial" w:hAnsi="Arial"/>
                <w:b/>
                <w:color w:val="003366"/>
                <w:sz w:val="22"/>
              </w:rPr>
              <w:t xml:space="preserve">⏱️ [2:30 - 3:30] </w:t>
            </w:r>
            <w:r>
              <w:rPr>
                <w:rFonts w:ascii="Arial" w:hAnsi="Arial"/>
                <w:b/>
                <w:color w:val="003366"/>
                <w:sz w:val="24"/>
              </w:rPr>
              <w:t>Phase 4: Monorepo Architecture, Local Qdrant Memory &amp; Audit Trails</w:t>
            </w:r>
          </w:p>
          <w:p>
            <w:pPr>
              <w:spacing w:before="80" w:after="120"/>
            </w:pPr>
            <w:r>
              <w:rPr>
                <w:rFonts w:ascii="Arial" w:hAnsi="Arial"/>
                <w:b/>
                <w:color w:val="4682B4"/>
                <w:sz w:val="19"/>
              </w:rPr>
              <w:t>🎬 ON-SCREEN ACTION / VISUAL DEMO:</w:t>
              <w:br/>
            </w:r>
            <w:r>
              <w:rPr>
                <w:rFonts w:ascii="Arial" w:hAnsi="Arial"/>
                <w:i/>
                <w:color w:val="444444"/>
                <w:sz w:val="20"/>
              </w:rPr>
              <w:t>Transition screen to VS Code workspace. Quickly highlight backend/main.py, backend/security/nemoclaw.py, backend/engine/router.py, and docker-compose.yml. Show terminal running pytest with 100% passing tests for security and routing modules.</w:t>
            </w:r>
          </w:p>
          <w:p>
            <w:pPr>
              <w:spacing w:before="80" w:after="120"/>
            </w:pPr>
            <w:r>
              <w:rPr>
                <w:rFonts w:ascii="Arial" w:hAnsi="Arial"/>
                <w:b/>
                <w:color w:val="003366"/>
                <w:sz w:val="19"/>
              </w:rPr>
              <w:t>🎙️ SPOKEN SCRIPT (VOICEOVER):</w:t>
              <w:br/>
            </w:r>
            <w:r>
              <w:rPr>
                <w:rFonts w:ascii="Georgia" w:hAnsi="Georgia"/>
                <w:color w:val="111111"/>
                <w:sz w:val="21"/>
              </w:rPr>
              <w:t>"SAYZE OS is engineered as a production-grade, zero-trust microservices monorepo. Here in our backend workspace, our FastAPI server orchestrates a strict 4-pass security loop. Long-term contextual memory is managed locally via Qdrant Vector DB, ensuring user preferences persist across sessions without leaking vectors to third-party clouds. Every single transaction, PII redaction event, and latency metric is transparently audited in our local SQLite database. Furthermore, our entire stack—FastAPI, Qdrant, and React—is completely containerized using Docker and Docker-Compose, deployable in a single command."</w:t>
            </w:r>
          </w:p>
          <w:p>
            <w:pPr>
              <w:spacing w:before="80" w:after="40"/>
            </w:pPr>
            <w:r>
              <w:rPr>
                <w:rFonts w:ascii="Consolas" w:hAnsi="Consolas"/>
                <w:b/>
                <w:color w:val="10B981"/>
                <w:sz w:val="18"/>
              </w:rPr>
              <w:t xml:space="preserve">⚙️ TECHNICAL HIGHLIGHT: </w:t>
            </w:r>
            <w:r>
              <w:rPr>
                <w:rFonts w:ascii="Consolas" w:hAnsi="Consolas"/>
                <w:color w:val="333333"/>
                <w:sz w:val="18"/>
              </w:rPr>
              <w:t>FastAPI, Qdrant Vector DB, SQLite Audit Store, Docker Multi-Container orchestration.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003366"/>
              <w:left w:val="single" w:sz="24" w:space="0" w:color="003366"/>
              <w:bottom w:val="single" w:sz="6" w:space="0" w:color="003366"/>
              <w:right w:val="single" w:sz="6" w:space="0" w:color="003366"/>
            </w:tcBorders>
          </w:tcPr>
          <w:p>
            <w:pPr>
              <w:spacing w:before="0" w:after="120"/>
            </w:pPr>
            <w:r>
              <w:rPr>
                <w:rFonts w:ascii="Arial" w:hAnsi="Arial"/>
                <w:b/>
                <w:color w:val="003366"/>
                <w:sz w:val="22"/>
              </w:rPr>
              <w:t xml:space="preserve">⏱️ [3:30 - 4:00] </w:t>
            </w:r>
            <w:r>
              <w:rPr>
                <w:rFonts w:ascii="Arial" w:hAnsi="Arial"/>
                <w:b/>
                <w:color w:val="003366"/>
                <w:sz w:val="24"/>
              </w:rPr>
              <w:t>Phase 5: Value Proposition, Competitive Matrix &amp; Hackathon Closing</w:t>
            </w:r>
          </w:p>
          <w:p>
            <w:pPr>
              <w:spacing w:before="80" w:after="120"/>
            </w:pPr>
            <w:r>
              <w:rPr>
                <w:rFonts w:ascii="Arial" w:hAnsi="Arial"/>
                <w:b/>
                <w:color w:val="4682B4"/>
                <w:sz w:val="19"/>
              </w:rPr>
              <w:t>🎬 ON-SCREEN ACTION / VISUAL DEMO:</w:t>
              <w:br/>
            </w:r>
            <w:r>
              <w:rPr>
                <w:rFonts w:ascii="Arial" w:hAnsi="Arial"/>
                <w:i/>
                <w:color w:val="444444"/>
                <w:sz w:val="20"/>
              </w:rPr>
              <w:t>Display comparison matrix slide (ChatGPT vs SAYZE OS across Privacy, Open Models, Web Grounding, and Audit Trails). Conclude on full-screen logo slide with GitHub repo URL and Devpost submission badges.</w:t>
            </w:r>
          </w:p>
          <w:p>
            <w:pPr>
              <w:spacing w:before="80" w:after="120"/>
            </w:pPr>
            <w:r>
              <w:rPr>
                <w:rFonts w:ascii="Arial" w:hAnsi="Arial"/>
                <w:b/>
                <w:color w:val="003366"/>
                <w:sz w:val="19"/>
              </w:rPr>
              <w:t>🎙️ SPOKEN SCRIPT (VOICEOVER):</w:t>
              <w:br/>
            </w:r>
            <w:r>
              <w:rPr>
                <w:rFonts w:ascii="Georgia" w:hAnsi="Georgia"/>
                <w:color w:val="111111"/>
                <w:sz w:val="21"/>
              </w:rPr>
              <w:t>"Unlike ChatGPT or commercial black-box assistants, SAYZE OS guarantees that your private data remains strictly on your device. By pairing NVIDIA NemoClaw's air-gapped security with Nebius Token Factory's open-weights inference and Tavily's web grounding, we have delivered the ultimate zero-trust executive assistant. SAYZE OS is fully open-source, fully tested, and ready to redefine personal AI safety. Thank you!"</w:t>
            </w:r>
          </w:p>
          <w:p>
            <w:pPr>
              <w:spacing w:before="80" w:after="40"/>
            </w:pPr>
            <w:r>
              <w:rPr>
                <w:rFonts w:ascii="Consolas" w:hAnsi="Consolas"/>
                <w:b/>
                <w:color w:val="10B981"/>
                <w:sz w:val="18"/>
              </w:rPr>
              <w:t xml:space="preserve">⚙️ TECHNICAL HIGHLIGHT: </w:t>
            </w:r>
            <w:r>
              <w:rPr>
                <w:rFonts w:ascii="Consolas" w:hAnsi="Consolas"/>
                <w:color w:val="333333"/>
                <w:sz w:val="18"/>
              </w:rPr>
              <w:t>Final pitch summary targeting $20,000 Grand Prize, $3,000 Tavily Award, and NVIDIA/Nebius tracks.</w:t>
            </w:r>
          </w:p>
        </w:tc>
      </w:tr>
    </w:tbl>
    <w:p/>
    <w:p>
      <w:pPr>
        <w:spacing w:before="360" w:after="160"/>
      </w:pPr>
      <w:r>
        <w:rPr>
          <w:b/>
          <w:color w:val="003366"/>
          <w:sz w:val="28"/>
        </w:rPr>
        <w:t>📋 Video Recording &amp; Submission Best Practices</w:t>
      </w:r>
    </w:p>
    <w:p>
      <w:pPr>
        <w:pStyle w:val="ListBullet"/>
        <w:spacing w:after="60"/>
      </w:pPr>
      <w:r>
        <w:rPr>
          <w:rFonts w:ascii="Arial" w:hAnsi="Arial"/>
          <w:sz w:val="20"/>
        </w:rPr>
        <w:t>Resolution &amp; Frame Rate: Record at 1080p (1920x1080) at 60 FPS using OBS Studio, Loom, or Camtasia.</w:t>
      </w:r>
    </w:p>
    <w:p>
      <w:pPr>
        <w:pStyle w:val="ListBullet"/>
        <w:spacing w:after="60"/>
      </w:pPr>
      <w:r>
        <w:rPr>
          <w:rFonts w:ascii="Arial" w:hAnsi="Arial"/>
          <w:sz w:val="20"/>
        </w:rPr>
        <w:t>Audio Quality: Use a dedicated USB microphone with noise suppression enabled. Speech should be clear, confident, and energetic.</w:t>
      </w:r>
    </w:p>
    <w:p>
      <w:pPr>
        <w:pStyle w:val="ListBullet"/>
        <w:spacing w:after="60"/>
      </w:pPr>
      <w:r>
        <w:rPr>
          <w:rFonts w:ascii="Arial" w:hAnsi="Arial"/>
          <w:sz w:val="20"/>
        </w:rPr>
        <w:t>Timing Constraint: Ensure the final exported video is strictly under 3:00 to 4:00 minutes. Hackathon judges stop evaluating after 3-4 minutes.</w:t>
      </w:r>
    </w:p>
    <w:p>
      <w:pPr>
        <w:pStyle w:val="ListBullet"/>
        <w:spacing w:after="60"/>
      </w:pPr>
      <w:r>
        <w:rPr>
          <w:rFonts w:ascii="Arial" w:hAnsi="Arial"/>
          <w:sz w:val="20"/>
        </w:rPr>
        <w:t>Platform &amp; Visibility: Upload to YouTube as 'Unlisted' or 'Public'. Double-check that no password protection or private access blocks exist.</w:t>
      </w:r>
    </w:p>
    <w:p>
      <w:pPr>
        <w:pStyle w:val="ListBullet"/>
        <w:spacing w:after="60"/>
      </w:pPr>
      <w:r>
        <w:rPr>
          <w:rFonts w:ascii="Arial" w:hAnsi="Arial"/>
          <w:sz w:val="20"/>
        </w:rPr>
        <w:t>Screen Preparation: Hide desktop icons, close unrelated browser tabs, and set terminal/code editor font size to 14pt+ for high readability.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