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03366"/>
          <w:sz w:val="48"/>
        </w:rPr>
        <w:t>SAYZE OS — Vibe Coding Master Blueprint</w:t>
      </w:r>
    </w:p>
    <w:p>
      <w:pPr>
        <w:spacing w:after="360"/>
      </w:pPr>
      <w:r>
        <w:rPr>
          <w:i/>
          <w:color w:val="555555"/>
          <w:sz w:val="24"/>
        </w:rPr>
        <w:t>Zero-to-Hero AI Coding Prompts with Testing &amp; Deployment Pipelines | Nebius x NVIDIA Hackathon</w:t>
      </w:r>
    </w:p>
    <w:p>
      <w:pPr>
        <w:keepNext/>
        <w:spacing w:before="360" w:after="160"/>
      </w:pPr>
      <w:r>
        <w:rPr>
          <w:rFonts w:ascii="Arial" w:hAnsi="Arial"/>
          <w:b/>
          <w:color w:val="003366"/>
          <w:sz w:val="36"/>
        </w:rPr>
        <w:t>1. Executive Vibe Coding Strategy</w:t>
      </w:r>
    </w:p>
    <w:p>
      <w:r>
        <w:t xml:space="preserve">This document contains the complete step-by-step </w:t>
      </w:r>
      <w:r>
        <w:rPr>
          <w:b/>
        </w:rPr>
        <w:t>Vibe Coding</w:t>
      </w:r>
      <w:r>
        <w:t xml:space="preserve"> blueprint for building </w:t>
      </w:r>
      <w:r>
        <w:rPr>
          <w:b/>
        </w:rPr>
        <w:t>SAYZE OS</w:t>
      </w:r>
      <w:r>
        <w:t xml:space="preserve"> from scratch to full deployment. Vibe coding relies on giving high-context, ultra-precise prompts to AI coding assistants (like Cursor, Claude Code, Windsurf, or GitHub Copilot) so that the LLM generates 100% working code, test suites, and deployment infrastructure without manual boilerplate writing.</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003366"/>
              <w:bottom w:val="none"/>
              <w:right w:val="none"/>
            </w:tcBorders>
          </w:tcPr>
          <w:p>
            <w:pPr>
              <w:spacing w:before="40" w:after="80"/>
            </w:pPr>
            <w:r>
              <w:rPr>
                <w:rFonts w:ascii="Arial" w:hAnsi="Arial"/>
                <w:b/>
                <w:color w:val="003366"/>
                <w:sz w:val="21"/>
              </w:rPr>
              <w:t xml:space="preserve">📌 HOW TO USE THIS VIBE CODING GUIDE: </w:t>
            </w:r>
            <w:r>
              <w:rPr>
                <w:rFonts w:ascii="Arial" w:hAnsi="Arial"/>
                <w:color w:val="222222"/>
                <w:sz w:val="20"/>
              </w:rPr>
              <w:t>Copy each prompt in order and paste it directly into your AI coding tool (Cursor / Claude Code / Windsurf). After running each prompt, read the 'What Will Happen' section to verify the output before moving to the next prompt.</w:t>
            </w:r>
          </w:p>
        </w:tc>
      </w:tr>
    </w:tbl>
    <w:p/>
    <w:p>
      <w:pPr>
        <w:keepNext/>
        <w:spacing w:before="360" w:after="160"/>
      </w:pPr>
      <w:r>
        <w:rPr>
          <w:rFonts w:ascii="Arial" w:hAnsi="Arial"/>
          <w:b/>
          <w:color w:val="003366"/>
          <w:sz w:val="36"/>
        </w:rPr>
        <w:t>2. Step-by-Step Vibe Coding Prompts</w:t>
      </w:r>
    </w:p>
    <w:p>
      <w:pPr>
        <w:keepNext/>
        <w:spacing w:before="280" w:after="120"/>
      </w:pPr>
      <w:r>
        <w:rPr>
          <w:rFonts w:ascii="Arial" w:hAnsi="Arial"/>
          <w:b/>
          <w:color w:val="4682B4"/>
          <w:sz w:val="28"/>
        </w:rPr>
        <w:t>Prompt 01: Project Scaffold &amp; Environment Setup (Phase 1: Foundation)</w:t>
      </w:r>
    </w:p>
    <w:tbl>
      <w:tblPr>
        <w:tblW w:type="auto" w:w="0"/>
        <w:jc w:val="center"/>
        <w:tblLayout w:type="fixed"/>
        <w:tblLook w:firstColumn="1" w:firstRow="1" w:lastColumn="0" w:lastRow="0" w:noHBand="0" w:noVBand="1" w:val="04A0"/>
      </w:tblPr>
      <w:tblGrid>
        <w:gridCol w:w="9360"/>
      </w:tblGrid>
      <w:tr>
        <w:tc>
          <w:tcPr>
            <w:tcW w:type="dxa" w:w="9360"/>
            <w:shd w:fill="1E1E1E"/>
            <w:tcMar>
              <w:top w:w="140" w:type="dxa"/>
              <w:bottom w:w="140" w:type="dxa"/>
              <w:left w:w="180" w:type="dxa"/>
              <w:right w:w="180" w:type="dxa"/>
            </w:tcMar>
            <w:tcBorders>
              <w:top w:val="single" w:sz="4" w:space="0" w:color="333333"/>
              <w:left w:val="single" w:sz="4" w:space="0" w:color="333333"/>
              <w:bottom w:val="single" w:sz="4" w:space="0" w:color="333333"/>
              <w:right w:val="single" w:sz="4" w:space="0" w:color="333333"/>
            </w:tcBorders>
          </w:tcPr>
          <w:p>
            <w:pPr>
              <w:spacing w:before="0" w:after="40"/>
            </w:pPr>
            <w:r>
              <w:rPr>
                <w:rFonts w:ascii="Consolas" w:hAnsi="Consolas"/>
                <w:b/>
                <w:color w:val="4EC9B0"/>
                <w:sz w:val="17"/>
              </w:rPr>
              <w:t>// PROMPT 01: PROJECT SCAFFOLD &amp; ENVIRONMENT SETUP</w:t>
              <w:br/>
            </w:r>
            <w:r>
              <w:rPr>
                <w:rFonts w:ascii="Consolas" w:hAnsi="Consolas"/>
                <w:color w:val="D4D4D4"/>
                <w:sz w:val="19"/>
              </w:rPr>
              <w:t>Act as a Senior AI Infrastructure Engineer. Initialize a production-ready Python project for 'SAYZE OS' - a zero-trust personal AI assistant.</w:t>
              <w:br/>
              <w:br/>
              <w:t>Generate the following project structure:</w:t>
              <w:br/>
              <w:t>sayze-os/</w:t>
              <w:br/>
              <w:t>├── config/</w:t>
              <w:br/>
              <w:t>│   ├── __init__.py</w:t>
              <w:br/>
              <w:t>│   └── settings.py</w:t>
              <w:br/>
              <w:t>├── security/</w:t>
              <w:br/>
              <w:t>│   ├── __init__.py</w:t>
              <w:br/>
              <w:t>│   └── nemoclaw.py</w:t>
              <w:br/>
              <w:t>├── engine/</w:t>
              <w:br/>
              <w:t>│   ├── __init__.py</w:t>
              <w:br/>
              <w:t>│   └── router.py</w:t>
              <w:br/>
              <w:t>├── tests/</w:t>
              <w:br/>
              <w:t>│   ├── __init__.py</w:t>
              <w:br/>
              <w:t>│   ├── test_security.py</w:t>
              <w:br/>
              <w:t>│   └── test_router.py</w:t>
              <w:br/>
              <w:t>├── .env.example</w:t>
              <w:br/>
              <w:t>├── requirements.txt</w:t>
              <w:br/>
              <w:t>├── README.md</w:t>
              <w:br/>
              <w:t>└── main.py</w:t>
              <w:br/>
              <w:br/>
              <w:t>Requirements:</w:t>
              <w:br/>
              <w:t>1. In `requirements.txt`, include: fastapi, uvicorn, openai, tavily-python, pytest, pytest-asyncio, pydantic-settings, python-dotenv.</w:t>
              <w:br/>
              <w:t>2. In `config/settings.py`, create a Pydantic Settings class loading: NEBIUS_API_KEY, NEBIUS_BASE_URL (default: https://api.tokenfactory.nebius.com/v1/), TAVILY_API_KEY, and ENVIRONMENT.</w:t>
              <w:br/>
              <w:t>3. In `.env.example`, write template key placeholders.</w:t>
              <w:br/>
              <w:t>4. Provide a command to set up the venv and install dependencies.</w:t>
              <w:br/>
              <w:t>Generate clean, well-documented code for all scaffold files.</w:t>
            </w:r>
          </w:p>
        </w:tc>
      </w:tr>
    </w:tbl>
    <w:p/>
    <w:p>
      <w:pPr>
        <w:keepNext/>
        <w:spacing w:before="200" w:after="80"/>
      </w:pPr>
      <w:r>
        <w:rPr>
          <w:rFonts w:ascii="Arial" w:hAnsi="Arial"/>
          <w:b/>
          <w:color w:val="222222"/>
          <w:sz w:val="24"/>
        </w:rPr>
        <w:t>What Will Happen After Running This Prompt:</w:t>
      </w:r>
    </w:p>
    <w:p>
      <w:r>
        <w:t>The AI coding tool will set up the entire directory structure, create configuration management using Pydantic Settings, establish virtual environment dependencies in requirements.txt, and generate a `.env.example` file. This guarantees clean modularity before any core logic is written.</w:t>
      </w:r>
    </w:p>
    <w:p>
      <w:pPr>
        <w:keepNext/>
        <w:spacing w:before="280" w:after="120"/>
      </w:pPr>
      <w:r>
        <w:rPr>
          <w:rFonts w:ascii="Arial" w:hAnsi="Arial"/>
          <w:b/>
          <w:color w:val="4682B4"/>
          <w:sz w:val="28"/>
        </w:rPr>
        <w:t>Prompt 02: NVIDIA NemoClaw Security Guardrail &amp; Unit Tests (Phase 2: Privacy Layer)</w:t>
      </w:r>
    </w:p>
    <w:tbl>
      <w:tblPr>
        <w:tblW w:type="auto" w:w="0"/>
        <w:jc w:val="center"/>
        <w:tblLayout w:type="fixed"/>
        <w:tblLook w:firstColumn="1" w:firstRow="1" w:lastColumn="0" w:lastRow="0" w:noHBand="0" w:noVBand="1" w:val="04A0"/>
      </w:tblPr>
      <w:tblGrid>
        <w:gridCol w:w="9360"/>
      </w:tblGrid>
      <w:tr>
        <w:tc>
          <w:tcPr>
            <w:tcW w:type="dxa" w:w="9360"/>
            <w:shd w:fill="1E1E1E"/>
            <w:tcMar>
              <w:top w:w="140" w:type="dxa"/>
              <w:bottom w:w="140" w:type="dxa"/>
              <w:left w:w="180" w:type="dxa"/>
              <w:right w:w="180" w:type="dxa"/>
            </w:tcMar>
            <w:tcBorders>
              <w:top w:val="single" w:sz="4" w:space="0" w:color="333333"/>
              <w:left w:val="single" w:sz="4" w:space="0" w:color="333333"/>
              <w:bottom w:val="single" w:sz="4" w:space="0" w:color="333333"/>
              <w:right w:val="single" w:sz="4" w:space="0" w:color="333333"/>
            </w:tcBorders>
          </w:tcPr>
          <w:p>
            <w:pPr>
              <w:spacing w:before="0" w:after="40"/>
            </w:pPr>
            <w:r>
              <w:rPr>
                <w:rFonts w:ascii="Consolas" w:hAnsi="Consolas"/>
                <w:b/>
                <w:color w:val="4EC9B0"/>
                <w:sz w:val="17"/>
              </w:rPr>
              <w:t>// PROMPT 02: NVIDIA NEMOCLAW SECURITY GUARDRAIL &amp; UNIT TESTS</w:t>
              <w:br/>
            </w:r>
            <w:r>
              <w:rPr>
                <w:rFonts w:ascii="Consolas" w:hAnsi="Consolas"/>
                <w:color w:val="D4D4D4"/>
                <w:sz w:val="19"/>
              </w:rPr>
              <w:t>Build the zero-trust security guardrail in `security/nemoclaw.py` and its unit tests in `tests/test_security.py`.</w:t>
              <w:br/>
              <w:br/>
              <w:t>Requirements for `security/nemoclaw.py`:</w:t>
              <w:br/>
              <w:t>1. Class `NemoClawGuardrail` that detects sensitive PII (Emails, Phone numbers, Credit Cards, SSNs) using regex and local embedding logic.</w:t>
              <w:br/>
              <w:t>2. Method `sanitize_prompt(raw_text: str) -&gt; Tuple[str, Dict[str, str]]`: Replaces PII with semantic tokens like `[EMAIL_TOKEN_0]`, `[CREDIT_CARD_TOKEN_0]` and returns the sanitized string + mapping dict.</w:t>
              <w:br/>
              <w:t>3. Method `restore_response(text: str, redaction_map: Dict[str, str]) -&gt; str`: Re-injects the original sensitive values back into the response string.</w:t>
              <w:br/>
              <w:br/>
              <w:t>Requirements for `tests/test_security.py`:</w:t>
              <w:br/>
              <w:t>1. Write pytest unit tests testing:</w:t>
              <w:br/>
              <w:t xml:space="preserve">   - Sanitization of emails, phone numbers, and credit card numbers.</w:t>
              <w:br/>
              <w:t xml:space="preserve">   - Restoration of tokens back to original values.</w:t>
              <w:br/>
              <w:t xml:space="preserve">   - Prompts with no PII remain unchanged.</w:t>
              <w:br/>
              <w:t>2. Ensure tests pass with `pytest tests/test_security.py`.</w:t>
              <w:br/>
              <w:br/>
              <w:t>Generate complete production code for both files.</w:t>
            </w:r>
          </w:p>
        </w:tc>
      </w:tr>
    </w:tbl>
    <w:p/>
    <w:p>
      <w:pPr>
        <w:keepNext/>
        <w:spacing w:before="200" w:after="80"/>
      </w:pPr>
      <w:r>
        <w:rPr>
          <w:rFonts w:ascii="Arial" w:hAnsi="Arial"/>
          <w:b/>
          <w:color w:val="222222"/>
          <w:sz w:val="24"/>
        </w:rPr>
        <w:t>What Will Happen After Running This Prompt:</w:t>
      </w:r>
    </w:p>
    <w:p>
      <w:r>
        <w:t>The AI will generate the local privacy interception layer (`NemoClawGuardrail`) alongside a comprehensive unit test suite in `test_security.py`. Running `pytest` right after will immediately confirm that PII scrubbing and token restoration are 100% deterministic and bug-free.</w:t>
      </w:r>
    </w:p>
    <w:p>
      <w:pPr>
        <w:keepNext/>
        <w:spacing w:before="280" w:after="120"/>
      </w:pPr>
      <w:r>
        <w:rPr>
          <w:rFonts w:ascii="Arial" w:hAnsi="Arial"/>
          <w:b/>
          <w:color w:val="4682B4"/>
          <w:sz w:val="28"/>
        </w:rPr>
        <w:t>Prompt 03: Nebius Token Factory &amp; Tavily Router Engine (Phase 3: AI Engine &amp; Search)</w:t>
      </w:r>
    </w:p>
    <w:tbl>
      <w:tblPr>
        <w:tblW w:type="auto" w:w="0"/>
        <w:jc w:val="center"/>
        <w:tblLayout w:type="fixed"/>
        <w:tblLook w:firstColumn="1" w:firstRow="1" w:lastColumn="0" w:lastRow="0" w:noHBand="0" w:noVBand="1" w:val="04A0"/>
      </w:tblPr>
      <w:tblGrid>
        <w:gridCol w:w="9360"/>
      </w:tblGrid>
      <w:tr>
        <w:tc>
          <w:tcPr>
            <w:tcW w:type="dxa" w:w="9360"/>
            <w:shd w:fill="1E1E1E"/>
            <w:tcMar>
              <w:top w:w="140" w:type="dxa"/>
              <w:bottom w:w="140" w:type="dxa"/>
              <w:left w:w="180" w:type="dxa"/>
              <w:right w:w="180" w:type="dxa"/>
            </w:tcMar>
            <w:tcBorders>
              <w:top w:val="single" w:sz="4" w:space="0" w:color="333333"/>
              <w:left w:val="single" w:sz="4" w:space="0" w:color="333333"/>
              <w:bottom w:val="single" w:sz="4" w:space="0" w:color="333333"/>
              <w:right w:val="single" w:sz="4" w:space="0" w:color="333333"/>
            </w:tcBorders>
          </w:tcPr>
          <w:p>
            <w:pPr>
              <w:spacing w:before="0" w:after="40"/>
            </w:pPr>
            <w:r>
              <w:rPr>
                <w:rFonts w:ascii="Consolas" w:hAnsi="Consolas"/>
                <w:b/>
                <w:color w:val="4EC9B0"/>
                <w:sz w:val="17"/>
              </w:rPr>
              <w:t>// PROMPT 03: NEBIUS TOKEN FACTORY &amp; TAVILY ROUTER ENGINE</w:t>
              <w:br/>
            </w:r>
            <w:r>
              <w:rPr>
                <w:rFonts w:ascii="Consolas" w:hAnsi="Consolas"/>
                <w:color w:val="D4D4D4"/>
                <w:sz w:val="19"/>
              </w:rPr>
              <w:t>Implement the dynamic model router in `engine/router.py` and unit tests in `tests/test_router.py`.</w:t>
              <w:br/>
              <w:br/>
              <w:t>Requirements for `engine/router.py`:</w:t>
              <w:br/>
              <w:t>1. Initialize OpenAI client pointing to Nebius Token Factory (`NEBIUS_BASE_URL` &amp; `NEBIUS_API_KEY`).</w:t>
              <w:br/>
              <w:t>2. Initialize TavilyClient using `TAVILY_API_KEY`.</w:t>
              <w:br/>
              <w:t>3. Model definitions:</w:t>
              <w:br/>
              <w:t xml:space="preserve">   - `MODEL_REASONING = "nebius/nvidia/Nemotron-3-Ultra-550b"`</w:t>
              <w:br/>
              <w:t xml:space="preserve">   - `MODEL_LIGHTNING = "nebius/nvidia/Nemotron-3-5-Lightning"`</w:t>
              <w:br/>
              <w:t>4. Function `execute_agent_task(sanitized_prompt: str) -&gt; str`:</w:t>
              <w:br/>
              <w:t xml:space="preserve">   - Checks if query contains web search intent (keywords: search, latest, news, price, flight, weather).</w:t>
              <w:br/>
              <w:t xml:space="preserve">   - If search required: calls Tavily API search, feeds grounded web context to `Nemotron-3-5-Lightning` for fast extraction.</w:t>
              <w:br/>
              <w:t xml:space="preserve">   - If non-search: routes directly to `Nemotron-3-Ultra-550b` for deep agentic reasoning.</w:t>
              <w:br/>
              <w:br/>
              <w:t>Requirements for `tests/test_router.py`:</w:t>
              <w:br/>
              <w:t>1. Mock OpenAI and Tavily API calls using `unittest.mock` to test routing logic without consuming real API credits.</w:t>
              <w:br/>
              <w:t>2. Verify search intent triggers Tavily search + Lightning model.</w:t>
              <w:br/>
              <w:t>3. Verify reasoning intent triggers Ultra model.</w:t>
              <w:br/>
              <w:br/>
              <w:t>Generate complete code for both files.</w:t>
            </w:r>
          </w:p>
        </w:tc>
      </w:tr>
    </w:tbl>
    <w:p/>
    <w:p>
      <w:pPr>
        <w:keepNext/>
        <w:spacing w:before="200" w:after="80"/>
      </w:pPr>
      <w:r>
        <w:rPr>
          <w:rFonts w:ascii="Arial" w:hAnsi="Arial"/>
          <w:b/>
          <w:color w:val="222222"/>
          <w:sz w:val="24"/>
        </w:rPr>
        <w:t>What Will Happen After Running This Prompt:</w:t>
      </w:r>
    </w:p>
    <w:p>
      <w:r>
        <w:t>The AI creates the core orchestration module connecting Nebius Token Factory and Tavily API. The included unit test mocks external HTTP requests, allowing you to test complex model switching without spending credits or waiting on network latency.</w:t>
      </w:r>
    </w:p>
    <w:p>
      <w:pPr>
        <w:keepNext/>
        <w:spacing w:before="280" w:after="120"/>
      </w:pPr>
      <w:r>
        <w:rPr>
          <w:rFonts w:ascii="Arial" w:hAnsi="Arial"/>
          <w:b/>
          <w:color w:val="4682B4"/>
          <w:sz w:val="28"/>
        </w:rPr>
        <w:t>Prompt 04: FastAPI Core Application &amp; Integration Tests (Phase 4: API &amp; Integration)</w:t>
      </w:r>
    </w:p>
    <w:tbl>
      <w:tblPr>
        <w:tblW w:type="auto" w:w="0"/>
        <w:jc w:val="center"/>
        <w:tblLayout w:type="fixed"/>
        <w:tblLook w:firstColumn="1" w:firstRow="1" w:lastColumn="0" w:lastRow="0" w:noHBand="0" w:noVBand="1" w:val="04A0"/>
      </w:tblPr>
      <w:tblGrid>
        <w:gridCol w:w="9360"/>
      </w:tblGrid>
      <w:tr>
        <w:tc>
          <w:tcPr>
            <w:tcW w:type="dxa" w:w="9360"/>
            <w:shd w:fill="1E1E1E"/>
            <w:tcMar>
              <w:top w:w="140" w:type="dxa"/>
              <w:bottom w:w="140" w:type="dxa"/>
              <w:left w:w="180" w:type="dxa"/>
              <w:right w:w="180" w:type="dxa"/>
            </w:tcMar>
            <w:tcBorders>
              <w:top w:val="single" w:sz="4" w:space="0" w:color="333333"/>
              <w:left w:val="single" w:sz="4" w:space="0" w:color="333333"/>
              <w:bottom w:val="single" w:sz="4" w:space="0" w:color="333333"/>
              <w:right w:val="single" w:sz="4" w:space="0" w:color="333333"/>
            </w:tcBorders>
          </w:tcPr>
          <w:p>
            <w:pPr>
              <w:spacing w:before="0" w:after="40"/>
            </w:pPr>
            <w:r>
              <w:rPr>
                <w:rFonts w:ascii="Consolas" w:hAnsi="Consolas"/>
                <w:b/>
                <w:color w:val="4EC9B0"/>
                <w:sz w:val="17"/>
              </w:rPr>
              <w:t>// PROMPT 04: FASTAPI CORE APPLICATION &amp; INTEGRATION TESTS</w:t>
              <w:br/>
            </w:r>
            <w:r>
              <w:rPr>
                <w:rFonts w:ascii="Consolas" w:hAnsi="Consolas"/>
                <w:color w:val="D4D4D4"/>
                <w:sz w:val="19"/>
              </w:rPr>
              <w:t>Implement the main FastAPI server in `main.py` and integration tests in `tests/test_integration.py`.</w:t>
              <w:br/>
              <w:br/>
              <w:t>Requirements for `main.py`:</w:t>
              <w:br/>
              <w:t>1. FastAPI app titled 'SAYZE OS Engine'.</w:t>
              <w:br/>
              <w:t>2. Pydantic request/response models:</w:t>
              <w:br/>
              <w:t xml:space="preserve">   - `AgentRequest`: prompt (str)</w:t>
              <w:br/>
              <w:t xml:space="preserve">   - `AgentResponse`: sanitized_prompt (str), raw_response (str), final_response (str), pii_tokens_protected (int)</w:t>
              <w:br/>
              <w:t>3. Endpoint `POST /api/v1/execute`:</w:t>
              <w:br/>
              <w:t xml:space="preserve">   - Pass 1: Run NemoClaw prompt sanitization.</w:t>
              <w:br/>
              <w:t xml:space="preserve">   - Pass 2: Execute model via `execute_agent_task()`.</w:t>
              <w:br/>
              <w:t xml:space="preserve">   - Pass 3: Run NemoClaw response restoration.</w:t>
              <w:br/>
              <w:t xml:space="preserve">   - Return structured `AgentResponse`.</w:t>
              <w:br/>
              <w:t>4. Endpoint `GET /health`: Returns health status and environment info.</w:t>
              <w:br/>
              <w:br/>
              <w:t>Requirements for `tests/test_integration.py`:</w:t>
              <w:br/>
              <w:t>1. Use FastAPI `TestClient` to run end-to-end integration tests.</w:t>
              <w:br/>
              <w:t>2. Test `/health` endpoint returning 200 OK.</w:t>
              <w:br/>
              <w:t>3. Test `/api/v1/execute` with a sample prompt containing an email and flight query.</w:t>
              <w:br/>
              <w:t>4. Verify PII is masked during execution and restored in `final_response`.</w:t>
              <w:br/>
              <w:br/>
              <w:t>Generate complete code for both files.</w:t>
            </w:r>
          </w:p>
        </w:tc>
      </w:tr>
    </w:tbl>
    <w:p/>
    <w:p>
      <w:pPr>
        <w:keepNext/>
        <w:spacing w:before="200" w:after="80"/>
      </w:pPr>
      <w:r>
        <w:rPr>
          <w:rFonts w:ascii="Arial" w:hAnsi="Arial"/>
          <w:b/>
          <w:color w:val="222222"/>
          <w:sz w:val="24"/>
        </w:rPr>
        <w:t>What Will Happen After Running This Prompt:</w:t>
      </w:r>
    </w:p>
    <w:p>
      <w:r>
        <w:t>The AI builds the REST API server in `main.py` combining sanitization, routing, and response restoration. It also writes integration tests in `test_integration.py` using FastAPI's `TestClient` to verify end-to-end flow from HTTP request down to response output.</w:t>
      </w:r>
    </w:p>
    <w:p>
      <w:pPr>
        <w:keepNext/>
        <w:spacing w:before="280" w:after="120"/>
      </w:pPr>
      <w:r>
        <w:rPr>
          <w:rFonts w:ascii="Arial" w:hAnsi="Arial"/>
          <w:b/>
          <w:color w:val="4682B4"/>
          <w:sz w:val="28"/>
        </w:rPr>
        <w:t>Prompt 05: Dockerization &amp; Production Deployment Config (Phase 5: Deployment)</w:t>
      </w:r>
    </w:p>
    <w:tbl>
      <w:tblPr>
        <w:tblW w:type="auto" w:w="0"/>
        <w:jc w:val="center"/>
        <w:tblLayout w:type="fixed"/>
        <w:tblLook w:firstColumn="1" w:firstRow="1" w:lastColumn="0" w:lastRow="0" w:noHBand="0" w:noVBand="1" w:val="04A0"/>
      </w:tblPr>
      <w:tblGrid>
        <w:gridCol w:w="9360"/>
      </w:tblGrid>
      <w:tr>
        <w:tc>
          <w:tcPr>
            <w:tcW w:type="dxa" w:w="9360"/>
            <w:shd w:fill="1E1E1E"/>
            <w:tcMar>
              <w:top w:w="140" w:type="dxa"/>
              <w:bottom w:w="140" w:type="dxa"/>
              <w:left w:w="180" w:type="dxa"/>
              <w:right w:w="180" w:type="dxa"/>
            </w:tcMar>
            <w:tcBorders>
              <w:top w:val="single" w:sz="4" w:space="0" w:color="333333"/>
              <w:left w:val="single" w:sz="4" w:space="0" w:color="333333"/>
              <w:bottom w:val="single" w:sz="4" w:space="0" w:color="333333"/>
              <w:right w:val="single" w:sz="4" w:space="0" w:color="333333"/>
            </w:tcBorders>
          </w:tcPr>
          <w:p>
            <w:pPr>
              <w:spacing w:before="0" w:after="40"/>
            </w:pPr>
            <w:r>
              <w:rPr>
                <w:rFonts w:ascii="Consolas" w:hAnsi="Consolas"/>
                <w:b/>
                <w:color w:val="4EC9B0"/>
                <w:sz w:val="17"/>
              </w:rPr>
              <w:t>// PROMPT 05: DOCKERIZATION &amp; PRODUCTION DEPLOYMENT CONFIG</w:t>
              <w:br/>
            </w:r>
            <w:r>
              <w:rPr>
                <w:rFonts w:ascii="Consolas" w:hAnsi="Consolas"/>
                <w:color w:val="D4D4D4"/>
                <w:sz w:val="19"/>
              </w:rPr>
              <w:t>Create complete production deployment files for SAYZE OS.</w:t>
              <w:br/>
              <w:br/>
              <w:t>Requirements:</w:t>
              <w:br/>
              <w:t>1. `Dockerfile`:</w:t>
              <w:br/>
              <w:t xml:space="preserve">   - Lightweight Python 3.11-slim base image.</w:t>
              <w:br/>
              <w:t xml:space="preserve">   - Working directory `/app`.</w:t>
              <w:br/>
              <w:t xml:space="preserve">   - Install dependencies from `requirements.txt`.</w:t>
              <w:br/>
              <w:t xml:space="preserve">   - Expose port 8000.</w:t>
              <w:br/>
              <w:t xml:space="preserve">   - Uvicorn entrypoint command.</w:t>
              <w:br/>
              <w:t>2. `docker-compose.yml`:</w:t>
              <w:br/>
              <w:t xml:space="preserve">   - Service `sayze-os-api` building from Dockerfile.</w:t>
              <w:br/>
              <w:t xml:space="preserve">   - Environment variables loaded from `.env`.</w:t>
              <w:br/>
              <w:t xml:space="preserve">   - Port mapping 8000:8000.</w:t>
              <w:br/>
              <w:t xml:space="preserve">   - Healthcheck targeting `http://localhost:8000/health`.</w:t>
              <w:br/>
              <w:t>3. `Makefile` or `deploy.sh` script with commands:</w:t>
              <w:br/>
              <w:t xml:space="preserve">   - `make build`: Builds Docker image.</w:t>
              <w:br/>
              <w:t xml:space="preserve">   - `make run`: Runs container in detached mode.</w:t>
              <w:br/>
              <w:t xml:space="preserve">   - `make test`: Runs full pytest suite inside container.</w:t>
              <w:br/>
              <w:t xml:space="preserve">   - `make logs`: Tail container logs.</w:t>
              <w:br/>
              <w:br/>
              <w:t>Generate complete code for Dockerfile, docker-compose.yml, and deploy.sh.</w:t>
            </w:r>
          </w:p>
        </w:tc>
      </w:tr>
    </w:tbl>
    <w:p/>
    <w:p>
      <w:pPr>
        <w:keepNext/>
        <w:spacing w:before="200" w:after="80"/>
      </w:pPr>
      <w:r>
        <w:rPr>
          <w:rFonts w:ascii="Arial" w:hAnsi="Arial"/>
          <w:b/>
          <w:color w:val="222222"/>
          <w:sz w:val="24"/>
        </w:rPr>
        <w:t>What Will Happen After Running This Prompt:</w:t>
      </w:r>
    </w:p>
    <w:p>
      <w:r>
        <w:t>The AI constructs containerization scripts. With a single command (`docker-compose up --build`), your entire SAYZE OS backend becomes an isolated, deployable microservice ready for cloud hosting (Render, AWS, DigitalOcean, or Nebius AI Cloud).</w:t>
      </w:r>
    </w:p>
    <w:p>
      <w:pPr>
        <w:keepNext/>
        <w:spacing w:before="360" w:after="160"/>
      </w:pPr>
      <w:r>
        <w:rPr>
          <w:rFonts w:ascii="Arial" w:hAnsi="Arial"/>
          <w:b/>
          <w:color w:val="003366"/>
          <w:sz w:val="36"/>
        </w:rPr>
        <w:t>3. Comprehensive Testing Verification Protocol</w:t>
      </w:r>
    </w:p>
    <w:p>
      <w:r>
        <w:t>To ensure 100% stability before hackathon submission, run the following verification commands in your terminal:</w:t>
      </w:r>
    </w:p>
    <w:p>
      <w:pPr>
        <w:keepNext/>
        <w:spacing w:before="280" w:after="120"/>
      </w:pPr>
      <w:r>
        <w:rPr>
          <w:rFonts w:ascii="Arial" w:hAnsi="Arial"/>
          <w:b/>
          <w:color w:val="4682B4"/>
          <w:sz w:val="28"/>
        </w:rPr>
        <w:t>Unit &amp; Integration Testing Commands</w:t>
      </w:r>
    </w:p>
    <w:tbl>
      <w:tblPr>
        <w:tblW w:type="auto" w:w="0"/>
        <w:jc w:val="center"/>
        <w:tblLayout w:type="fixed"/>
        <w:tblLook w:firstColumn="1" w:firstRow="1" w:lastColumn="0" w:lastRow="0" w:noHBand="0" w:noVBand="1" w:val="04A0"/>
      </w:tblPr>
      <w:tblGrid>
        <w:gridCol w:w="9360"/>
      </w:tblGrid>
      <w:tr>
        <w:tc>
          <w:tcPr>
            <w:tcW w:type="dxa" w:w="9360"/>
            <w:shd w:fill="1E1E1E"/>
            <w:tcMar>
              <w:top w:w="140" w:type="dxa"/>
              <w:bottom w:w="140" w:type="dxa"/>
              <w:left w:w="180" w:type="dxa"/>
              <w:right w:w="180" w:type="dxa"/>
            </w:tcMar>
            <w:tcBorders>
              <w:top w:val="single" w:sz="4" w:space="0" w:color="333333"/>
              <w:left w:val="single" w:sz="4" w:space="0" w:color="333333"/>
              <w:bottom w:val="single" w:sz="4" w:space="0" w:color="333333"/>
              <w:right w:val="single" w:sz="4" w:space="0" w:color="333333"/>
            </w:tcBorders>
          </w:tcPr>
          <w:p>
            <w:pPr>
              <w:spacing w:before="0" w:after="40"/>
            </w:pPr>
            <w:r>
              <w:rPr>
                <w:rFonts w:ascii="Consolas" w:hAnsi="Consolas"/>
                <w:b/>
                <w:color w:val="4EC9B0"/>
                <w:sz w:val="17"/>
              </w:rPr>
              <w:t>// PROMPT CMD: TESTING PROTOCOL</w:t>
              <w:br/>
            </w:r>
            <w:r>
              <w:rPr>
                <w:rFonts w:ascii="Consolas" w:hAnsi="Consolas"/>
                <w:color w:val="D4D4D4"/>
                <w:sz w:val="19"/>
              </w:rPr>
              <w:t># Run all unit tests</w:t>
              <w:br/>
              <w:t>pytest tests/test_security.py tests/test_router.py -v</w:t>
              <w:br/>
              <w:br/>
              <w:t># Run full integration test suite</w:t>
              <w:br/>
              <w:t>pytest tests/test_integration.py -v</w:t>
              <w:br/>
              <w:br/>
              <w:t># Run full test coverage report</w:t>
              <w:br/>
              <w:t>pytest --cov=security --cov=engine --cov=main tests/</w:t>
            </w:r>
          </w:p>
        </w:tc>
      </w:tr>
    </w:tbl>
    <w:p/>
    <w:p>
      <w:r>
        <w:t>Expected Output: All test cases must return PASSED (100% green) with 0 failures.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