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1C2434"/>
          <w:sz w:val="48"/>
          <w:szCs w:val="48"/>
        </w:rPr>
        <w:t xml:space="preserve">Edvoy Workforce Intelligence</w:t>
      </w:r>
    </w:p>
    <w:p>
      <w:pPr>
        <w:spacing w:after="220"/>
      </w:pPr>
      <w:r>
        <w:rPr>
          <w:rFonts w:ascii="Calibri" w:cs="Calibri" w:eastAsia="Calibri" w:hAnsi="Calibri"/>
          <w:color w:val="1E3F9E"/>
          <w:sz w:val="28"/>
          <w:szCs w:val="28"/>
        </w:rPr>
        <w:t xml:space="preserve">Specification vs Prototype — Gap Analysis &amp; Implementation Checklist</w:t>
      </w:r>
    </w:p>
    <w:p>
      <w:pPr>
        <w:pBdr>
          <w:top w:val="single" w:color="2F5FE0" w:sz="12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Compared against: </w:t>
      </w: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Master Specification · Product Requirements · Data Specification · Attendance Rules · Permission Matrix</w:t>
      </w:r>
    </w:p>
    <w:p>
      <w:pPr>
        <w:spacing w:after="120" w:line="276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Method: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Every specified feature was checked against the delivered Phase 3 prototype code. Items below exist in the specification but are absent, partial, or non-functional (present as static UI only) in the prototype.</w:t>
      </w:r>
    </w:p>
    <w:p>
      <w:pPr>
        <w:spacing w:after="120" w:line="276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Classification: </w:t>
      </w:r>
      <w:r>
        <w:rPr>
          <w:rFonts w:ascii="Calibri" w:cs="Calibri" w:eastAsia="Calibri" w:hAnsi="Calibri"/>
          <w:b/>
          <w:bCs/>
          <w:color w:val="C0453B"/>
          <w:sz w:val="21"/>
          <w:szCs w:val="21"/>
        </w:rPr>
        <w:t xml:space="preserve">Critical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(blocks a core requirement or MVP acceptance criterion) · </w:t>
      </w: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Important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(specified for MVP, meaningfully incomplete) · </w:t>
      </w:r>
      <w:r>
        <w:rPr>
          <w:rFonts w:ascii="Calibri" w:cs="Calibri" w:eastAsia="Calibri" w:hAnsi="Calibri"/>
          <w:b/>
          <w:bCs/>
          <w:color w:val="2E7D5B"/>
          <w:sz w:val="21"/>
          <w:szCs w:val="21"/>
        </w:rPr>
        <w:t xml:space="preserve">Nice to Have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(specified but Phase-2-deferred or non-blocking).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Note on prototype intent.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was correctly scoped to exclude a production database, authentication, and back-end logic. Many gaps below are therefore expected at this stage — the value of the list is to make the remaining build explicit and to catch spec features that were missed at the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UX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level (screens, drill-downs, states, and flows a prototype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should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show even without a back end).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Summary of gaps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Counts by classification and by source specification. A single gap may trace to more than one spec; it is counted once, under its primary source.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1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2400"/>
        <w:gridCol w:w="1000"/>
        <w:gridCol w:w="5750"/>
      </w:tblGrid>
      <w:tr>
        <w:trPr>
          <w:tblHeader/>
        </w:trPr>
        <w:tc>
          <w:tcPr>
            <w:tcW w:type="dxa" w:w="24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10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Count</w:t>
            </w:r>
          </w:p>
        </w:tc>
        <w:tc>
          <w:tcPr>
            <w:tcW w:type="dxa" w:w="575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What it means for the build</w:t>
            </w:r>
          </w:p>
        </w:tc>
      </w:tr>
      <w:tr>
        <w:tc>
          <w:tcPr>
            <w:tcW w:type="dxa" w:w="2400"/>
            <w:shd w:fill="FBEAE8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21"/>
                <w:szCs w:val="21"/>
              </w:rPr>
              <w:t xml:space="preserve">Critical</w:t>
            </w:r>
          </w:p>
        </w:tc>
        <w:tc>
          <w:tcPr>
            <w:tcW w:type="dxa" w:w="1000"/>
            <w:shd w:fill="FBEAE8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12</w:t>
            </w:r>
          </w:p>
        </w:tc>
        <w:tc>
          <w:tcPr>
            <w:tcW w:type="dxa" w:w="5750"/>
            <w:shd w:fill="FBEAE8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21"/>
                <w:szCs w:val="21"/>
              </w:rPr>
              <w:t xml:space="preserve">Blocks a functional requirement or one of the 24 MVP acceptance criteria</w:t>
            </w:r>
          </w:p>
        </w:tc>
      </w:tr>
      <w:tr>
        <w:tc>
          <w:tcPr>
            <w:tcW w:type="dxa" w:w="2400"/>
            <w:shd w:fill="FBF1D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1"/>
                <w:szCs w:val="21"/>
              </w:rPr>
              <w:t xml:space="preserve">Important</w:t>
            </w:r>
          </w:p>
        </w:tc>
        <w:tc>
          <w:tcPr>
            <w:tcW w:type="dxa" w:w="1000"/>
            <w:shd w:fill="FBF1D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14</w:t>
            </w:r>
          </w:p>
        </w:tc>
        <w:tc>
          <w:tcPr>
            <w:tcW w:type="dxa" w:w="5750"/>
            <w:shd w:fill="FBF1D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21"/>
                <w:szCs w:val="21"/>
              </w:rPr>
              <w:t xml:space="preserve">In MVP scope but incomplete or non-functional in the prototype</w:t>
            </w:r>
          </w:p>
        </w:tc>
      </w:tr>
      <w:tr>
        <w:tc>
          <w:tcPr>
            <w:tcW w:type="dxa" w:w="2400"/>
            <w:shd w:fill="E6F2EC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21"/>
                <w:szCs w:val="21"/>
              </w:rPr>
              <w:t xml:space="preserve">Nice to Have</w:t>
            </w:r>
          </w:p>
        </w:tc>
        <w:tc>
          <w:tcPr>
            <w:tcW w:type="dxa" w:w="1000"/>
            <w:shd w:fill="E6F2EC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2434"/>
                <w:sz w:val="21"/>
                <w:szCs w:val="21"/>
              </w:rPr>
              <w:t xml:space="preserve">9</w:t>
            </w:r>
          </w:p>
        </w:tc>
        <w:tc>
          <w:tcPr>
            <w:tcW w:type="dxa" w:w="5750"/>
            <w:shd w:fill="E6F2EC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21"/>
                <w:szCs w:val="21"/>
              </w:rPr>
              <w:t xml:space="preserve">Specified but Phase-2-deferred or non-blocking for MVP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Legend for the “State in prototype” column: </w:t>
      </w:r>
      <w:r>
        <w:rPr>
          <w:rFonts w:ascii="Calibri" w:cs="Calibri" w:eastAsia="Calibri" w:hAnsi="Calibri"/>
          <w:color w:val="C0453B"/>
          <w:sz w:val="21"/>
          <w:szCs w:val="21"/>
        </w:rPr>
        <w:t xml:space="preserve">Absent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(no screen/UI) · </w:t>
      </w:r>
      <w:r>
        <w:rPr>
          <w:rFonts w:ascii="Calibri" w:cs="Calibri" w:eastAsia="Calibri" w:hAnsi="Calibri"/>
          <w:color w:val="B7791F"/>
          <w:sz w:val="21"/>
          <w:szCs w:val="21"/>
        </w:rPr>
        <w:t xml:space="preserve">Static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(UI exists but is inert / non-functional) · </w:t>
      </w:r>
      <w:r>
        <w:rPr>
          <w:rFonts w:ascii="Calibri" w:cs="Calibri" w:eastAsia="Calibri" w:hAnsi="Calibri"/>
          <w:color w:val="B7791F"/>
          <w:sz w:val="21"/>
          <w:szCs w:val="21"/>
        </w:rPr>
        <w:t xml:space="preserve">Partial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(some of the behaviour present).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Gap checklist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A. Authentication &amp; access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simulates a Google sign-in animation only; there is no domain check, identity binding, session, or access-request path.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Domain restriction to approved domains (edvoy.com) at sign-in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§1–2, FR1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Email validated against an active employee before granting access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§2, FR2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Access-Denied / Request-Access screen with pending-request routing to admin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§1–2, Dash §3, FR3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Secure server-side session, auto-expiry, last-login stored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§1, FR2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A5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Successful and failed sign-ins logged to audit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§1/§10, FR2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B. Roles, hierarchy &amp; visibility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prototype has two working role modes (Manager, Administrator). Three specified roles have no functional mode, and hierarchy scoping is a label only, not enforced by the data.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HR Data Operator role (import-only, no analytics) as a working mode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§3/§5/§7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Read-Only / Management Viewer role (org-wide, view-only) as a working mode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§3/§5/§7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Row-level hierarchy scoping actually applied to data (manager sees only own line)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§4–5, FR3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Direct vs indirect report distinction, admin-enabled toggle (PD5)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§4, FR11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Effective-dated access (“as it stood during the viewed period”)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§4, FR10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B6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External-manager reachability (stubs for IDs 1,172,… via designate)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§4, Risk R1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C. Filters, dashboard &amp; drill-through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Filters render but do not filter; several drill-throughs the spec requires are missing.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Filters actually filter data (dept, sub-dept, location, manager, date)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AC-12, FR15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Every dashboard metric can be drilled into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AC-17, FR14, Dash §17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Charts drill through to supporting days &amp; punches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Dash §17, FR14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Day-evidence view (actual punches behind a day/cell)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Dash §6, FR14, G5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C5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Employee filter respects hierarchy scope (no out-of-line employees listed)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D. Metrics engine (display of)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Metrics are shown as pre-computed sample values. The prototype cannot demonstrate correctness, but some specified metric surfaces are also missing from the UI.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Attendance-day classification surfaced consistently (18 statuses)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Rules §17, FR12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Data-quality score shown as a metric surface (composite)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Rules §20, FR13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Frequency suppression when denominator too small (coverage warning instead)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Rules §8, FR14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Combined day-code decomposition visible (WO:P, P(MS), CL:P…)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Data §9, Rules §17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D5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Early-departure status (Phase 2, but appears in classification table)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Rules §17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E. Import Centre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The wizard is the most complete flow, but several specified behaviours are inert or missing.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Saved mapping templates / mapping-version reuse per file type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FR5, Data §8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Download rejected rows with per-row reasons (real artefact)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AC-10, FR6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Quarantine-resolution UI (fix unmapped ED577 / bad holiday sheet &amp; re-submit)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Data §10–11, Risk R3/R4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Idempotency surfaced (fingerprint + logical key; duplicate does not double-count)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AC-8, FR7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Roll back a committed import (admin only)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§8, Dash §11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E6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Reprocess / retry wired to a real state change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§8, Dash §11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F. Administration &amp; settings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Policy settings exist and are the strongest admin screen. Holiday/premise management is entirely missing, and shift management is only partially represented.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Holiday &amp; Premise Settings screen (calendars by location; premise mapping)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Dash §13, FR4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Shift definitions editor (7 shift regimes) within settings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Dash §12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Effective-dated policy scoping surfaced (company→location→dept→shift→individual)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Rules §21, FR10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Policy change triggers recalculation + audit of old→new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Dash §12, FR18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F5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Manual data correction workflow (POST /corrections)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§6, FR-audit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G. Audit &amp; export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An audit log screen exists with sample rows; exports are inert everywhere.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Controlled exports that actually export (who / when / filters / count recorded)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AC-20-adjacent, FR19, Perm §9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Static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Row-level access applied to exports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§9, NFR3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Export scoping by report type (team, employee, late/short/absence/remote, data-quality)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§9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Audit captures all specified action types (12 event kinds)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§10, FR18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G5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Data-quality report (for HR / admin, coverage subset for managers)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§9, Dash §16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H. Coverage, health &amp; non-functional</w:t>
      </w:r>
    </w:p>
    <w:p>
      <w:pPr>
        <w:spacing w:after="120" w:line="276"/>
      </w:pPr>
      <w:r>
        <w:rPr>
          <w:rFonts w:ascii="Calibri" w:cs="Calibri" w:eastAsia="Calibri" w:hAnsi="Calibri"/>
          <w:color w:val="1C2434"/>
          <w:sz w:val="21"/>
          <w:szCs w:val="21"/>
        </w:rPr>
        <w:t xml:space="preserve">Coverage honesty is represented well; scale, accessibility, and non-functional expectations are not yet demonstrated.</w:t>
      </w:r>
    </w:p>
    <w:tbl>
      <w:tblPr>
        <w:tblW w:type="dxa" w:w="8650"/>
        <w:tblBorders>
          <w:top w:val="single" w:color="E3E7ED" w:sz="4"/>
          <w:left w:val="single" w:color="E3E7ED" w:sz="4"/>
          <w:bottom w:val="single" w:color="E3E7ED" w:sz="4"/>
          <w:right w:val="single" w:color="E3E7ED" w:sz="4"/>
          <w:insideH w:val="single" w:color="E3E7ED" w:sz="4"/>
          <w:insideV w:val="single" w:color="E3E7ED" w:sz="4"/>
        </w:tblBorders>
      </w:tblPr>
      <w:tblGrid>
        <w:gridCol w:w="360"/>
        <w:gridCol w:w="560"/>
        <w:gridCol w:w="4300"/>
        <w:gridCol w:w="1500"/>
        <w:gridCol w:w="900"/>
        <w:gridCol w:w="1030"/>
      </w:tblGrid>
      <w:tr>
        <w:trPr>
          <w:tblHeader/>
        </w:trPr>
        <w:tc>
          <w:tcPr>
            <w:tcW w:type="dxa" w:w="3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✓</w:t>
            </w:r>
          </w:p>
        </w:tc>
        <w:tc>
          <w:tcPr>
            <w:tcW w:type="dxa" w:w="56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Specified feature not (fully) in prototype</w:t>
            </w:r>
          </w:p>
        </w:tc>
        <w:tc>
          <w:tcPr>
            <w:tcW w:type="dxa" w:w="15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State</w:t>
            </w:r>
          </w:p>
        </w:tc>
        <w:tc>
          <w:tcPr>
            <w:tcW w:type="dxa" w:w="1030"/>
            <w:shd w:fill="EAF0FE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F9E"/>
                <w:sz w:val="19"/>
                <w:szCs w:val="19"/>
              </w:rPr>
              <w:t xml:space="preserve">Class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H1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Designed for real volume (5,000+ employees, years of data) — pagination/virtualisation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NFR4, Data §1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H2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WCAG-friendly: contrast to AA, keyboard/ARIA parity, focus management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NFR5, UX §5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3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H3</w:t>
            </w:r>
          </w:p>
        </w:tc>
        <w:tc>
          <w:tcPr>
            <w:tcW w:type="dxa" w:w="43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Manager coverage-only view of System Health (not full admin health)</w:t>
            </w:r>
          </w:p>
        </w:tc>
        <w:tc>
          <w:tcPr>
            <w:tcW w:type="dxa" w:w="15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Perm §7, Dash §16</w:t>
            </w:r>
          </w:p>
        </w:tc>
        <w:tc>
          <w:tcPr>
            <w:tcW w:type="dxa" w:w="90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Partial</w:t>
            </w:r>
          </w:p>
        </w:tc>
        <w:tc>
          <w:tcPr>
            <w:tcW w:type="dxa" w:w="1030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3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474"/>
                <w:sz w:val="26"/>
                <w:szCs w:val="26"/>
              </w:rPr>
              <w:t xml:space="preserve">☐</w:t>
            </w:r>
          </w:p>
        </w:tc>
        <w:tc>
          <w:tcPr>
            <w:tcW w:type="dxa" w:w="56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434"/>
                <w:sz w:val="19"/>
                <w:szCs w:val="19"/>
              </w:rPr>
              <w:t xml:space="preserve">H4</w:t>
            </w:r>
          </w:p>
        </w:tc>
        <w:tc>
          <w:tcPr>
            <w:tcW w:type="dxa" w:w="43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C2434"/>
                <w:sz w:val="19"/>
                <w:szCs w:val="19"/>
              </w:rPr>
              <w:t xml:space="preserve">Spreadsheet-formula-injection / file-validation cues in import</w:t>
            </w:r>
          </w:p>
        </w:tc>
        <w:tc>
          <w:tcPr>
            <w:tcW w:type="dxa" w:w="15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474"/>
                <w:sz w:val="18"/>
                <w:szCs w:val="18"/>
              </w:rPr>
              <w:t xml:space="preserve">NFR2</w:t>
            </w:r>
          </w:p>
        </w:tc>
        <w:tc>
          <w:tcPr>
            <w:tcW w:type="dxa" w:w="90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453B"/>
                <w:sz w:val="18"/>
                <w:szCs w:val="18"/>
              </w:rPr>
              <w:t xml:space="preserve">Absent</w:t>
            </w:r>
          </w:p>
        </w:tc>
        <w:tc>
          <w:tcPr>
            <w:tcW w:type="dxa" w:w="1030"/>
            <w:shd w:fill="F4F6FA" w:color="auto" w:val="clear"/>
            <w:tcMar>
              <w:top w:type="dxa" w:w="52"/>
              <w:left w:type="dxa" w:w="96"/>
              <w:bottom w:type="dxa" w:w="52"/>
              <w:right w:type="dxa" w:w="96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C2434"/>
          <w:sz w:val="30"/>
          <w:szCs w:val="30"/>
        </w:rPr>
        <w:t xml:space="preserve">Consolidated by classification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Critical — blocks a functional requirement or MVP acceptance criterion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A1 Domain restriction at sign-in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A2 Email–to–active-employee identity binding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A3 Access-Denied / Request-Access screen + admin routing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B1 HR Data Operator working role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B2 Read-Only / Management Viewer working role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B3 Row-level hierarchy scoping applied to data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C1 Filters that actually filter (AC-12)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C2 Every dashboard metric drillable (AC-17)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E2 Download rejected rows with reasons (AC-10)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E3 Quarantine-resolution UI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F1 Holiday &amp; Premise Settings screen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G1 / G2 Working, hierarchy-scoped exports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Important — in MVP scope, incomplete in prototype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A4 Secure session / last-login · A5 Sign-in audit logging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B4 Direct vs indirect report toggle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C3 Chart drill-through · C4 Day-evidence view · C5 Hierarchy-scoped employee filter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D1 Consistent day-status surfacing · D2 Data-quality score surface · D3 Denominator suppression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E1 Saved mapping templates · E4 Idempotency surfaced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F2 Shift definitions editor · F3 Effective-dated policy scoping · F4 Policy-change recalculation + audit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G3 Export scoping by report type · G4 Full audit event coverage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H2 Accessibility to AA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E3F9E"/>
          <w:sz w:val="23"/>
          <w:szCs w:val="23"/>
        </w:rPr>
        <w:t xml:space="preserve">Nice to Have — Phase-2-deferred or non-blocking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B5 Effective-dated access · B6 External-manager reachability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D4 Combined day-code decomposition · D5 Early-departure status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E5 Import roll-back · E6 Reprocess wired to state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F5 Manual data-correction workflow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G5 Data-quality report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C2434"/>
          <w:sz w:val="20"/>
          <w:szCs w:val="20"/>
        </w:rPr>
        <w:t xml:space="preserve">H1 (partial demo) · H3 Manager coverage-only health · H4 File-injection cues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E3E7ED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C2434"/>
          <w:sz w:val="21"/>
          <w:szCs w:val="21"/>
        </w:rPr>
        <w:t xml:space="preserve">How to use this checklist. 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Treat the twelve Critical items as the definition of “prototype complete enough to validate the MVP interaction model”. Several (A1–A3, B1–B3, G1–G2) are back-end-enforced in production but should still be </w:t>
      </w:r>
      <w:r>
        <w:rPr>
          <w:rFonts w:ascii="Calibri" w:cs="Calibri" w:eastAsia="Calibri" w:hAnsi="Calibri"/>
          <w:i/>
          <w:iCs/>
          <w:color w:val="1C2434"/>
          <w:sz w:val="21"/>
          <w:szCs w:val="21"/>
        </w:rPr>
        <w:t xml:space="preserve">shown</w:t>
      </w:r>
      <w:r>
        <w:rPr>
          <w:rFonts w:ascii="Calibri" w:cs="Calibri" w:eastAsia="Calibri" w:hAnsi="Calibri"/>
          <w:color w:val="1C2434"/>
          <w:sz w:val="21"/>
          <w:szCs w:val="21"/>
        </w:rPr>
        <w:t xml:space="preserve"> in the prototype as screens/states so stakeholders can validate them. The Important items are the bulk of the remaining Phase 5 UI build; the Nice-to-Have items align with the PRD’s own Phase 2 deferral list and need not block M2 sign-off.</w:t>
      </w:r>
    </w:p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474"/>
          <w:sz w:val="18"/>
          <w:szCs w:val="18"/>
        </w:rPr>
        <w:t xml:space="preserve">Gap analysis grounded in the delivered Phase 3 prototype code and the approved Phase 1–2 specification set (Master Specification, Product Requirements, Data Specification, Attendance Rules, Permission Matrix). The prototype was not modified.</w:t>
      </w:r>
    </w:p>
    <w:sectPr>
      <w:pgSz w:w="12240" w:h="15840" w:orient="portrait"/>
      <w:pgMar w:top="1180" w:right="1200" w:bottom="11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  <w:rPr>
        <w:color w:val="2F5F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C24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Calibri" w:cs="Calibri" w:eastAsia="Calibri" w:hAnsi="Calibri"/>
      <w:b/>
      <w:bCs/>
      <w:color w:val="1E3F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2026-08-03T12:46:35.894Z</dcterms:created>
  <dcterms:modified xsi:type="dcterms:W3CDTF">2026-08-03T12:46:35.907Z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