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1C2434"/>
          <w:sz w:val="48"/>
          <w:szCs w:val="48"/>
        </w:rPr>
        <w:t xml:space="preserve">Edvoy Workforce Intelligence</w:t>
      </w:r>
    </w:p>
    <w:p>
      <w:pPr>
        <w:spacing w:after="220"/>
      </w:pPr>
      <w:r>
        <w:rPr>
          <w:rFonts w:ascii="Calibri" w:cs="Calibri" w:eastAsia="Calibri" w:hAnsi="Calibri"/>
          <w:color w:val="1E3F9E"/>
          <w:sz w:val="28"/>
          <w:szCs w:val="28"/>
        </w:rPr>
        <w:t xml:space="preserve">Prototype Review against the v1.1.0 Specification</w:t>
      </w:r>
    </w:p>
    <w:p>
      <w:pPr>
        <w:pBdr>
          <w:top w:val="single" w:color="2F5FE0" w:sz="12"/>
        </w:pBdr>
        <w:spacing w:after="200"/>
      </w:pPr>
      <w:r>
        <w:rPr>
          <w:sz w:val="2"/>
          <w:szCs w:val="2"/>
        </w:rPr>
        <w:t xml:space="preserve"/>
      </w:r>
    </w:p>
    <w:p>
      <w:pPr>
        <w:spacing w:after="120" w:line="276"/>
      </w:pPr>
      <w:r>
        <w:rPr>
          <w:rFonts w:ascii="Calibri" w:cs="Calibri" w:eastAsia="Calibri" w:hAnsi="Calibri"/>
          <w:color w:val="54606E"/>
          <w:sz w:val="21"/>
          <w:szCs w:val="21"/>
        </w:rPr>
        <w:t xml:space="preserve">Reviewer perspective: </w:t>
      </w:r>
      <w:r>
        <w:rPr>
          <w:rFonts w:ascii="Calibri" w:cs="Calibri" w:eastAsia="Calibri" w:hAnsi="Calibri"/>
          <w:b/>
          <w:bCs/>
          <w:color w:val="1C2434"/>
          <w:sz w:val="21"/>
          <w:szCs w:val="21"/>
        </w:rPr>
        <w:t xml:space="preserve">Senior Head of Product · UX Director · HR Operations Director</w:t>
      </w:r>
    </w:p>
    <w:p>
      <w:pPr>
        <w:spacing w:after="120" w:line="276"/>
      </w:pPr>
      <w:r>
        <w:rPr>
          <w:rFonts w:ascii="Calibri" w:cs="Calibri" w:eastAsia="Calibri" w:hAnsi="Calibri"/>
          <w:color w:val="54606E"/>
          <w:sz w:val="21"/>
          <w:szCs w:val="21"/>
        </w:rPr>
        <w:t xml:space="preserve">Measured against: </w:t>
      </w:r>
      <w:r>
        <w:rPr>
          <w:rFonts w:ascii="Calibri" w:cs="Calibri" w:eastAsia="Calibri" w:hAnsi="Calibri"/>
          <w:color w:val="1C2434"/>
          <w:sz w:val="21"/>
          <w:szCs w:val="21"/>
        </w:rPr>
        <w:t xml:space="preserve">the v1.1.0 documentation set — PRD (incl. FR20), Data Spec §16, Permission Matrix, Dashboard Spec §9a, and the Review Log user story (US-R1).</w:t>
      </w:r>
    </w:p>
    <w:p>
      <w:pPr>
        <w:spacing w:after="120" w:line="276"/>
      </w:pPr>
      <w:r>
        <w:rPr>
          <w:rFonts w:ascii="Calibri" w:cs="Calibri" w:eastAsia="Calibri" w:hAnsi="Calibri"/>
          <w:color w:val="54606E"/>
          <w:sz w:val="21"/>
          <w:szCs w:val="21"/>
        </w:rPr>
        <w:t xml:space="preserve">Stance: </w:t>
      </w:r>
      <w:r>
        <w:rPr>
          <w:rFonts w:ascii="Calibri" w:cs="Calibri" w:eastAsia="Calibri" w:hAnsi="Calibri"/>
          <w:color w:val="1C2434"/>
          <w:sz w:val="21"/>
          <w:szCs w:val="21"/>
        </w:rPr>
        <w:t xml:space="preserve">Objective critique. This review does not defend the build. It names where the prototype meets, misses, or contradicts the specification it is meant to implement, and prioritises fixes. The prototype is not modified.</w:t>
      </w:r>
    </w:p>
    <w:p>
      <w:pPr>
        <w:spacing w:after="140"/>
      </w:pPr>
      <w:r>
        <w:rPr>
          <w:sz w:val="2"/>
          <w:szCs w:val="2"/>
        </w:rPr>
        <w:t xml:space="preserve"/>
      </w:r>
    </w:p>
    <w:p>
      <w:pPr>
        <w:spacing w:after="120" w:line="276"/>
      </w:pPr>
      <w:r>
        <w:rPr>
          <w:rFonts w:ascii="Calibri" w:cs="Calibri" w:eastAsia="Calibri" w:hAnsi="Calibri"/>
          <w:b/>
          <w:bCs/>
          <w:color w:val="1C2434"/>
          <w:sz w:val="21"/>
          <w:szCs w:val="21"/>
        </w:rPr>
        <w:t xml:space="preserve">Headline verdict. </w:t>
      </w:r>
      <w:r>
        <w:rPr>
          <w:rFonts w:ascii="Calibri" w:cs="Calibri" w:eastAsia="Calibri" w:hAnsi="Calibri"/>
          <w:color w:val="1C2434"/>
          <w:sz w:val="21"/>
          <w:szCs w:val="21"/>
        </w:rPr>
        <w:t xml:space="preserve">The prototype has matured into a convincing, coherent demonstration and now visibly reflects most of the spec — the Review Log, the new screens, the four working roles, real filtering. But judged </w:t>
      </w:r>
      <w:r>
        <w:rPr>
          <w:rFonts w:ascii="Calibri" w:cs="Calibri" w:eastAsia="Calibri" w:hAnsi="Calibri"/>
          <w:i/>
          <w:iCs/>
          <w:color w:val="1C2434"/>
          <w:sz w:val="21"/>
          <w:szCs w:val="21"/>
        </w:rPr>
        <w:t xml:space="preserve">as an implementation of the specification</w:t>
      </w:r>
      <w:r>
        <w:rPr>
          <w:rFonts w:ascii="Calibri" w:cs="Calibri" w:eastAsia="Calibri" w:hAnsi="Calibri"/>
          <w:color w:val="1C2434"/>
          <w:sz w:val="21"/>
          <w:szCs w:val="21"/>
        </w:rPr>
        <w:t xml:space="preserve">, three classes of problem stand out: (1) features that are </w:t>
      </w:r>
      <w:r>
        <w:rPr>
          <w:rFonts w:ascii="Calibri" w:cs="Calibri" w:eastAsia="Calibri" w:hAnsi="Calibri"/>
          <w:i/>
          <w:iCs/>
          <w:color w:val="1C2434"/>
          <w:sz w:val="21"/>
          <w:szCs w:val="21"/>
        </w:rPr>
        <w:t xml:space="preserve">asserted</w:t>
      </w:r>
      <w:r>
        <w:rPr>
          <w:rFonts w:ascii="Calibri" w:cs="Calibri" w:eastAsia="Calibri" w:hAnsi="Calibri"/>
          <w:color w:val="1C2434"/>
          <w:sz w:val="21"/>
          <w:szCs w:val="21"/>
        </w:rPr>
        <w:t xml:space="preserve"> but not actually wired (saving a review doesn’t create a log record; the access-request “queue” has no home; org KPIs ignore the filter); (2) places where the prototype </w:t>
      </w:r>
      <w:r>
        <w:rPr>
          <w:rFonts w:ascii="Calibri" w:cs="Calibri" w:eastAsia="Calibri" w:hAnsi="Calibri"/>
          <w:i/>
          <w:iCs/>
          <w:color w:val="1C2434"/>
          <w:sz w:val="21"/>
          <w:szCs w:val="21"/>
        </w:rPr>
        <w:t xml:space="preserve">contradicts</w:t>
      </w:r>
      <w:r>
        <w:rPr>
          <w:rFonts w:ascii="Calibri" w:cs="Calibri" w:eastAsia="Calibri" w:hAnsi="Calibri"/>
          <w:color w:val="1C2434"/>
          <w:sz w:val="21"/>
          <w:szCs w:val="21"/>
        </w:rPr>
        <w:t xml:space="preserve"> the v1.1.0 spec it was updated to match (Read-Only is denied the Review Log the Permission Matrix now grants it); and (3) the same structural gaps flagged before that remain open (no real data volume, minimal mobile, no keyboard model). None are fatal; all are cheaper to fix now than after the M2 sign-off.</w:t>
      </w:r>
    </w:p>
    <w:p>
      <w:r>
        <w:br w:type="page"/>
      </w:r>
    </w:p>
    <w:p>
      <w:pPr>
        <w:pStyle w:val="Heading1"/>
        <w:spacing w:after="140" w:before="320"/>
      </w:pPr>
      <w:r>
        <w:rPr>
          <w:rFonts w:ascii="Calibri" w:cs="Calibri" w:eastAsia="Calibri" w:hAnsi="Calibri"/>
          <w:b/>
          <w:bCs/>
          <w:color w:val="1C243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C2434"/>
          <w:sz w:val="30"/>
          <w:szCs w:val="30"/>
        </w:rPr>
        <w:t xml:space="preserve">At-a-glance scorecard</w:t>
      </w:r>
    </w:p>
    <w:p>
      <w:pPr>
        <w:spacing w:after="120" w:line="276"/>
      </w:pPr>
      <w:r>
        <w:rPr>
          <w:rFonts w:ascii="Calibri" w:cs="Calibri" w:eastAsia="Calibri" w:hAnsi="Calibri"/>
          <w:color w:val="1C2434"/>
          <w:sz w:val="21"/>
          <w:szCs w:val="21"/>
        </w:rPr>
        <w:t xml:space="preserve">Each area graded Strong / Adequate / Weak / Absent, with the single most important issue named. Detail follows in the numbered sections. “vs spec” flags where the prototype and the v1.1.0 documentation disagree.</w:t>
      </w:r>
    </w:p>
    <w:p>
      <w:pPr>
        <w:spacing w:after="40"/>
      </w:pPr>
      <w:r>
        <w:rPr>
          <w:sz w:val="2"/>
          <w:szCs w:val="2"/>
        </w:rPr>
        <w:t xml:space="preserve"/>
      </w:r>
    </w:p>
    <w:tbl>
      <w:tblPr>
        <w:tblW w:type="dxa" w:w="9700"/>
        <w:tblBorders>
          <w:top w:val="single" w:color="E3E7ED" w:sz="4"/>
          <w:left w:val="single" w:color="E3E7ED" w:sz="4"/>
          <w:bottom w:val="single" w:color="E3E7ED" w:sz="4"/>
          <w:right w:val="single" w:color="E3E7ED" w:sz="4"/>
          <w:insideH w:val="single" w:color="E3E7ED" w:sz="4"/>
          <w:insideV w:val="single" w:color="E3E7ED" w:sz="4"/>
        </w:tblBorders>
      </w:tblPr>
      <w:tblGrid>
        <w:gridCol w:w="500"/>
        <w:gridCol w:w="2500"/>
        <w:gridCol w:w="1300"/>
        <w:gridCol w:w="5400"/>
      </w:tblGrid>
      <w:tr>
        <w:trPr>
          <w:tblHeader/>
        </w:trPr>
        <w:tc>
          <w:tcPr>
            <w:tcW w:type="dxa" w:w="50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w:t>
            </w:r>
          </w:p>
        </w:tc>
        <w:tc>
          <w:tcPr>
            <w:tcW w:type="dxa" w:w="250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Review area</w:t>
            </w:r>
          </w:p>
        </w:tc>
        <w:tc>
          <w:tcPr>
            <w:tcW w:type="dxa" w:w="130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Grade</w:t>
            </w:r>
          </w:p>
        </w:tc>
        <w:tc>
          <w:tcPr>
            <w:tcW w:type="dxa" w:w="540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Most important issue</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w:t>
            </w:r>
          </w:p>
        </w:tc>
        <w:tc>
          <w:tcPr>
            <w:tcW w:type="dxa" w:w="2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Navigation</w:t>
            </w:r>
          </w:p>
        </w:tc>
        <w:tc>
          <w:tcPr>
            <w:tcW w:type="dxa" w:w="1300"/>
            <w:tcMar>
              <w:top w:type="dxa" w:w="56"/>
              <w:left w:type="dxa" w:w="104"/>
              <w:bottom w:type="dxa" w:w="56"/>
              <w:right w:type="dxa" w:w="104"/>
            </w:tcMar>
          </w:tcPr>
          <w:p>
            <w:pPr>
              <w:jc w:val="left"/>
            </w:pPr>
            <w:r>
              <w:rPr>
                <w:rFonts w:ascii="Calibri" w:cs="Calibri" w:eastAsia="Calibri" w:hAnsi="Calibri"/>
                <w:b/>
                <w:bCs/>
                <w:color w:val="B7791F"/>
                <w:sz w:val="20"/>
                <w:szCs w:val="20"/>
              </w:rPr>
              <w:t xml:space="preserve">Adequate</w:t>
            </w:r>
          </w:p>
        </w:tc>
        <w:tc>
          <w:tcPr>
            <w:tcW w:type="dxa" w:w="54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Still no global search / jump-to-employee; role switcher changes little on screen beyond a label</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2</w:t>
            </w:r>
          </w:p>
        </w:tc>
        <w:tc>
          <w:tcPr>
            <w:tcW w:type="dxa" w:w="2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Information architecture</w:t>
            </w:r>
          </w:p>
        </w:tc>
        <w:tc>
          <w:tcPr>
            <w:tcW w:type="dxa" w:w="1300"/>
            <w:shd w:fill="F4F6FA" w:color="auto" w:val="clear"/>
            <w:tcMar>
              <w:top w:type="dxa" w:w="56"/>
              <w:left w:type="dxa" w:w="104"/>
              <w:bottom w:type="dxa" w:w="56"/>
              <w:right w:type="dxa" w:w="104"/>
            </w:tcMar>
          </w:tcPr>
          <w:p>
            <w:pPr>
              <w:jc w:val="left"/>
            </w:pPr>
            <w:r>
              <w:rPr>
                <w:rFonts w:ascii="Calibri" w:cs="Calibri" w:eastAsia="Calibri" w:hAnsi="Calibri"/>
                <w:b/>
                <w:bCs/>
                <w:color w:val="2E7D5B"/>
                <w:sz w:val="20"/>
                <w:szCs w:val="20"/>
              </w:rPr>
              <w:t xml:space="preserve">Strong</w:t>
            </w:r>
          </w:p>
        </w:tc>
        <w:tc>
          <w:tcPr>
            <w:tcW w:type="dxa" w:w="54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Sound; Review Log now correctly sits beside Review Workflow under Workflow</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3</w:t>
            </w:r>
          </w:p>
        </w:tc>
        <w:tc>
          <w:tcPr>
            <w:tcW w:type="dxa" w:w="2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Manager workflow</w:t>
            </w:r>
          </w:p>
        </w:tc>
        <w:tc>
          <w:tcPr>
            <w:tcW w:type="dxa" w:w="1300"/>
            <w:tcMar>
              <w:top w:type="dxa" w:w="56"/>
              <w:left w:type="dxa" w:w="104"/>
              <w:bottom w:type="dxa" w:w="56"/>
              <w:right w:type="dxa" w:w="104"/>
            </w:tcMar>
          </w:tcPr>
          <w:p>
            <w:pPr>
              <w:jc w:val="left"/>
            </w:pPr>
            <w:r>
              <w:rPr>
                <w:rFonts w:ascii="Calibri" w:cs="Calibri" w:eastAsia="Calibri" w:hAnsi="Calibri"/>
                <w:b/>
                <w:bCs/>
                <w:color w:val="B7791F"/>
                <w:sz w:val="20"/>
                <w:szCs w:val="20"/>
              </w:rPr>
              <w:t xml:space="preserve">Adequate</w:t>
            </w:r>
          </w:p>
        </w:tc>
        <w:tc>
          <w:tcPr>
            <w:tcW w:type="dxa" w:w="54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Save review does NOT create a log record — the core loop the spec defines is only simulated</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4</w:t>
            </w:r>
          </w:p>
        </w:tc>
        <w:tc>
          <w:tcPr>
            <w:tcW w:type="dxa" w:w="2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HR workflow</w:t>
            </w:r>
          </w:p>
        </w:tc>
        <w:tc>
          <w:tcPr>
            <w:tcW w:type="dxa" w:w="1300"/>
            <w:shd w:fill="F4F6FA" w:color="auto" w:val="clear"/>
            <w:tcMar>
              <w:top w:type="dxa" w:w="56"/>
              <w:left w:type="dxa" w:w="104"/>
              <w:bottom w:type="dxa" w:w="56"/>
              <w:right w:type="dxa" w:w="104"/>
            </w:tcMar>
          </w:tcPr>
          <w:p>
            <w:pPr>
              <w:jc w:val="left"/>
            </w:pPr>
            <w:r>
              <w:rPr>
                <w:rFonts w:ascii="Calibri" w:cs="Calibri" w:eastAsia="Calibri" w:hAnsi="Calibri"/>
                <w:b/>
                <w:bCs/>
                <w:color w:val="C0453B"/>
                <w:sz w:val="20"/>
                <w:szCs w:val="20"/>
              </w:rPr>
              <w:t xml:space="preserve">Weak</w:t>
            </w:r>
          </w:p>
        </w:tc>
        <w:tc>
          <w:tcPr>
            <w:tcW w:type="dxa" w:w="54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No data-correction, no exceptions, and the access-request “queue” has no admin-side screen</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5</w:t>
            </w:r>
          </w:p>
        </w:tc>
        <w:tc>
          <w:tcPr>
            <w:tcW w:type="dxa" w:w="2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Import workflow</w:t>
            </w:r>
          </w:p>
        </w:tc>
        <w:tc>
          <w:tcPr>
            <w:tcW w:type="dxa" w:w="1300"/>
            <w:tcMar>
              <w:top w:type="dxa" w:w="56"/>
              <w:left w:type="dxa" w:w="104"/>
              <w:bottom w:type="dxa" w:w="56"/>
              <w:right w:type="dxa" w:w="104"/>
            </w:tcMar>
          </w:tcPr>
          <w:p>
            <w:pPr>
              <w:jc w:val="left"/>
            </w:pPr>
            <w:r>
              <w:rPr>
                <w:rFonts w:ascii="Calibri" w:cs="Calibri" w:eastAsia="Calibri" w:hAnsi="Calibri"/>
                <w:b/>
                <w:bCs/>
                <w:color w:val="2E7D5B"/>
                <w:sz w:val="20"/>
                <w:szCs w:val="20"/>
              </w:rPr>
              <w:t xml:space="preserve">Strong</w:t>
            </w:r>
          </w:p>
        </w:tc>
        <w:tc>
          <w:tcPr>
            <w:tcW w:type="dxa" w:w="54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Best-realised flow; still lacks mapping-memory reuse and a real fix-and-continue</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6</w:t>
            </w:r>
          </w:p>
        </w:tc>
        <w:tc>
          <w:tcPr>
            <w:tcW w:type="dxa" w:w="2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Dashboard usefulness</w:t>
            </w:r>
          </w:p>
        </w:tc>
        <w:tc>
          <w:tcPr>
            <w:tcW w:type="dxa" w:w="1300"/>
            <w:shd w:fill="F4F6FA" w:color="auto" w:val="clear"/>
            <w:tcMar>
              <w:top w:type="dxa" w:w="56"/>
              <w:left w:type="dxa" w:w="104"/>
              <w:bottom w:type="dxa" w:w="56"/>
              <w:right w:type="dxa" w:w="104"/>
            </w:tcMar>
          </w:tcPr>
          <w:p>
            <w:pPr>
              <w:jc w:val="left"/>
            </w:pPr>
            <w:r>
              <w:rPr>
                <w:rFonts w:ascii="Calibri" w:cs="Calibri" w:eastAsia="Calibri" w:hAnsi="Calibri"/>
                <w:b/>
                <w:bCs/>
                <w:color w:val="B7791F"/>
                <w:sz w:val="20"/>
                <w:szCs w:val="20"/>
              </w:rPr>
              <w:t xml:space="preserve">Adequate</w:t>
            </w:r>
          </w:p>
        </w:tc>
        <w:tc>
          <w:tcPr>
            <w:tcW w:type="dxa" w:w="54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Org KPIs are hardcoded literals; the filter changes chips but not the numbers</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7</w:t>
            </w:r>
          </w:p>
        </w:tc>
        <w:tc>
          <w:tcPr>
            <w:tcW w:type="dxa" w:w="2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KPI usefulness</w:t>
            </w:r>
          </w:p>
        </w:tc>
        <w:tc>
          <w:tcPr>
            <w:tcW w:type="dxa" w:w="1300"/>
            <w:tcMar>
              <w:top w:type="dxa" w:w="56"/>
              <w:left w:type="dxa" w:w="104"/>
              <w:bottom w:type="dxa" w:w="56"/>
              <w:right w:type="dxa" w:w="104"/>
            </w:tcMar>
          </w:tcPr>
          <w:p>
            <w:pPr>
              <w:jc w:val="left"/>
            </w:pPr>
            <w:r>
              <w:rPr>
                <w:rFonts w:ascii="Calibri" w:cs="Calibri" w:eastAsia="Calibri" w:hAnsi="Calibri"/>
                <w:b/>
                <w:bCs/>
                <w:color w:val="B7791F"/>
                <w:sz w:val="20"/>
                <w:szCs w:val="20"/>
              </w:rPr>
              <w:t xml:space="preserve">Mixed</w:t>
            </w:r>
          </w:p>
        </w:tc>
        <w:tc>
          <w:tcPr>
            <w:tcW w:type="dxa" w:w="54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Explainability excellent; still a flat wall of equal-weight cards with no targets</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8</w:t>
            </w:r>
          </w:p>
        </w:tc>
        <w:tc>
          <w:tcPr>
            <w:tcW w:type="dxa" w:w="2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Missing screens</w:t>
            </w:r>
          </w:p>
        </w:tc>
        <w:tc>
          <w:tcPr>
            <w:tcW w:type="dxa" w:w="1300"/>
            <w:shd w:fill="F4F6FA" w:color="auto" w:val="clear"/>
            <w:tcMar>
              <w:top w:type="dxa" w:w="56"/>
              <w:left w:type="dxa" w:w="104"/>
              <w:bottom w:type="dxa" w:w="56"/>
              <w:right w:type="dxa" w:w="104"/>
            </w:tcMar>
          </w:tcPr>
          <w:p>
            <w:pPr>
              <w:jc w:val="left"/>
            </w:pPr>
            <w:r>
              <w:rPr>
                <w:rFonts w:ascii="Calibri" w:cs="Calibri" w:eastAsia="Calibri" w:hAnsi="Calibri"/>
                <w:b/>
                <w:bCs/>
                <w:color w:val="C0453B"/>
                <w:sz w:val="20"/>
                <w:szCs w:val="20"/>
              </w:rPr>
              <w:t xml:space="preserve">Weak</w:t>
            </w:r>
          </w:p>
        </w:tc>
        <w:tc>
          <w:tcPr>
            <w:tcW w:type="dxa" w:w="54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Access-request queue, data-quality report, manual exceptions still absent</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9</w:t>
            </w:r>
          </w:p>
        </w:tc>
        <w:tc>
          <w:tcPr>
            <w:tcW w:type="dxa" w:w="2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Missing drill-downs</w:t>
            </w:r>
          </w:p>
        </w:tc>
        <w:tc>
          <w:tcPr>
            <w:tcW w:type="dxa" w:w="1300"/>
            <w:tcMar>
              <w:top w:type="dxa" w:w="56"/>
              <w:left w:type="dxa" w:w="104"/>
              <w:bottom w:type="dxa" w:w="56"/>
              <w:right w:type="dxa" w:w="104"/>
            </w:tcMar>
          </w:tcPr>
          <w:p>
            <w:pPr>
              <w:jc w:val="left"/>
            </w:pPr>
            <w:r>
              <w:rPr>
                <w:rFonts w:ascii="Calibri" w:cs="Calibri" w:eastAsia="Calibri" w:hAnsi="Calibri"/>
                <w:b/>
                <w:bCs/>
                <w:color w:val="B7791F"/>
                <w:sz w:val="20"/>
                <w:szCs w:val="20"/>
              </w:rPr>
              <w:t xml:space="preserve">Adequate</w:t>
            </w:r>
          </w:p>
        </w:tc>
        <w:tc>
          <w:tcPr>
            <w:tcW w:type="dxa" w:w="54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Day-evidence + chart drill added; org comparison bars and some KPIs still dead-end</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10</w:t>
            </w:r>
          </w:p>
        </w:tc>
        <w:tc>
          <w:tcPr>
            <w:tcW w:type="dxa" w:w="2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Accessibility</w:t>
            </w:r>
          </w:p>
        </w:tc>
        <w:tc>
          <w:tcPr>
            <w:tcW w:type="dxa" w:w="1300"/>
            <w:shd w:fill="F4F6FA" w:color="auto" w:val="clear"/>
            <w:tcMar>
              <w:top w:type="dxa" w:w="56"/>
              <w:left w:type="dxa" w:w="104"/>
              <w:bottom w:type="dxa" w:w="56"/>
              <w:right w:type="dxa" w:w="104"/>
            </w:tcMar>
          </w:tcPr>
          <w:p>
            <w:pPr>
              <w:jc w:val="left"/>
            </w:pPr>
            <w:r>
              <w:rPr>
                <w:rFonts w:ascii="Calibri" w:cs="Calibri" w:eastAsia="Calibri" w:hAnsi="Calibri"/>
                <w:b/>
                <w:bCs/>
                <w:color w:val="B7791F"/>
                <w:sz w:val="20"/>
                <w:szCs w:val="20"/>
              </w:rPr>
              <w:t xml:space="preserve">Adequate</w:t>
            </w:r>
          </w:p>
        </w:tc>
        <w:tc>
          <w:tcPr>
            <w:tcW w:type="dxa" w:w="54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Skip-link, focus, AA contrast added; contrast still unmeasured, tables lack captions</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11</w:t>
            </w:r>
          </w:p>
        </w:tc>
        <w:tc>
          <w:tcPr>
            <w:tcW w:type="dxa" w:w="2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Enterprise UX standards</w:t>
            </w:r>
          </w:p>
        </w:tc>
        <w:tc>
          <w:tcPr>
            <w:tcW w:type="dxa" w:w="1300"/>
            <w:tcMar>
              <w:top w:type="dxa" w:w="56"/>
              <w:left w:type="dxa" w:w="104"/>
              <w:bottom w:type="dxa" w:w="56"/>
              <w:right w:type="dxa" w:w="104"/>
            </w:tcMar>
          </w:tcPr>
          <w:p>
            <w:pPr>
              <w:jc w:val="left"/>
            </w:pPr>
            <w:r>
              <w:rPr>
                <w:rFonts w:ascii="Calibri" w:cs="Calibri" w:eastAsia="Calibri" w:hAnsi="Calibri"/>
                <w:b/>
                <w:bCs/>
                <w:color w:val="C0453B"/>
                <w:sz w:val="20"/>
                <w:szCs w:val="20"/>
              </w:rPr>
              <w:t xml:space="preserve">Weak</w:t>
            </w:r>
          </w:p>
        </w:tc>
        <w:tc>
          <w:tcPr>
            <w:tcW w:type="dxa" w:w="54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Exports/bulk/saved-views added, but no persistence, column controls, or undo</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12</w:t>
            </w:r>
          </w:p>
        </w:tc>
        <w:tc>
          <w:tcPr>
            <w:tcW w:type="dxa" w:w="2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Performance concerns</w:t>
            </w:r>
          </w:p>
        </w:tc>
        <w:tc>
          <w:tcPr>
            <w:tcW w:type="dxa" w:w="1300"/>
            <w:shd w:fill="F4F6FA" w:color="auto" w:val="clear"/>
            <w:tcMar>
              <w:top w:type="dxa" w:w="56"/>
              <w:left w:type="dxa" w:w="104"/>
              <w:bottom w:type="dxa" w:w="56"/>
              <w:right w:type="dxa" w:w="104"/>
            </w:tcMar>
          </w:tcPr>
          <w:p>
            <w:pPr>
              <w:jc w:val="left"/>
            </w:pPr>
            <w:r>
              <w:rPr>
                <w:rFonts w:ascii="Calibri" w:cs="Calibri" w:eastAsia="Calibri" w:hAnsi="Calibri"/>
                <w:b/>
                <w:bCs/>
                <w:color w:val="C0453B"/>
                <w:sz w:val="20"/>
                <w:szCs w:val="20"/>
              </w:rPr>
              <w:t xml:space="preserve">Weak</w:t>
            </w:r>
          </w:p>
        </w:tc>
        <w:tc>
          <w:tcPr>
            <w:tcW w:type="dxa" w:w="54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9 sample rows; no pagination/virtualisation; 161×31 heatmap untested (NFR4: 5,000+)</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13</w:t>
            </w:r>
          </w:p>
        </w:tc>
        <w:tc>
          <w:tcPr>
            <w:tcW w:type="dxa" w:w="2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Mobile responsiveness</w:t>
            </w:r>
          </w:p>
        </w:tc>
        <w:tc>
          <w:tcPr>
            <w:tcW w:type="dxa" w:w="1300"/>
            <w:tcMar>
              <w:top w:type="dxa" w:w="56"/>
              <w:left w:type="dxa" w:w="104"/>
              <w:bottom w:type="dxa" w:w="56"/>
              <w:right w:type="dxa" w:w="104"/>
            </w:tcMar>
          </w:tcPr>
          <w:p>
            <w:pPr>
              <w:jc w:val="left"/>
            </w:pPr>
            <w:r>
              <w:rPr>
                <w:rFonts w:ascii="Calibri" w:cs="Calibri" w:eastAsia="Calibri" w:hAnsi="Calibri"/>
                <w:b/>
                <w:bCs/>
                <w:color w:val="C0453B"/>
                <w:sz w:val="20"/>
                <w:szCs w:val="20"/>
              </w:rPr>
              <w:t xml:space="preserve">Weak</w:t>
            </w:r>
          </w:p>
        </w:tc>
        <w:tc>
          <w:tcPr>
            <w:tcW w:type="dxa" w:w="54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Only 3 media queries; wide tables and heatmap still break below tablet</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14</w:t>
            </w:r>
          </w:p>
        </w:tc>
        <w:tc>
          <w:tcPr>
            <w:tcW w:type="dxa" w:w="2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Data overload</w:t>
            </w:r>
          </w:p>
        </w:tc>
        <w:tc>
          <w:tcPr>
            <w:tcW w:type="dxa" w:w="1300"/>
            <w:shd w:fill="F4F6FA" w:color="auto" w:val="clear"/>
            <w:tcMar>
              <w:top w:type="dxa" w:w="56"/>
              <w:left w:type="dxa" w:w="104"/>
              <w:bottom w:type="dxa" w:w="56"/>
              <w:right w:type="dxa" w:w="104"/>
            </w:tcMar>
          </w:tcPr>
          <w:p>
            <w:pPr>
              <w:jc w:val="left"/>
            </w:pPr>
            <w:r>
              <w:rPr>
                <w:rFonts w:ascii="Calibri" w:cs="Calibri" w:eastAsia="Calibri" w:hAnsi="Calibri"/>
                <w:b/>
                <w:bCs/>
                <w:color w:val="B7791F"/>
                <w:sz w:val="20"/>
                <w:szCs w:val="20"/>
              </w:rPr>
              <w:t xml:space="preserve">Adequate</w:t>
            </w:r>
          </w:p>
        </w:tc>
        <w:tc>
          <w:tcPr>
            <w:tcW w:type="dxa" w:w="54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Attention banner helps; dashboards still show everything at once with no focus mode</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15</w:t>
            </w:r>
          </w:p>
        </w:tc>
        <w:tc>
          <w:tcPr>
            <w:tcW w:type="dxa" w:w="2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Missing shortcuts</w:t>
            </w:r>
          </w:p>
        </w:tc>
        <w:tc>
          <w:tcPr>
            <w:tcW w:type="dxa" w:w="1300"/>
            <w:tcMar>
              <w:top w:type="dxa" w:w="56"/>
              <w:left w:type="dxa" w:w="104"/>
              <w:bottom w:type="dxa" w:w="56"/>
              <w:right w:type="dxa" w:w="104"/>
            </w:tcMar>
          </w:tcPr>
          <w:p>
            <w:pPr>
              <w:jc w:val="left"/>
            </w:pPr>
            <w:r>
              <w:rPr>
                <w:rFonts w:ascii="Calibri" w:cs="Calibri" w:eastAsia="Calibri" w:hAnsi="Calibri"/>
                <w:b/>
                <w:bCs/>
                <w:color w:val="C0453B"/>
                <w:sz w:val="20"/>
                <w:szCs w:val="20"/>
              </w:rPr>
              <w:t xml:space="preserve">Absent</w:t>
            </w:r>
          </w:p>
        </w:tc>
        <w:tc>
          <w:tcPr>
            <w:tcW w:type="dxa" w:w="54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No keyboard shortcuts, command palette, or saved-filter persistence</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16</w:t>
            </w:r>
          </w:p>
        </w:tc>
        <w:tc>
          <w:tcPr>
            <w:tcW w:type="dxa" w:w="2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Review log</w:t>
            </w:r>
          </w:p>
        </w:tc>
        <w:tc>
          <w:tcPr>
            <w:tcW w:type="dxa" w:w="1300"/>
            <w:shd w:fill="F4F6FA" w:color="auto" w:val="clear"/>
            <w:tcMar>
              <w:top w:type="dxa" w:w="56"/>
              <w:left w:type="dxa" w:w="104"/>
              <w:bottom w:type="dxa" w:w="56"/>
              <w:right w:type="dxa" w:w="104"/>
            </w:tcMar>
          </w:tcPr>
          <w:p>
            <w:pPr>
              <w:jc w:val="left"/>
            </w:pPr>
            <w:r>
              <w:rPr>
                <w:rFonts w:ascii="Calibri" w:cs="Calibri" w:eastAsia="Calibri" w:hAnsi="Calibri"/>
                <w:b/>
                <w:bCs/>
                <w:color w:val="B7791F"/>
                <w:sz w:val="20"/>
                <w:szCs w:val="20"/>
              </w:rPr>
              <w:t xml:space="preserve">Mixed</w:t>
            </w:r>
          </w:p>
        </w:tc>
        <w:tc>
          <w:tcPr>
            <w:tcW w:type="dxa" w:w="54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Well-built screen, but disconnected from Save review, missing note_private, own non-hierarchy filter</w:t>
            </w:r>
          </w:p>
        </w:tc>
      </w:tr>
    </w:tbl>
    <w:p>
      <w:r>
        <w:br w:type="page"/>
      </w:r>
    </w:p>
    <w:p>
      <w:pPr>
        <w:pStyle w:val="Heading1"/>
        <w:spacing w:after="140" w:before="320"/>
      </w:pPr>
      <w:r>
        <w:rPr>
          <w:rFonts w:ascii="Calibri" w:cs="Calibri" w:eastAsia="Calibri" w:hAnsi="Calibri"/>
          <w:b/>
          <w:bCs/>
          <w:color w:val="1C2434"/>
          <w:sz w:val="30"/>
          <w:szCs w:val="30"/>
        </w:rPr>
        <w:t xml:space="preserve">Detailed critique</w:t>
      </w:r>
    </w:p>
    <w:p>
      <w:pPr>
        <w:pStyle w:val="Heading2"/>
        <w:spacing w:after="90" w:before="240"/>
      </w:pPr>
      <w:r>
        <w:rPr>
          <w:rFonts w:ascii="Calibri" w:cs="Calibri" w:eastAsia="Calibri" w:hAnsi="Calibri"/>
          <w:b/>
          <w:bCs/>
          <w:color w:val="1E3F9E"/>
          <w:sz w:val="23"/>
          <w:szCs w:val="23"/>
        </w:rPr>
        <w:t xml:space="preserve">1. Navigation</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Role-filtered rail is clear; breadcrumbs on drill-downs are correct and reversible.</w:t>
      </w:r>
    </w:p>
    <w:p>
      <w:pPr>
        <w:pStyle w:val="ListParagraph"/>
        <w:numPr>
          <w:ilvl w:val="0"/>
          <w:numId w:val="2"/>
        </w:numPr>
        <w:spacing w:after="64" w:line="268"/>
      </w:pPr>
      <w:r>
        <w:rPr>
          <w:rFonts w:ascii="Calibri" w:cs="Calibri" w:eastAsia="Calibri" w:hAnsi="Calibri"/>
          <w:color w:val="1C2434"/>
          <w:sz w:val="21"/>
          <w:szCs w:val="21"/>
        </w:rPr>
        <w:t xml:space="preserve">Review Log is reachable from the rail and from the Review Workflow save action.</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Still no global search or jump-to-employee. At 161 employees (and the spec’s 5,000+ target) the filter dropdown is the only way to reach a person.</w:t>
      </w:r>
    </w:p>
    <w:p>
      <w:pPr>
        <w:pStyle w:val="ListParagraph"/>
        <w:numPr>
          <w:ilvl w:val="0"/>
          <w:numId w:val="2"/>
        </w:numPr>
        <w:spacing w:after="64" w:line="268"/>
      </w:pPr>
      <w:r>
        <w:rPr>
          <w:rFonts w:ascii="Calibri" w:cs="Calibri" w:eastAsia="Calibri" w:hAnsi="Calibri"/>
          <w:color w:val="1C2434"/>
          <w:sz w:val="21"/>
          <w:szCs w:val="21"/>
        </w:rPr>
        <w:t xml:space="preserve">The role switcher changes the rail and a label, but the body of many screens looks identical across roles, so “which role am I in” is easy to lose.</w:t>
      </w:r>
    </w:p>
    <w:p>
      <w:pPr>
        <w:pStyle w:val="ListParagraph"/>
        <w:numPr>
          <w:ilvl w:val="0"/>
          <w:numId w:val="2"/>
        </w:numPr>
        <w:spacing w:after="64" w:line="268"/>
      </w:pPr>
      <w:r>
        <w:rPr>
          <w:rFonts w:ascii="Calibri" w:cs="Calibri" w:eastAsia="Calibri" w:hAnsi="Calibri"/>
          <w:color w:val="1C2434"/>
          <w:sz w:val="21"/>
          <w:szCs w:val="21"/>
        </w:rPr>
        <w:t xml:space="preserve">No breadcrumb or page context on top-level screens beyond the title; “back” relies on re-clicking the rail.</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2. Information architecture</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Grouping (Dashboards / Insights / Workflow / Import / Administration) maps cleanly to the Permission Matrix.</w:t>
      </w:r>
    </w:p>
    <w:p>
      <w:pPr>
        <w:pStyle w:val="ListParagraph"/>
        <w:numPr>
          <w:ilvl w:val="0"/>
          <w:numId w:val="2"/>
        </w:numPr>
        <w:spacing w:after="64" w:line="268"/>
      </w:pPr>
      <w:r>
        <w:rPr>
          <w:rFonts w:ascii="Calibri" w:cs="Calibri" w:eastAsia="Calibri" w:hAnsi="Calibri"/>
          <w:color w:val="1C2434"/>
          <w:sz w:val="21"/>
          <w:szCs w:val="21"/>
        </w:rPr>
        <w:t xml:space="preserve">Review Log placed under Workflow beside Review Workflow — exactly where the Dashboard Spec §9a puts it.</w:t>
      </w:r>
    </w:p>
    <w:p>
      <w:pPr>
        <w:pStyle w:val="ListParagraph"/>
        <w:numPr>
          <w:ilvl w:val="0"/>
          <w:numId w:val="2"/>
        </w:numPr>
        <w:spacing w:after="64" w:line="268"/>
      </w:pPr>
      <w:r>
        <w:rPr>
          <w:rFonts w:ascii="Calibri" w:cs="Calibri" w:eastAsia="Calibri" w:hAnsi="Calibri"/>
          <w:color w:val="1C2434"/>
          <w:sz w:val="21"/>
          <w:szCs w:val="21"/>
        </w:rPr>
        <w:t xml:space="preserve">Holiday &amp; Premise and Access-Denied now exist, closing two earlier IA holes.</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“My team” relabels to “Manager view (preview)” for admins — good — but the Review Log is not offered in that preview, so an admin can’t see what a manager’s log looks like.</w:t>
      </w:r>
    </w:p>
    <w:p>
      <w:pPr>
        <w:pStyle w:val="ListParagraph"/>
        <w:numPr>
          <w:ilvl w:val="0"/>
          <w:numId w:val="2"/>
        </w:numPr>
        <w:spacing w:after="64" w:line="268"/>
      </w:pPr>
      <w:r>
        <w:rPr>
          <w:rFonts w:ascii="Calibri" w:cs="Calibri" w:eastAsia="Calibri" w:hAnsi="Calibri"/>
          <w:color w:val="1C2434"/>
          <w:sz w:val="21"/>
          <w:szCs w:val="21"/>
        </w:rPr>
        <w:t xml:space="preserve">Employee profile and the review queue are still not first-class rail destinations; there is no “my open reviews” entry point outside the dashboard card.</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3. Manager workflow</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The loop dashboard → insight → profile → review is coherent; coaching panels remain a genuine strength.</w:t>
      </w:r>
    </w:p>
    <w:p>
      <w:pPr>
        <w:pStyle w:val="ListParagraph"/>
        <w:numPr>
          <w:ilvl w:val="0"/>
          <w:numId w:val="2"/>
        </w:numPr>
        <w:spacing w:after="64" w:line="268"/>
      </w:pPr>
      <w:r>
        <w:rPr>
          <w:rFonts w:ascii="Calibri" w:cs="Calibri" w:eastAsia="Calibri" w:hAnsi="Calibri"/>
          <w:color w:val="1C2434"/>
          <w:sz w:val="21"/>
          <w:szCs w:val="21"/>
        </w:rPr>
        <w:t xml:space="preserve">Saving now shows a “View review log” next step — the right idea, matching US-R1’s “what’s next”.</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The defining defect: Save review only mutates the employee’s status in memory and toasts “added to the review log”, but it does NOT append to the review-log data. The log is a static sample array. PRD FR16 (as amended) says a status/note “creates or updates a review record that appears in the review log” — the prototype asserts this without doing it.</w:t>
      </w:r>
    </w:p>
    <w:p>
      <w:pPr>
        <w:pStyle w:val="ListParagraph"/>
        <w:numPr>
          <w:ilvl w:val="0"/>
          <w:numId w:val="2"/>
        </w:numPr>
        <w:spacing w:after="64" w:line="268"/>
      </w:pPr>
      <w:r>
        <w:rPr>
          <w:rFonts w:ascii="Calibri" w:cs="Calibri" w:eastAsia="Calibri" w:hAnsi="Calibri"/>
          <w:color w:val="1C2434"/>
          <w:sz w:val="21"/>
          <w:szCs w:val="21"/>
        </w:rPr>
        <w:t xml:space="preserve">No bulk action inside the workflow; a manager still reviews one person at a time.</w:t>
      </w:r>
    </w:p>
    <w:p>
      <w:pPr>
        <w:pStyle w:val="ListParagraph"/>
        <w:numPr>
          <w:ilvl w:val="0"/>
          <w:numId w:val="2"/>
        </w:numPr>
        <w:spacing w:after="64" w:line="268"/>
      </w:pPr>
      <w:r>
        <w:rPr>
          <w:rFonts w:ascii="Calibri" w:cs="Calibri" w:eastAsia="Calibri" w:hAnsi="Calibri"/>
          <w:color w:val="1C2434"/>
          <w:sz w:val="21"/>
          <w:szCs w:val="21"/>
        </w:rPr>
        <w:t xml:space="preserve">The review record has no visible follow-up reminder surfacing later anywhere except the log the save never updates.</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4. HR workflow</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Import Centre is a credible HR home; quarantine resolution and rejected-row artefacts were added.</w:t>
      </w:r>
    </w:p>
    <w:p>
      <w:pPr>
        <w:pStyle w:val="ListParagraph"/>
        <w:numPr>
          <w:ilvl w:val="0"/>
          <w:numId w:val="2"/>
        </w:numPr>
        <w:spacing w:after="64" w:line="268"/>
      </w:pPr>
      <w:r>
        <w:rPr>
          <w:rFonts w:ascii="Calibri" w:cs="Calibri" w:eastAsia="Calibri" w:hAnsi="Calibri"/>
          <w:color w:val="1C2434"/>
          <w:sz w:val="21"/>
          <w:szCs w:val="21"/>
        </w:rPr>
        <w:t xml:space="preserve">System Health is now reachable by HR, matching the Permission Matrix.</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The access-request flow ends in a toast: “your request appears in the administrator’s pending queue” — but there is no admin-side queue screen anywhere, so the request goes nowhere. The Permission Matrix and Dashboard Spec §3 both imply a real queue.</w:t>
      </w:r>
    </w:p>
    <w:p>
      <w:pPr>
        <w:pStyle w:val="ListParagraph"/>
        <w:numPr>
          <w:ilvl w:val="0"/>
          <w:numId w:val="2"/>
        </w:numPr>
        <w:spacing w:after="64" w:line="268"/>
      </w:pPr>
      <w:r>
        <w:rPr>
          <w:rFonts w:ascii="Calibri" w:cs="Calibri" w:eastAsia="Calibri" w:hAnsi="Calibri"/>
          <w:color w:val="1C2434"/>
          <w:sz w:val="21"/>
          <w:szCs w:val="21"/>
        </w:rPr>
        <w:t xml:space="preserve">No data-correction workflow and no manual-exceptions screen (both in the Data Spec / Phase-2 model); HR still cannot fix the ED577 unmapped case beyond the import wizard.</w:t>
      </w:r>
    </w:p>
    <w:p>
      <w:pPr>
        <w:pStyle w:val="ListParagraph"/>
        <w:numPr>
          <w:ilvl w:val="0"/>
          <w:numId w:val="2"/>
        </w:numPr>
        <w:spacing w:after="64" w:line="268"/>
      </w:pPr>
      <w:r>
        <w:rPr>
          <w:rFonts w:ascii="Calibri" w:cs="Calibri" w:eastAsia="Calibri" w:hAnsi="Calibri"/>
          <w:color w:val="1C2434"/>
          <w:sz w:val="21"/>
          <w:szCs w:val="21"/>
        </w:rPr>
        <w:t xml:space="preserve">No data-quality report as a first-class HR/admin artefact, though the Permission Matrix §9 lists it as an export.</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5. Import workflow</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Seven-step wizard remains the most complete flow; quarantine-resolution modal and rejected-row downloads are strong additions.</w:t>
      </w:r>
    </w:p>
    <w:p>
      <w:pPr>
        <w:pStyle w:val="ListParagraph"/>
        <w:numPr>
          <w:ilvl w:val="0"/>
          <w:numId w:val="2"/>
        </w:numPr>
        <w:spacing w:after="64" w:line="268"/>
      </w:pPr>
      <w:r>
        <w:rPr>
          <w:rFonts w:ascii="Calibri" w:cs="Calibri" w:eastAsia="Calibri" w:hAnsi="Calibri"/>
          <w:color w:val="1C2434"/>
          <w:sz w:val="21"/>
          <w:szCs w:val="21"/>
        </w:rPr>
        <w:t xml:space="preserve">The failed-import narrative (impossible Delhi dates) still models a real edge case honestly.</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Column mapping still doesn’t remember prior mappings per file type — FR5/FR8 call for saved mapping templates / mapping version.</w:t>
      </w:r>
    </w:p>
    <w:p>
      <w:pPr>
        <w:pStyle w:val="ListParagraph"/>
        <w:numPr>
          <w:ilvl w:val="0"/>
          <w:numId w:val="2"/>
        </w:numPr>
        <w:spacing w:after="64" w:line="268"/>
      </w:pPr>
      <w:r>
        <w:rPr>
          <w:rFonts w:ascii="Calibri" w:cs="Calibri" w:eastAsia="Calibri" w:hAnsi="Calibri"/>
          <w:color w:val="1C2434"/>
          <w:sz w:val="21"/>
          <w:szCs w:val="21"/>
        </w:rPr>
        <w:t xml:space="preserve">No partial-import resumption; it remains import-valid or cancel.</w:t>
      </w:r>
    </w:p>
    <w:p>
      <w:pPr>
        <w:pStyle w:val="ListParagraph"/>
        <w:numPr>
          <w:ilvl w:val="0"/>
          <w:numId w:val="2"/>
        </w:numPr>
        <w:spacing w:after="64" w:line="268"/>
      </w:pPr>
      <w:r>
        <w:rPr>
          <w:rFonts w:ascii="Calibri" w:cs="Calibri" w:eastAsia="Calibri" w:hAnsi="Calibri"/>
          <w:color w:val="1C2434"/>
          <w:sz w:val="21"/>
          <w:szCs w:val="21"/>
        </w:rPr>
        <w:t xml:space="preserve">“Reprocess” and “Roll back” now toast but don’t model a state change; roll-back is Phase-2 per the PRD, so that is acceptable, but reprocess should at least show a status transition.</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6. Dashboard usefulness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Coverage honesty (“no data ≠ absent”, confirmed vs potential) remains exactly right.</w:t>
      </w:r>
    </w:p>
    <w:p>
      <w:pPr>
        <w:pStyle w:val="ListParagraph"/>
        <w:numPr>
          <w:ilvl w:val="0"/>
          <w:numId w:val="2"/>
        </w:numPr>
        <w:spacing w:after="64" w:line="268"/>
      </w:pPr>
      <w:r>
        <w:rPr>
          <w:rFonts w:ascii="Calibri" w:cs="Calibri" w:eastAsia="Calibri" w:hAnsi="Calibri"/>
          <w:color w:val="1C2434"/>
          <w:sz w:val="21"/>
          <w:szCs w:val="21"/>
        </w:rPr>
        <w:t xml:space="preserve">The attention banner (“N people need review”) gives the manager dashboard a next-action layer.</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Organisation dashboard KPIs are hardcoded literals (161, 80, 49.7%…). Its filter bar updates the chips but the numbers never move — a filter that visibly does nothing is worse than no filter. (The manager dashboard, by contrast, does filter its team.)</w:t>
      </w:r>
    </w:p>
    <w:p>
      <w:pPr>
        <w:pStyle w:val="ListParagraph"/>
        <w:numPr>
          <w:ilvl w:val="0"/>
          <w:numId w:val="2"/>
        </w:numPr>
        <w:spacing w:after="64" w:line="268"/>
      </w:pPr>
      <w:r>
        <w:rPr>
          <w:rFonts w:ascii="Calibri" w:cs="Calibri" w:eastAsia="Calibri" w:hAnsi="Calibri"/>
          <w:color w:val="1C2434"/>
          <w:sz w:val="21"/>
          <w:szCs w:val="21"/>
        </w:rPr>
        <w:t xml:space="preserve">Twelve equal-weight cards still present a wall with no hierarchy or targets.</w:t>
      </w:r>
    </w:p>
    <w:p>
      <w:pPr>
        <w:pStyle w:val="ListParagraph"/>
        <w:numPr>
          <w:ilvl w:val="0"/>
          <w:numId w:val="2"/>
        </w:numPr>
        <w:spacing w:after="64" w:line="268"/>
      </w:pPr>
      <w:r>
        <w:rPr>
          <w:rFonts w:ascii="Calibri" w:cs="Calibri" w:eastAsia="Calibri" w:hAnsi="Calibri"/>
          <w:color w:val="1C2434"/>
          <w:sz w:val="21"/>
          <w:szCs w:val="21"/>
        </w:rPr>
        <w:t xml:space="preserve">Trends remain “vs last month” only, with no way to change the comparison window.</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7. KPI usefulness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Every percentage still exposes its exact formula and numerator ÷ denominator — the best thing in the product.</w:t>
      </w:r>
    </w:p>
    <w:p>
      <w:pPr>
        <w:pStyle w:val="ListParagraph"/>
        <w:numPr>
          <w:ilvl w:val="0"/>
          <w:numId w:val="2"/>
        </w:numPr>
        <w:spacing w:after="64" w:line="268"/>
      </w:pPr>
      <w:r>
        <w:rPr>
          <w:rFonts w:ascii="Calibri" w:cs="Calibri" w:eastAsia="Calibri" w:hAnsi="Calibri"/>
          <w:color w:val="1C2434"/>
          <w:sz w:val="21"/>
          <w:szCs w:val="21"/>
        </w:rPr>
        <w:t xml:space="preserve">Remote handled as neutral; “invert” trends where up is bad.</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Too many equal-weight KPIs; the important ones (needs review, confirmed absence) don’t stand out.</w:t>
      </w:r>
    </w:p>
    <w:p>
      <w:pPr>
        <w:pStyle w:val="ListParagraph"/>
        <w:numPr>
          <w:ilvl w:val="0"/>
          <w:numId w:val="2"/>
        </w:numPr>
        <w:spacing w:after="64" w:line="268"/>
      </w:pPr>
      <w:r>
        <w:rPr>
          <w:rFonts w:ascii="Calibri" w:cs="Calibri" w:eastAsia="Calibri" w:hAnsi="Calibri"/>
          <w:color w:val="1C2434"/>
          <w:sz w:val="21"/>
          <w:szCs w:val="21"/>
        </w:rPr>
        <w:t xml:space="preserve">No policy target on any card, so a number still carries no verdict (“71% on-time” against what?).</w:t>
      </w:r>
    </w:p>
    <w:p>
      <w:pPr>
        <w:pStyle w:val="ListParagraph"/>
        <w:numPr>
          <w:ilvl w:val="0"/>
          <w:numId w:val="2"/>
        </w:numPr>
        <w:spacing w:after="64" w:line="268"/>
      </w:pPr>
      <w:r>
        <w:rPr>
          <w:rFonts w:ascii="Calibri" w:cs="Calibri" w:eastAsia="Calibri" w:hAnsi="Calibri"/>
          <w:color w:val="1C2434"/>
          <w:sz w:val="21"/>
          <w:szCs w:val="21"/>
        </w:rPr>
        <w:t xml:space="preserve">Some cards duplicate the insight lists, so dashboard and lists compete rather than layer.</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8. Missing screens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Access-Denied, Holiday &amp; Premise, and the Review Log — all previously missing — now exist.</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Access-request admin queue: still absent (see §4).</w:t>
      </w:r>
    </w:p>
    <w:p>
      <w:pPr>
        <w:pStyle w:val="ListParagraph"/>
        <w:numPr>
          <w:ilvl w:val="0"/>
          <w:numId w:val="2"/>
        </w:numPr>
        <w:spacing w:after="64" w:line="268"/>
      </w:pPr>
      <w:r>
        <w:rPr>
          <w:rFonts w:ascii="Calibri" w:cs="Calibri" w:eastAsia="Calibri" w:hAnsi="Calibri"/>
          <w:color w:val="1C2434"/>
          <w:sz w:val="21"/>
          <w:szCs w:val="21"/>
        </w:rPr>
        <w:t xml:space="preserve">Data-quality report: absent as a screen/export despite the Permission Matrix listing it.</w:t>
      </w:r>
    </w:p>
    <w:p>
      <w:pPr>
        <w:pStyle w:val="ListParagraph"/>
        <w:numPr>
          <w:ilvl w:val="0"/>
          <w:numId w:val="2"/>
        </w:numPr>
        <w:spacing w:after="64" w:line="268"/>
      </w:pPr>
      <w:r>
        <w:rPr>
          <w:rFonts w:ascii="Calibri" w:cs="Calibri" w:eastAsia="Calibri" w:hAnsi="Calibri"/>
          <w:color w:val="1C2434"/>
          <w:sz w:val="21"/>
          <w:szCs w:val="21"/>
        </w:rPr>
        <w:t xml:space="preserve">Manual exceptions and data-correction: absent (Data Spec / Phase-2, but referenced by the HR flow).</w:t>
      </w:r>
    </w:p>
    <w:p>
      <w:pPr>
        <w:pStyle w:val="ListParagraph"/>
        <w:numPr>
          <w:ilvl w:val="0"/>
          <w:numId w:val="2"/>
        </w:numPr>
        <w:spacing w:after="64" w:line="268"/>
      </w:pPr>
      <w:r>
        <w:rPr>
          <w:rFonts w:ascii="Calibri" w:cs="Calibri" w:eastAsia="Calibri" w:hAnsi="Calibri"/>
          <w:color w:val="1C2434"/>
          <w:sz w:val="21"/>
          <w:szCs w:val="21"/>
        </w:rPr>
        <w:t xml:space="preserve">Notification centre: absent — acceptable for MVP, but the overdue-review concept in US-R1 begs for one.</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9. Missing drill-downs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Day-evidence modal now opens from heatmap cells, profile daily rows and the mini-calendar — this fulfils the explainability principle well.</w:t>
      </w:r>
    </w:p>
    <w:p>
      <w:pPr>
        <w:pStyle w:val="ListParagraph"/>
        <w:numPr>
          <w:ilvl w:val="0"/>
          <w:numId w:val="2"/>
        </w:numPr>
        <w:spacing w:after="64" w:line="268"/>
      </w:pPr>
      <w:r>
        <w:rPr>
          <w:rFonts w:ascii="Calibri" w:cs="Calibri" w:eastAsia="Calibri" w:hAnsi="Calibri"/>
          <w:color w:val="1C2434"/>
          <w:sz w:val="21"/>
          <w:szCs w:val="21"/>
        </w:rPr>
        <w:t xml:space="preserve">Dashboard bar charts now drill into the relevant insight list.</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The organisation comparison bars (dept / location) still don’t drill into the population behind them.</w:t>
      </w:r>
    </w:p>
    <w:p>
      <w:pPr>
        <w:pStyle w:val="ListParagraph"/>
        <w:numPr>
          <w:ilvl w:val="0"/>
          <w:numId w:val="2"/>
        </w:numPr>
        <w:spacing w:after="64" w:line="268"/>
      </w:pPr>
      <w:r>
        <w:rPr>
          <w:rFonts w:ascii="Calibri" w:cs="Calibri" w:eastAsia="Calibri" w:hAnsi="Calibri"/>
          <w:color w:val="1C2434"/>
          <w:sz w:val="21"/>
          <w:szCs w:val="21"/>
        </w:rPr>
        <w:t xml:space="preserve">A few KPI cards (coverage, average hours) still aren’t clickable, so key numbers remain dead ends.</w:t>
      </w:r>
    </w:p>
    <w:p>
      <w:pPr>
        <w:pStyle w:val="ListParagraph"/>
        <w:numPr>
          <w:ilvl w:val="0"/>
          <w:numId w:val="2"/>
        </w:numPr>
        <w:spacing w:after="64" w:line="268"/>
      </w:pPr>
      <w:r>
        <w:rPr>
          <w:rFonts w:ascii="Calibri" w:cs="Calibri" w:eastAsia="Calibri" w:hAnsi="Calibri"/>
          <w:color w:val="1C2434"/>
          <w:sz w:val="21"/>
          <w:szCs w:val="21"/>
        </w:rPr>
        <w:t xml:space="preserve">Review Log outcome chart does not drill into the reviews behind each bar.</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10. Accessibility</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Skip-to-content link, focus-to-heading on route change, header scope, and keyboard-activatable heatmap cells and chart bars were all added.</w:t>
      </w:r>
    </w:p>
    <w:p>
      <w:pPr>
        <w:pStyle w:val="ListParagraph"/>
        <w:numPr>
          <w:ilvl w:val="0"/>
          <w:numId w:val="2"/>
        </w:numPr>
        <w:spacing w:after="64" w:line="268"/>
      </w:pPr>
      <w:r>
        <w:rPr>
          <w:rFonts w:ascii="Calibri" w:cs="Calibri" w:eastAsia="Calibri" w:hAnsi="Calibri"/>
          <w:color w:val="1C2434"/>
          <w:sz w:val="21"/>
          <w:szCs w:val="21"/>
        </w:rPr>
        <w:t xml:space="preserve">The muted-text token was darkened toward AA; heatmap still pairs colour with a letter.</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The AA contrast fix was reasoned from tokens, not measured — it needs a real contrast audit to confirm 4.5:1 across every muted use.</w:t>
      </w:r>
    </w:p>
    <w:p>
      <w:pPr>
        <w:pStyle w:val="ListParagraph"/>
        <w:numPr>
          <w:ilvl w:val="0"/>
          <w:numId w:val="2"/>
        </w:numPr>
        <w:spacing w:after="64" w:line="268"/>
      </w:pPr>
      <w:r>
        <w:rPr>
          <w:rFonts w:ascii="Calibri" w:cs="Calibri" w:eastAsia="Calibri" w:hAnsi="Calibri"/>
          <w:color w:val="1C2434"/>
          <w:sz w:val="21"/>
          <w:szCs w:val="21"/>
        </w:rPr>
        <w:t xml:space="preserve">Tables still lack captions; sortable headers don’t consistently announce sort state.</w:t>
      </w:r>
    </w:p>
    <w:p>
      <w:pPr>
        <w:pStyle w:val="ListParagraph"/>
        <w:numPr>
          <w:ilvl w:val="0"/>
          <w:numId w:val="2"/>
        </w:numPr>
        <w:spacing w:after="64" w:line="268"/>
      </w:pPr>
      <w:r>
        <w:rPr>
          <w:rFonts w:ascii="Calibri" w:cs="Calibri" w:eastAsia="Calibri" w:hAnsi="Calibri"/>
          <w:color w:val="1C2434"/>
          <w:sz w:val="21"/>
          <w:szCs w:val="21"/>
        </w:rPr>
        <w:t xml:space="preserve">Modals trap focus on open but focus return on close isn’t verified for every trigger.</w:t>
      </w:r>
    </w:p>
    <w:p>
      <w:pPr>
        <w:pStyle w:val="ListParagraph"/>
        <w:numPr>
          <w:ilvl w:val="0"/>
          <w:numId w:val="2"/>
        </w:numPr>
        <w:spacing w:after="64" w:line="268"/>
      </w:pPr>
      <w:r>
        <w:rPr>
          <w:rFonts w:ascii="Calibri" w:cs="Calibri" w:eastAsia="Calibri" w:hAnsi="Calibri"/>
          <w:color w:val="1C2434"/>
          <w:sz w:val="21"/>
          <w:szCs w:val="21"/>
        </w:rPr>
        <w:t xml:space="preserve">NFR5 says never rely on colour alone — the overdue badge and some status dots still lean on colour with only a short label.</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11. Enterprise UX standards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Saved-view chips, bulk multi-select, working export dialog, and quick-action row menus were added — real progress.</w:t>
      </w:r>
    </w:p>
    <w:p>
      <w:pPr>
        <w:pStyle w:val="ListParagraph"/>
        <w:numPr>
          <w:ilvl w:val="0"/>
          <w:numId w:val="2"/>
        </w:numPr>
        <w:spacing w:after="64" w:line="268"/>
      </w:pPr>
      <w:r>
        <w:rPr>
          <w:rFonts w:ascii="Calibri" w:cs="Calibri" w:eastAsia="Calibri" w:hAnsi="Calibri"/>
          <w:color w:val="1C2434"/>
          <w:sz w:val="21"/>
          <w:szCs w:val="21"/>
        </w:rPr>
        <w:t xml:space="preserve">Export dialog records scope, filters and count, matching the Permission Matrix export rules.</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No persistence: saved views, filters and any review edits vanish on refresh (in-memory only). Table stakes for a monthly-use HR tool.</w:t>
      </w:r>
    </w:p>
    <w:p>
      <w:pPr>
        <w:pStyle w:val="ListParagraph"/>
        <w:numPr>
          <w:ilvl w:val="0"/>
          <w:numId w:val="2"/>
        </w:numPr>
        <w:spacing w:after="64" w:line="268"/>
      </w:pPr>
      <w:r>
        <w:rPr>
          <w:rFonts w:ascii="Calibri" w:cs="Calibri" w:eastAsia="Calibri" w:hAnsi="Calibri"/>
          <w:color w:val="1C2434"/>
          <w:sz w:val="21"/>
          <w:szCs w:val="21"/>
        </w:rPr>
        <w:t xml:space="preserve">No column chooser or per-column filtering on the insight tables.</w:t>
      </w:r>
    </w:p>
    <w:p>
      <w:pPr>
        <w:pStyle w:val="ListParagraph"/>
        <w:numPr>
          <w:ilvl w:val="0"/>
          <w:numId w:val="2"/>
        </w:numPr>
        <w:spacing w:after="64" w:line="268"/>
      </w:pPr>
      <w:r>
        <w:rPr>
          <w:rFonts w:ascii="Calibri" w:cs="Calibri" w:eastAsia="Calibri" w:hAnsi="Calibri"/>
          <w:color w:val="1C2434"/>
          <w:sz w:val="21"/>
          <w:szCs w:val="21"/>
        </w:rPr>
        <w:t xml:space="preserve">No undo on a review status change; no personal “my recent changes” view.</w:t>
      </w:r>
    </w:p>
    <w:p>
      <w:pPr>
        <w:pStyle w:val="ListParagraph"/>
        <w:numPr>
          <w:ilvl w:val="0"/>
          <w:numId w:val="2"/>
        </w:numPr>
        <w:spacing w:after="64" w:line="268"/>
      </w:pPr>
      <w:r>
        <w:rPr>
          <w:rFonts w:ascii="Calibri" w:cs="Calibri" w:eastAsia="Calibri" w:hAnsi="Calibri"/>
          <w:color w:val="1C2434"/>
          <w:sz w:val="21"/>
          <w:szCs w:val="21"/>
        </w:rPr>
        <w:t xml:space="preserve">Exports emit a toast, not a file — fine for a prototype, but the artefact shape (columns, private-note exclusion) isn’t shown.</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12. Performance concerns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Single-file build still renders instantly at demo scale.</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Still only 9 sample employees. Production is 161 now and the spec targets 5,000+ (NFR4). No table paginates or virtualises.</w:t>
      </w:r>
    </w:p>
    <w:p>
      <w:pPr>
        <w:pStyle w:val="ListParagraph"/>
        <w:numPr>
          <w:ilvl w:val="0"/>
          <w:numId w:val="2"/>
        </w:numPr>
        <w:spacing w:after="64" w:line="268"/>
      </w:pPr>
      <w:r>
        <w:rPr>
          <w:rFonts w:ascii="Calibri" w:cs="Calibri" w:eastAsia="Calibri" w:hAnsi="Calibri"/>
          <w:color w:val="1C2434"/>
          <w:sz w:val="21"/>
          <w:szCs w:val="21"/>
        </w:rPr>
        <w:t xml:space="preserve">The real heatmap (161 × 31 ≈ 5,000 cells, or far more at scale) is untested and renders every cell eagerly with per-cell handlers.</w:t>
      </w:r>
    </w:p>
    <w:p>
      <w:pPr>
        <w:pStyle w:val="ListParagraph"/>
        <w:numPr>
          <w:ilvl w:val="0"/>
          <w:numId w:val="2"/>
        </w:numPr>
        <w:spacing w:after="64" w:line="268"/>
      </w:pPr>
      <w:r>
        <w:rPr>
          <w:rFonts w:ascii="Calibri" w:cs="Calibri" w:eastAsia="Calibri" w:hAnsi="Calibri"/>
          <w:color w:val="1C2434"/>
          <w:sz w:val="21"/>
          <w:szCs w:val="21"/>
        </w:rPr>
        <w:t xml:space="preserve">Sorting/filtering are in-memory over the full array with no indexing or memoisation strategy proven beyond a handful of rows.</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13. Mobile responsiveness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Login collapses; a few grids reflow; the rail has a small-screen treatment.</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Only three media queries. Wide insight tables and the heatmap still overflow below ~1000px with no sticky first column on data tables.</w:t>
      </w:r>
    </w:p>
    <w:p>
      <w:pPr>
        <w:pStyle w:val="ListParagraph"/>
        <w:numPr>
          <w:ilvl w:val="0"/>
          <w:numId w:val="2"/>
        </w:numPr>
        <w:spacing w:after="64" w:line="268"/>
      </w:pPr>
      <w:r>
        <w:rPr>
          <w:rFonts w:ascii="Calibri" w:cs="Calibri" w:eastAsia="Calibri" w:hAnsi="Calibri"/>
          <w:color w:val="1C2434"/>
          <w:sz w:val="21"/>
          <w:szCs w:val="21"/>
        </w:rPr>
        <w:t xml:space="preserve">The Review Log’s two-column layout (log + analytics) has no defined stacking below tablet.</w:t>
      </w:r>
    </w:p>
    <w:p>
      <w:pPr>
        <w:pStyle w:val="ListParagraph"/>
        <w:numPr>
          <w:ilvl w:val="0"/>
          <w:numId w:val="2"/>
        </w:numPr>
        <w:spacing w:after="64" w:line="268"/>
      </w:pPr>
      <w:r>
        <w:rPr>
          <w:rFonts w:ascii="Calibri" w:cs="Calibri" w:eastAsia="Calibri" w:hAnsi="Calibri"/>
          <w:color w:val="1C2434"/>
          <w:sz w:val="21"/>
          <w:szCs w:val="21"/>
        </w:rPr>
        <w:t xml:space="preserve">Dense table rows and heatmap cells have touch targets below comfortable minimums for managers triaging on a phone.</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14. Data overload</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Insight lists are scannable; the attention banner gives the eye an anchor.</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Dashboards still show 12 cards + 2 charts + a table at full fidelity at once, with no progressive disclosure.</w:t>
      </w:r>
    </w:p>
    <w:p>
      <w:pPr>
        <w:pStyle w:val="ListParagraph"/>
        <w:numPr>
          <w:ilvl w:val="0"/>
          <w:numId w:val="2"/>
        </w:numPr>
        <w:spacing w:after="64" w:line="268"/>
      </w:pPr>
      <w:r>
        <w:rPr>
          <w:rFonts w:ascii="Calibri" w:cs="Calibri" w:eastAsia="Calibri" w:hAnsi="Calibri"/>
          <w:color w:val="1C2434"/>
          <w:sz w:val="21"/>
          <w:szCs w:val="21"/>
        </w:rPr>
        <w:t xml:space="preserve">Insight and log tables show every column always, with no collapse-to-essentials.</w:t>
      </w:r>
    </w:p>
    <w:p>
      <w:pPr>
        <w:pStyle w:val="ListParagraph"/>
        <w:numPr>
          <w:ilvl w:val="0"/>
          <w:numId w:val="2"/>
        </w:numPr>
        <w:spacing w:after="64" w:line="268"/>
      </w:pPr>
      <w:r>
        <w:rPr>
          <w:rFonts w:ascii="Calibri" w:cs="Calibri" w:eastAsia="Calibri" w:hAnsi="Calibri"/>
          <w:color w:val="1C2434"/>
          <w:sz w:val="21"/>
          <w:szCs w:val="21"/>
        </w:rPr>
        <w:t xml:space="preserve">No default focus / “start here” beyond the banner.</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15. Missing shortcuts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 (none to credit).</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No keyboard shortcuts of any kind — no “/” search, no j/k row movement, no shortcut to set review status.</w:t>
      </w:r>
    </w:p>
    <w:p>
      <w:pPr>
        <w:pStyle w:val="ListParagraph"/>
        <w:numPr>
          <w:ilvl w:val="0"/>
          <w:numId w:val="2"/>
        </w:numPr>
        <w:spacing w:after="64" w:line="268"/>
      </w:pPr>
      <w:r>
        <w:rPr>
          <w:rFonts w:ascii="Calibri" w:cs="Calibri" w:eastAsia="Calibri" w:hAnsi="Calibri"/>
          <w:color w:val="1C2434"/>
          <w:sz w:val="21"/>
          <w:szCs w:val="21"/>
        </w:rPr>
        <w:t xml:space="preserve">Saved views exist but don’t persist and can’t be created by the user — they’re fixed presets.</w:t>
      </w:r>
    </w:p>
    <w:p>
      <w:pPr>
        <w:pStyle w:val="ListParagraph"/>
        <w:numPr>
          <w:ilvl w:val="0"/>
          <w:numId w:val="2"/>
        </w:numPr>
        <w:spacing w:after="64" w:line="268"/>
      </w:pPr>
      <w:r>
        <w:rPr>
          <w:rFonts w:ascii="Calibri" w:cs="Calibri" w:eastAsia="Calibri" w:hAnsi="Calibri"/>
          <w:color w:val="1C2434"/>
          <w:sz w:val="21"/>
          <w:szCs w:val="21"/>
        </w:rPr>
        <w:t xml:space="preserve">No recent/pinned employees; no right-click or … quick-status without opening the row menu.</w:t>
      </w:r>
    </w:p>
    <w:p>
      <w:pPr>
        <w:spacing w:after="40"/>
      </w:pPr>
      <w:r>
        <w:rPr>
          <w:sz w:val="2"/>
          <w:szCs w:val="2"/>
        </w:rPr>
        <w:t xml:space="preserve"/>
      </w:r>
    </w:p>
    <w:p>
      <w:pPr>
        <w:pStyle w:val="Heading2"/>
        <w:spacing w:after="90" w:before="240"/>
      </w:pPr>
      <w:r>
        <w:rPr>
          <w:rFonts w:ascii="Calibri" w:cs="Calibri" w:eastAsia="Calibri" w:hAnsi="Calibri"/>
          <w:b/>
          <w:bCs/>
          <w:color w:val="1E3F9E"/>
          <w:sz w:val="23"/>
          <w:szCs w:val="23"/>
        </w:rPr>
        <w:t xml:space="preserve">16. Review log</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4" w:line="268"/>
      </w:pPr>
      <w:r>
        <w:rPr>
          <w:rFonts w:ascii="Calibri" w:cs="Calibri" w:eastAsia="Calibri" w:hAnsi="Calibri"/>
          <w:color w:val="1C2434"/>
          <w:sz w:val="21"/>
          <w:szCs w:val="21"/>
        </w:rPr>
        <w:t xml:space="preserve">A genuinely well-built screen that matches Dashboard Spec §9a: outcome KPIs, filter bar (search/status/action/state), the log table, a per-review audit-trail modal, and an actions-taken chart.</w:t>
      </w:r>
    </w:p>
    <w:p>
      <w:pPr>
        <w:pStyle w:val="ListParagraph"/>
        <w:numPr>
          <w:ilvl w:val="0"/>
          <w:numId w:val="2"/>
        </w:numPr>
        <w:spacing w:after="64" w:line="268"/>
      </w:pPr>
      <w:r>
        <w:rPr>
          <w:rFonts w:ascii="Calibri" w:cs="Calibri" w:eastAsia="Calibri" w:hAnsi="Calibri"/>
          <w:color w:val="1C2434"/>
          <w:sz w:val="21"/>
          <w:szCs w:val="21"/>
        </w:rPr>
        <w:t xml:space="preserve">Overdue is labelled, not colour-only; “No action required” is treated as a first-class outcome — both honour the US-R1 tone rules.</w:t>
      </w:r>
    </w:p>
    <w:p>
      <w:pPr>
        <w:pStyle w:val="ListParagraph"/>
        <w:numPr>
          <w:ilvl w:val="0"/>
          <w:numId w:val="2"/>
        </w:numPr>
        <w:spacing w:after="64" w:line="268"/>
      </w:pPr>
      <w:r>
        <w:rPr>
          <w:rFonts w:ascii="Calibri" w:cs="Calibri" w:eastAsia="Calibri" w:hAnsi="Calibri"/>
          <w:color w:val="1C2434"/>
          <w:sz w:val="21"/>
          <w:szCs w:val="21"/>
        </w:rPr>
        <w:t xml:space="preserve">The audit-trail modal states that private notes are never shown or exported — the right privacy message.</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4" w:line="268"/>
      </w:pPr>
      <w:r>
        <w:rPr>
          <w:rFonts w:ascii="Calibri" w:cs="Calibri" w:eastAsia="Calibri" w:hAnsi="Calibri"/>
          <w:color w:val="1C2434"/>
          <w:sz w:val="21"/>
          <w:szCs w:val="21"/>
        </w:rPr>
        <w:t xml:space="preserve">Disconnected from the workflow: Save review never appends to the log, so the log can never reflect a review the user just did. The two screens share no state. This is the highest-value fix — the feature’s core promise is undermined by its own demo.</w:t>
      </w:r>
    </w:p>
    <w:p>
      <w:pPr>
        <w:pStyle w:val="ListParagraph"/>
        <w:numPr>
          <w:ilvl w:val="0"/>
          <w:numId w:val="2"/>
        </w:numPr>
        <w:spacing w:after="64" w:line="268"/>
      </w:pPr>
      <w:r>
        <w:rPr>
          <w:rFonts w:ascii="Calibri" w:cs="Calibri" w:eastAsia="Calibri" w:hAnsi="Calibri"/>
          <w:color w:val="1C2434"/>
          <w:sz w:val="21"/>
          <w:szCs w:val="21"/>
        </w:rPr>
        <w:t xml:space="preserve">note_private is not modelled at all. The Data Spec §16 defines note_private as a field that exists but is never listed or exported; the prototype only has noteHR, so the privacy guarantee is asserted in copy but cannot be demonstrated (there is nothing private to withhold).</w:t>
      </w:r>
    </w:p>
    <w:p>
      <w:pPr>
        <w:pStyle w:val="ListParagraph"/>
        <w:numPr>
          <w:ilvl w:val="0"/>
          <w:numId w:val="2"/>
        </w:numPr>
        <w:spacing w:after="64" w:line="268"/>
      </w:pPr>
      <w:r>
        <w:rPr>
          <w:rFonts w:ascii="Calibri" w:cs="Calibri" w:eastAsia="Calibri" w:hAnsi="Calibri"/>
          <w:color w:val="1C2434"/>
          <w:sz w:val="21"/>
          <w:szCs w:val="21"/>
        </w:rPr>
        <w:t xml:space="preserve">The Review Log uses its own bespoke filter, not the shared hierarchy-aware FilterBar, so it has no department/location/manager scoping and does not visibly enforce the “own line” rule the Permission Matrix requires.</w:t>
      </w:r>
    </w:p>
    <w:p>
      <w:pPr>
        <w:pStyle w:val="ListParagraph"/>
        <w:numPr>
          <w:ilvl w:val="0"/>
          <w:numId w:val="2"/>
        </w:numPr>
        <w:spacing w:after="64" w:line="268"/>
      </w:pPr>
      <w:r>
        <w:rPr>
          <w:rFonts w:ascii="Calibri" w:cs="Calibri" w:eastAsia="Calibri" w:hAnsi="Calibri"/>
          <w:color w:val="1C2434"/>
          <w:sz w:val="21"/>
          <w:szCs w:val="21"/>
        </w:rPr>
        <w:t xml:space="preserve">Contradicts the v1.1.0 Permission Matrix: §7 now grants Read-Only “Review Log (view)” and “Insight Lists / Review (view)”, but the prototype’s read-only role cannot reach the Review Log or the workflow at all.</w:t>
      </w:r>
    </w:p>
    <w:p>
      <w:pPr>
        <w:pStyle w:val="ListParagraph"/>
        <w:numPr>
          <w:ilvl w:val="0"/>
          <w:numId w:val="2"/>
        </w:numPr>
        <w:spacing w:after="64" w:line="268"/>
      </w:pPr>
      <w:r>
        <w:rPr>
          <w:rFonts w:ascii="Calibri" w:cs="Calibri" w:eastAsia="Calibri" w:hAnsi="Calibri"/>
          <w:color w:val="1C2434"/>
          <w:sz w:val="21"/>
          <w:szCs w:val="21"/>
        </w:rPr>
        <w:t xml:space="preserve">The outcome chart doesn’t drill into the underlying reviews, and overdue is computed against a hardcoded date rather than a relative “today”.</w:t>
      </w:r>
    </w:p>
    <w:p>
      <w:pPr>
        <w:spacing w:after="40"/>
      </w:pPr>
      <w:r>
        <w:rPr>
          <w:sz w:val="2"/>
          <w:szCs w:val="2"/>
        </w:rPr>
        <w:t xml:space="preserve"/>
      </w:r>
    </w:p>
    <w:p>
      <w:r>
        <w:br w:type="page"/>
      </w:r>
    </w:p>
    <w:p>
      <w:pPr>
        <w:pStyle w:val="Heading1"/>
        <w:spacing w:after="140" w:before="320"/>
      </w:pPr>
      <w:r>
        <w:rPr>
          <w:rFonts w:ascii="Calibri" w:cs="Calibri" w:eastAsia="Calibri" w:hAnsi="Calibri"/>
          <w:b/>
          <w:bCs/>
          <w:color w:val="1C2434"/>
          <w:sz w:val="30"/>
          <w:szCs w:val="30"/>
        </w:rPr>
        <w:t xml:space="preserve">Prioritised improvements</w:t>
      </w:r>
    </w:p>
    <w:p>
      <w:pPr>
        <w:spacing w:after="120" w:line="276"/>
      </w:pPr>
      <w:r>
        <w:rPr>
          <w:rFonts w:ascii="Calibri" w:cs="Calibri" w:eastAsia="Calibri" w:hAnsi="Calibri"/>
          <w:color w:val="1C2434"/>
          <w:sz w:val="21"/>
          <w:szCs w:val="21"/>
        </w:rPr>
        <w:t xml:space="preserve">Priority 1 items either break a stated acceptance criterion, contradict the v1.1.0 spec, or undermine a feature’s core promise. Effort is a rough T-shirt size for planning only.</w:t>
      </w:r>
    </w:p>
    <w:p>
      <w:pPr>
        <w:pStyle w:val="Heading2"/>
        <w:spacing w:after="90" w:before="240"/>
      </w:pPr>
      <w:r>
        <w:rPr>
          <w:rFonts w:ascii="Calibri" w:cs="Calibri" w:eastAsia="Calibri" w:hAnsi="Calibri"/>
          <w:b/>
          <w:bCs/>
          <w:color w:val="1E3F9E"/>
          <w:sz w:val="23"/>
          <w:szCs w:val="23"/>
        </w:rPr>
        <w:t xml:space="preserve">Priority 1 — Must have (before M2 sign-off)</w:t>
      </w:r>
    </w:p>
    <w:tbl>
      <w:tblPr>
        <w:tblW w:type="dxa" w:w="8900"/>
        <w:tblBorders>
          <w:top w:val="single" w:color="E3E7ED" w:sz="4"/>
          <w:left w:val="single" w:color="E3E7ED" w:sz="4"/>
          <w:bottom w:val="single" w:color="E3E7ED" w:sz="4"/>
          <w:right w:val="single" w:color="E3E7ED" w:sz="4"/>
          <w:insideH w:val="single" w:color="E3E7ED" w:sz="4"/>
          <w:insideV w:val="single" w:color="E3E7ED" w:sz="4"/>
        </w:tblBorders>
      </w:tblPr>
      <w:tblGrid>
        <w:gridCol w:w="500"/>
        <w:gridCol w:w="3050"/>
        <w:gridCol w:w="4750"/>
        <w:gridCol w:w="600"/>
      </w:tblGrid>
      <w:tr>
        <w:trPr>
          <w:tblHeader/>
        </w:trPr>
        <w:tc>
          <w:tcPr>
            <w:tcW w:type="dxa" w:w="50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w:t>
            </w:r>
          </w:p>
        </w:tc>
        <w:tc>
          <w:tcPr>
            <w:tcW w:type="dxa" w:w="305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Improvement</w:t>
            </w:r>
          </w:p>
        </w:tc>
        <w:tc>
          <w:tcPr>
            <w:tcW w:type="dxa" w:w="475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Why it matters</w:t>
            </w:r>
          </w:p>
        </w:tc>
        <w:tc>
          <w:tcPr>
            <w:tcW w:type="dxa" w:w="60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Effort</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w:t>
            </w:r>
          </w:p>
        </w:tc>
        <w:tc>
          <w:tcPr>
            <w:tcW w:type="dxa" w:w="3050"/>
            <w:tcMar>
              <w:top w:type="dxa" w:w="56"/>
              <w:left w:type="dxa" w:w="104"/>
              <w:bottom w:type="dxa" w:w="56"/>
              <w:right w:type="dxa" w:w="104"/>
            </w:tcMar>
          </w:tcPr>
          <w:p>
            <w:pPr>
              <w:jc w:val="left"/>
            </w:pPr>
            <w:r>
              <w:rPr>
                <w:rFonts w:ascii="Calibri" w:cs="Calibri" w:eastAsia="Calibri" w:hAnsi="Calibri"/>
                <w:b/>
                <w:bCs/>
                <w:color w:val="1C2434"/>
                <w:sz w:val="21"/>
                <w:szCs w:val="21"/>
              </w:rPr>
              <w:t xml:space="preserve">Connect Save review to the Review Log</w:t>
            </w:r>
          </w:p>
        </w:tc>
        <w:tc>
          <w:tcPr>
            <w:tcW w:type="dxa" w:w="475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Saving a review must create/update a real log record (PRD FR16/FR20; US-R1 AC-1). Today it only toasts — the feature’s core promise is simulated.</w:t>
            </w:r>
          </w:p>
        </w:tc>
        <w:tc>
          <w:tcPr>
            <w:tcW w:type="dxa" w:w="6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2</w:t>
            </w:r>
          </w:p>
        </w:tc>
        <w:tc>
          <w:tcPr>
            <w:tcW w:type="dxa" w:w="3050"/>
            <w:shd w:fill="F4F6FA" w:color="auto" w:val="clear"/>
            <w:tcMar>
              <w:top w:type="dxa" w:w="56"/>
              <w:left w:type="dxa" w:w="104"/>
              <w:bottom w:type="dxa" w:w="56"/>
              <w:right w:type="dxa" w:w="104"/>
            </w:tcMar>
          </w:tcPr>
          <w:p>
            <w:pPr>
              <w:jc w:val="left"/>
            </w:pPr>
            <w:r>
              <w:rPr>
                <w:rFonts w:ascii="Calibri" w:cs="Calibri" w:eastAsia="Calibri" w:hAnsi="Calibri"/>
                <w:b/>
                <w:bCs/>
                <w:color w:val="1C2434"/>
                <w:sz w:val="21"/>
                <w:szCs w:val="21"/>
              </w:rPr>
              <w:t xml:space="preserve">Fix the Read-Only ↔ Review Log contradiction</w:t>
            </w:r>
          </w:p>
        </w:tc>
        <w:tc>
          <w:tcPr>
            <w:tcW w:type="dxa" w:w="475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The v1.1.0 Permission Matrix grants Read-Only view of the Review Log and Insight/Review; the prototype denies both. Align the role keys to the spec it implements.</w:t>
            </w:r>
          </w:p>
        </w:tc>
        <w:tc>
          <w:tcPr>
            <w:tcW w:type="dxa" w:w="6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S</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3</w:t>
            </w:r>
          </w:p>
        </w:tc>
        <w:tc>
          <w:tcPr>
            <w:tcW w:type="dxa" w:w="3050"/>
            <w:tcMar>
              <w:top w:type="dxa" w:w="56"/>
              <w:left w:type="dxa" w:w="104"/>
              <w:bottom w:type="dxa" w:w="56"/>
              <w:right w:type="dxa" w:w="104"/>
            </w:tcMar>
          </w:tcPr>
          <w:p>
            <w:pPr>
              <w:jc w:val="left"/>
            </w:pPr>
            <w:r>
              <w:rPr>
                <w:rFonts w:ascii="Calibri" w:cs="Calibri" w:eastAsia="Calibri" w:hAnsi="Calibri"/>
                <w:b/>
                <w:bCs/>
                <w:color w:val="1C2434"/>
                <w:sz w:val="21"/>
                <w:szCs w:val="21"/>
              </w:rPr>
              <w:t xml:space="preserve">Model note_private and prove the privacy rule</w:t>
            </w:r>
          </w:p>
        </w:tc>
        <w:tc>
          <w:tcPr>
            <w:tcW w:type="dxa" w:w="475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Data Spec §16 requires a private note that is never listed or exported. Add it so the Review Log can demonstrably withhold it — otherwise the guarantee is empty.</w:t>
            </w:r>
          </w:p>
        </w:tc>
        <w:tc>
          <w:tcPr>
            <w:tcW w:type="dxa" w:w="6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S</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4</w:t>
            </w:r>
          </w:p>
        </w:tc>
        <w:tc>
          <w:tcPr>
            <w:tcW w:type="dxa" w:w="3050"/>
            <w:shd w:fill="F4F6FA" w:color="auto" w:val="clear"/>
            <w:tcMar>
              <w:top w:type="dxa" w:w="56"/>
              <w:left w:type="dxa" w:w="104"/>
              <w:bottom w:type="dxa" w:w="56"/>
              <w:right w:type="dxa" w:w="104"/>
            </w:tcMar>
          </w:tcPr>
          <w:p>
            <w:pPr>
              <w:jc w:val="left"/>
            </w:pPr>
            <w:r>
              <w:rPr>
                <w:rFonts w:ascii="Calibri" w:cs="Calibri" w:eastAsia="Calibri" w:hAnsi="Calibri"/>
                <w:b/>
                <w:bCs/>
                <w:color w:val="1C2434"/>
                <w:sz w:val="21"/>
                <w:szCs w:val="21"/>
              </w:rPr>
              <w:t xml:space="preserve">Give the access-request queue a home</w:t>
            </w:r>
          </w:p>
        </w:tc>
        <w:tc>
          <w:tcPr>
            <w:tcW w:type="dxa" w:w="475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The request flow claims it reaches an admin queue that doesn’t exist. Add the admin-side queue screen (Perm §1–2, Dash §3).</w:t>
            </w:r>
          </w:p>
        </w:tc>
        <w:tc>
          <w:tcPr>
            <w:tcW w:type="dxa" w:w="6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5</w:t>
            </w:r>
          </w:p>
        </w:tc>
        <w:tc>
          <w:tcPr>
            <w:tcW w:type="dxa" w:w="3050"/>
            <w:tcMar>
              <w:top w:type="dxa" w:w="56"/>
              <w:left w:type="dxa" w:w="104"/>
              <w:bottom w:type="dxa" w:w="56"/>
              <w:right w:type="dxa" w:w="104"/>
            </w:tcMar>
          </w:tcPr>
          <w:p>
            <w:pPr>
              <w:jc w:val="left"/>
            </w:pPr>
            <w:r>
              <w:rPr>
                <w:rFonts w:ascii="Calibri" w:cs="Calibri" w:eastAsia="Calibri" w:hAnsi="Calibri"/>
                <w:b/>
                <w:bCs/>
                <w:color w:val="1C2434"/>
                <w:sz w:val="21"/>
                <w:szCs w:val="21"/>
              </w:rPr>
              <w:t xml:space="preserve">Make the org dashboard filter real</w:t>
            </w:r>
          </w:p>
        </w:tc>
        <w:tc>
          <w:tcPr>
            <w:tcW w:type="dxa" w:w="475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Its KPIs are hardcoded literals; the filter moves chips but not numbers. A filter that visibly does nothing fails AC-12 and erodes trust.</w:t>
            </w:r>
          </w:p>
        </w:tc>
        <w:tc>
          <w:tcPr>
            <w:tcW w:type="dxa" w:w="6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6</w:t>
            </w:r>
          </w:p>
        </w:tc>
        <w:tc>
          <w:tcPr>
            <w:tcW w:type="dxa" w:w="3050"/>
            <w:shd w:fill="F4F6FA" w:color="auto" w:val="clear"/>
            <w:tcMar>
              <w:top w:type="dxa" w:w="56"/>
              <w:left w:type="dxa" w:w="104"/>
              <w:bottom w:type="dxa" w:w="56"/>
              <w:right w:type="dxa" w:w="104"/>
            </w:tcMar>
          </w:tcPr>
          <w:p>
            <w:pPr>
              <w:jc w:val="left"/>
            </w:pPr>
            <w:r>
              <w:rPr>
                <w:rFonts w:ascii="Calibri" w:cs="Calibri" w:eastAsia="Calibri" w:hAnsi="Calibri"/>
                <w:b/>
                <w:bCs/>
                <w:color w:val="1C2434"/>
                <w:sz w:val="21"/>
                <w:szCs w:val="21"/>
              </w:rPr>
              <w:t xml:space="preserve">Design for real data volume</w:t>
            </w:r>
          </w:p>
        </w:tc>
        <w:tc>
          <w:tcPr>
            <w:tcW w:type="dxa" w:w="475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Pagination/virtualisation on tables and the heatmap; test at 161→n employees (NFR4: 5,000+). De-risks the Phase-4 schema and API.</w:t>
            </w:r>
          </w:p>
        </w:tc>
        <w:tc>
          <w:tcPr>
            <w:tcW w:type="dxa" w:w="6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L</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7</w:t>
            </w:r>
          </w:p>
        </w:tc>
        <w:tc>
          <w:tcPr>
            <w:tcW w:type="dxa" w:w="3050"/>
            <w:tcMar>
              <w:top w:type="dxa" w:w="56"/>
              <w:left w:type="dxa" w:w="104"/>
              <w:bottom w:type="dxa" w:w="56"/>
              <w:right w:type="dxa" w:w="104"/>
            </w:tcMar>
          </w:tcPr>
          <w:p>
            <w:pPr>
              <w:jc w:val="left"/>
            </w:pPr>
            <w:r>
              <w:rPr>
                <w:rFonts w:ascii="Calibri" w:cs="Calibri" w:eastAsia="Calibri" w:hAnsi="Calibri"/>
                <w:b/>
                <w:bCs/>
                <w:color w:val="1C2434"/>
                <w:sz w:val="21"/>
                <w:szCs w:val="21"/>
              </w:rPr>
              <w:t xml:space="preserve">Scope the Review Log to hierarchy</w:t>
            </w:r>
          </w:p>
        </w:tc>
        <w:tc>
          <w:tcPr>
            <w:tcW w:type="dxa" w:w="475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Use the shared hierarchy-aware filter so it visibly enforces the “own line” rule the Permission Matrix requires, and gains dept/location/manager scoping.</w:t>
            </w:r>
          </w:p>
        </w:tc>
        <w:tc>
          <w:tcPr>
            <w:tcW w:type="dxa" w:w="6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S</w:t>
            </w:r>
          </w:p>
        </w:tc>
      </w:tr>
    </w:tbl>
    <w:p>
      <w:pPr>
        <w:pStyle w:val="Heading2"/>
        <w:spacing w:after="90" w:before="240"/>
      </w:pPr>
      <w:r>
        <w:rPr>
          <w:rFonts w:ascii="Calibri" w:cs="Calibri" w:eastAsia="Calibri" w:hAnsi="Calibri"/>
          <w:b/>
          <w:bCs/>
          <w:color w:val="1E3F9E"/>
          <w:sz w:val="23"/>
          <w:szCs w:val="23"/>
        </w:rPr>
        <w:t xml:space="preserve">Priority 2 — Should have</w:t>
      </w:r>
    </w:p>
    <w:tbl>
      <w:tblPr>
        <w:tblW w:type="dxa" w:w="8900"/>
        <w:tblBorders>
          <w:top w:val="single" w:color="E3E7ED" w:sz="4"/>
          <w:left w:val="single" w:color="E3E7ED" w:sz="4"/>
          <w:bottom w:val="single" w:color="E3E7ED" w:sz="4"/>
          <w:right w:val="single" w:color="E3E7ED" w:sz="4"/>
          <w:insideH w:val="single" w:color="E3E7ED" w:sz="4"/>
          <w:insideV w:val="single" w:color="E3E7ED" w:sz="4"/>
        </w:tblBorders>
      </w:tblPr>
      <w:tblGrid>
        <w:gridCol w:w="500"/>
        <w:gridCol w:w="3050"/>
        <w:gridCol w:w="4750"/>
        <w:gridCol w:w="600"/>
      </w:tblGrid>
      <w:tr>
        <w:trPr>
          <w:tblHeader/>
        </w:trPr>
        <w:tc>
          <w:tcPr>
            <w:tcW w:type="dxa" w:w="50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w:t>
            </w:r>
          </w:p>
        </w:tc>
        <w:tc>
          <w:tcPr>
            <w:tcW w:type="dxa" w:w="305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Improvement</w:t>
            </w:r>
          </w:p>
        </w:tc>
        <w:tc>
          <w:tcPr>
            <w:tcW w:type="dxa" w:w="475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Why it matters</w:t>
            </w:r>
          </w:p>
        </w:tc>
        <w:tc>
          <w:tcPr>
            <w:tcW w:type="dxa" w:w="60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Effort</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8</w:t>
            </w:r>
          </w:p>
        </w:tc>
        <w:tc>
          <w:tcPr>
            <w:tcW w:type="dxa" w:w="3050"/>
            <w:tcMar>
              <w:top w:type="dxa" w:w="56"/>
              <w:left w:type="dxa" w:w="104"/>
              <w:bottom w:type="dxa" w:w="56"/>
              <w:right w:type="dxa" w:w="104"/>
            </w:tcMar>
          </w:tcPr>
          <w:p>
            <w:pPr>
              <w:jc w:val="left"/>
            </w:pPr>
            <w:r>
              <w:rPr>
                <w:rFonts w:ascii="Calibri" w:cs="Calibri" w:eastAsia="Calibri" w:hAnsi="Calibri"/>
                <w:b/>
                <w:bCs/>
                <w:color w:val="1C2434"/>
                <w:sz w:val="21"/>
                <w:szCs w:val="21"/>
              </w:rPr>
              <w:t xml:space="preserve">Persistence layer (or honest note)</w:t>
            </w:r>
          </w:p>
        </w:tc>
        <w:tc>
          <w:tcPr>
            <w:tcW w:type="dxa" w:w="475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Saved views, filters and review edits vanish on refresh. A monthly HR tool needs durable state; at minimum surface the limitation.</w:t>
            </w:r>
          </w:p>
        </w:tc>
        <w:tc>
          <w:tcPr>
            <w:tcW w:type="dxa" w:w="6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9</w:t>
            </w:r>
          </w:p>
        </w:tc>
        <w:tc>
          <w:tcPr>
            <w:tcW w:type="dxa" w:w="3050"/>
            <w:shd w:fill="F4F6FA" w:color="auto" w:val="clear"/>
            <w:tcMar>
              <w:top w:type="dxa" w:w="56"/>
              <w:left w:type="dxa" w:w="104"/>
              <w:bottom w:type="dxa" w:w="56"/>
              <w:right w:type="dxa" w:w="104"/>
            </w:tcMar>
          </w:tcPr>
          <w:p>
            <w:pPr>
              <w:jc w:val="left"/>
            </w:pPr>
            <w:r>
              <w:rPr>
                <w:rFonts w:ascii="Calibri" w:cs="Calibri" w:eastAsia="Calibri" w:hAnsi="Calibri"/>
                <w:b/>
                <w:bCs/>
                <w:color w:val="1C2434"/>
                <w:sz w:val="21"/>
                <w:szCs w:val="21"/>
              </w:rPr>
              <w:t xml:space="preserve">KPI hierarchy + policy targets</w:t>
            </w:r>
          </w:p>
        </w:tc>
        <w:tc>
          <w:tcPr>
            <w:tcW w:type="dxa" w:w="475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Weight the cards and attach targets so a number carries a verdict; de-duplicate against insight lists.</w:t>
            </w:r>
          </w:p>
        </w:tc>
        <w:tc>
          <w:tcPr>
            <w:tcW w:type="dxa" w:w="6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S</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10</w:t>
            </w:r>
          </w:p>
        </w:tc>
        <w:tc>
          <w:tcPr>
            <w:tcW w:type="dxa" w:w="3050"/>
            <w:tcMar>
              <w:top w:type="dxa" w:w="56"/>
              <w:left w:type="dxa" w:w="104"/>
              <w:bottom w:type="dxa" w:w="56"/>
              <w:right w:type="dxa" w:w="104"/>
            </w:tcMar>
          </w:tcPr>
          <w:p>
            <w:pPr>
              <w:jc w:val="left"/>
            </w:pPr>
            <w:r>
              <w:rPr>
                <w:rFonts w:ascii="Calibri" w:cs="Calibri" w:eastAsia="Calibri" w:hAnsi="Calibri"/>
                <w:b/>
                <w:bCs/>
                <w:color w:val="1C2434"/>
                <w:sz w:val="21"/>
                <w:szCs w:val="21"/>
              </w:rPr>
              <w:t xml:space="preserve">Access-request queue → review actions</w:t>
            </w:r>
          </w:p>
        </w:tc>
        <w:tc>
          <w:tcPr>
            <w:tcW w:type="dxa" w:w="475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Once the queue exists, let an admin approve/deny and see it audited (Perm §10).</w:t>
            </w:r>
          </w:p>
        </w:tc>
        <w:tc>
          <w:tcPr>
            <w:tcW w:type="dxa" w:w="6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11</w:t>
            </w:r>
          </w:p>
        </w:tc>
        <w:tc>
          <w:tcPr>
            <w:tcW w:type="dxa" w:w="3050"/>
            <w:shd w:fill="F4F6FA" w:color="auto" w:val="clear"/>
            <w:tcMar>
              <w:top w:type="dxa" w:w="56"/>
              <w:left w:type="dxa" w:w="104"/>
              <w:bottom w:type="dxa" w:w="56"/>
              <w:right w:type="dxa" w:w="104"/>
            </w:tcMar>
          </w:tcPr>
          <w:p>
            <w:pPr>
              <w:jc w:val="left"/>
            </w:pPr>
            <w:r>
              <w:rPr>
                <w:rFonts w:ascii="Calibri" w:cs="Calibri" w:eastAsia="Calibri" w:hAnsi="Calibri"/>
                <w:b/>
                <w:bCs/>
                <w:color w:val="1C2434"/>
                <w:sz w:val="21"/>
                <w:szCs w:val="21"/>
              </w:rPr>
              <w:t xml:space="preserve">Data-quality report artefact</w:t>
            </w:r>
          </w:p>
        </w:tc>
        <w:tc>
          <w:tcPr>
            <w:tcW w:type="dxa" w:w="475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Add the report the Permission Matrix §9 already lists, for HR/admin.</w:t>
            </w:r>
          </w:p>
        </w:tc>
        <w:tc>
          <w:tcPr>
            <w:tcW w:type="dxa" w:w="6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12</w:t>
            </w:r>
          </w:p>
        </w:tc>
        <w:tc>
          <w:tcPr>
            <w:tcW w:type="dxa" w:w="3050"/>
            <w:tcMar>
              <w:top w:type="dxa" w:w="56"/>
              <w:left w:type="dxa" w:w="104"/>
              <w:bottom w:type="dxa" w:w="56"/>
              <w:right w:type="dxa" w:w="104"/>
            </w:tcMar>
          </w:tcPr>
          <w:p>
            <w:pPr>
              <w:jc w:val="left"/>
            </w:pPr>
            <w:r>
              <w:rPr>
                <w:rFonts w:ascii="Calibri" w:cs="Calibri" w:eastAsia="Calibri" w:hAnsi="Calibri"/>
                <w:b/>
                <w:bCs/>
                <w:color w:val="1C2434"/>
                <w:sz w:val="21"/>
                <w:szCs w:val="21"/>
              </w:rPr>
              <w:t xml:space="preserve">Drill-through on remaining charts/KPIs</w:t>
            </w:r>
          </w:p>
        </w:tc>
        <w:tc>
          <w:tcPr>
            <w:tcW w:type="dxa" w:w="475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Org comparison bars, coverage and average-hours cards, and the Review Log outcome chart should all drill.</w:t>
            </w:r>
          </w:p>
        </w:tc>
        <w:tc>
          <w:tcPr>
            <w:tcW w:type="dxa" w:w="6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13</w:t>
            </w:r>
          </w:p>
        </w:tc>
        <w:tc>
          <w:tcPr>
            <w:tcW w:type="dxa" w:w="3050"/>
            <w:shd w:fill="F4F6FA" w:color="auto" w:val="clear"/>
            <w:tcMar>
              <w:top w:type="dxa" w:w="56"/>
              <w:left w:type="dxa" w:w="104"/>
              <w:bottom w:type="dxa" w:w="56"/>
              <w:right w:type="dxa" w:w="104"/>
            </w:tcMar>
          </w:tcPr>
          <w:p>
            <w:pPr>
              <w:jc w:val="left"/>
            </w:pPr>
            <w:r>
              <w:rPr>
                <w:rFonts w:ascii="Calibri" w:cs="Calibri" w:eastAsia="Calibri" w:hAnsi="Calibri"/>
                <w:b/>
                <w:bCs/>
                <w:color w:val="1C2434"/>
                <w:sz w:val="21"/>
                <w:szCs w:val="21"/>
              </w:rPr>
              <w:t xml:space="preserve">Import mapping memory + fix-and-continue</w:t>
            </w:r>
          </w:p>
        </w:tc>
        <w:tc>
          <w:tcPr>
            <w:tcW w:type="dxa" w:w="475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Reuse mapping per file type (FR5/FR8); resume/repair rather than all-or-cancel.</w:t>
            </w:r>
          </w:p>
        </w:tc>
        <w:tc>
          <w:tcPr>
            <w:tcW w:type="dxa" w:w="6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14</w:t>
            </w:r>
          </w:p>
        </w:tc>
        <w:tc>
          <w:tcPr>
            <w:tcW w:type="dxa" w:w="3050"/>
            <w:tcMar>
              <w:top w:type="dxa" w:w="56"/>
              <w:left w:type="dxa" w:w="104"/>
              <w:bottom w:type="dxa" w:w="56"/>
              <w:right w:type="dxa" w:w="104"/>
            </w:tcMar>
          </w:tcPr>
          <w:p>
            <w:pPr>
              <w:jc w:val="left"/>
            </w:pPr>
            <w:r>
              <w:rPr>
                <w:rFonts w:ascii="Calibri" w:cs="Calibri" w:eastAsia="Calibri" w:hAnsi="Calibri"/>
                <w:b/>
                <w:bCs/>
                <w:color w:val="1C2434"/>
                <w:sz w:val="21"/>
                <w:szCs w:val="21"/>
              </w:rPr>
              <w:t xml:space="preserve">Accessibility: measured contrast + captions</w:t>
            </w:r>
          </w:p>
        </w:tc>
        <w:tc>
          <w:tcPr>
            <w:tcW w:type="dxa" w:w="475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Run a real contrast audit; add table captions and consistent sort-state announcements; reduce colour-only cues.</w:t>
            </w:r>
          </w:p>
        </w:tc>
        <w:tc>
          <w:tcPr>
            <w:tcW w:type="dxa" w:w="6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15</w:t>
            </w:r>
          </w:p>
        </w:tc>
        <w:tc>
          <w:tcPr>
            <w:tcW w:type="dxa" w:w="3050"/>
            <w:shd w:fill="F4F6FA" w:color="auto" w:val="clear"/>
            <w:tcMar>
              <w:top w:type="dxa" w:w="56"/>
              <w:left w:type="dxa" w:w="104"/>
              <w:bottom w:type="dxa" w:w="56"/>
              <w:right w:type="dxa" w:w="104"/>
            </w:tcMar>
          </w:tcPr>
          <w:p>
            <w:pPr>
              <w:jc w:val="left"/>
            </w:pPr>
            <w:r>
              <w:rPr>
                <w:rFonts w:ascii="Calibri" w:cs="Calibri" w:eastAsia="Calibri" w:hAnsi="Calibri"/>
                <w:b/>
                <w:bCs/>
                <w:color w:val="1C2434"/>
                <w:sz w:val="21"/>
                <w:szCs w:val="21"/>
              </w:rPr>
              <w:t xml:space="preserve">Real mobile treatment for wide tables</w:t>
            </w:r>
          </w:p>
        </w:tc>
        <w:tc>
          <w:tcPr>
            <w:tcW w:type="dxa" w:w="475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Sticky first column and defined stacking for insight tables, heatmap and the Review Log’s two-column layout.</w:t>
            </w:r>
          </w:p>
        </w:tc>
        <w:tc>
          <w:tcPr>
            <w:tcW w:type="dxa" w:w="6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bl>
    <w:p>
      <w:pPr>
        <w:pStyle w:val="Heading2"/>
        <w:spacing w:after="90" w:before="240"/>
      </w:pPr>
      <w:r>
        <w:rPr>
          <w:rFonts w:ascii="Calibri" w:cs="Calibri" w:eastAsia="Calibri" w:hAnsi="Calibri"/>
          <w:b/>
          <w:bCs/>
          <w:color w:val="1E3F9E"/>
          <w:sz w:val="23"/>
          <w:szCs w:val="23"/>
        </w:rPr>
        <w:t xml:space="preserve">Priority 3 — Future</w:t>
      </w:r>
    </w:p>
    <w:tbl>
      <w:tblPr>
        <w:tblW w:type="dxa" w:w="8900"/>
        <w:tblBorders>
          <w:top w:val="single" w:color="E3E7ED" w:sz="4"/>
          <w:left w:val="single" w:color="E3E7ED" w:sz="4"/>
          <w:bottom w:val="single" w:color="E3E7ED" w:sz="4"/>
          <w:right w:val="single" w:color="E3E7ED" w:sz="4"/>
          <w:insideH w:val="single" w:color="E3E7ED" w:sz="4"/>
          <w:insideV w:val="single" w:color="E3E7ED" w:sz="4"/>
        </w:tblBorders>
      </w:tblPr>
      <w:tblGrid>
        <w:gridCol w:w="500"/>
        <w:gridCol w:w="3050"/>
        <w:gridCol w:w="4750"/>
        <w:gridCol w:w="600"/>
      </w:tblGrid>
      <w:tr>
        <w:trPr>
          <w:tblHeader/>
        </w:trPr>
        <w:tc>
          <w:tcPr>
            <w:tcW w:type="dxa" w:w="50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w:t>
            </w:r>
          </w:p>
        </w:tc>
        <w:tc>
          <w:tcPr>
            <w:tcW w:type="dxa" w:w="305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Improvement</w:t>
            </w:r>
          </w:p>
        </w:tc>
        <w:tc>
          <w:tcPr>
            <w:tcW w:type="dxa" w:w="475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Why it matters</w:t>
            </w:r>
          </w:p>
        </w:tc>
        <w:tc>
          <w:tcPr>
            <w:tcW w:type="dxa" w:w="600"/>
            <w:shd w:fill="EAF0FE" w:color="auto" w:val="clear"/>
            <w:tcMar>
              <w:top w:type="dxa" w:w="56"/>
              <w:left w:type="dxa" w:w="104"/>
              <w:bottom w:type="dxa" w:w="56"/>
              <w:right w:type="dxa" w:w="104"/>
            </w:tcMar>
          </w:tcPr>
          <w:p>
            <w:pPr>
              <w:jc w:val="left"/>
            </w:pPr>
            <w:r>
              <w:rPr>
                <w:rFonts w:ascii="Calibri" w:cs="Calibri" w:eastAsia="Calibri" w:hAnsi="Calibri"/>
                <w:b/>
                <w:bCs/>
                <w:color w:val="1E3F9E"/>
                <w:sz w:val="20"/>
                <w:szCs w:val="20"/>
              </w:rPr>
              <w:t xml:space="preserve">Effort</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16</w:t>
            </w:r>
          </w:p>
        </w:tc>
        <w:tc>
          <w:tcPr>
            <w:tcW w:type="dxa" w:w="3050"/>
            <w:tcMar>
              <w:top w:type="dxa" w:w="56"/>
              <w:left w:type="dxa" w:w="104"/>
              <w:bottom w:type="dxa" w:w="56"/>
              <w:right w:type="dxa" w:w="104"/>
            </w:tcMar>
          </w:tcPr>
          <w:p>
            <w:pPr>
              <w:jc w:val="left"/>
            </w:pPr>
            <w:r>
              <w:rPr>
                <w:rFonts w:ascii="Calibri" w:cs="Calibri" w:eastAsia="Calibri" w:hAnsi="Calibri"/>
                <w:b/>
                <w:bCs/>
                <w:color w:val="1C2434"/>
                <w:sz w:val="21"/>
                <w:szCs w:val="21"/>
              </w:rPr>
              <w:t xml:space="preserve">Keyboard shortcuts + command palette</w:t>
            </w:r>
          </w:p>
        </w:tc>
        <w:tc>
          <w:tcPr>
            <w:tcW w:type="dxa" w:w="475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 search, j/k, quick status — power-user speed for HR/admins living in the tool.</w:t>
            </w:r>
          </w:p>
        </w:tc>
        <w:tc>
          <w:tcPr>
            <w:tcW w:type="dxa" w:w="6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17</w:t>
            </w:r>
          </w:p>
        </w:tc>
        <w:tc>
          <w:tcPr>
            <w:tcW w:type="dxa" w:w="3050"/>
            <w:shd w:fill="F4F6FA" w:color="auto" w:val="clear"/>
            <w:tcMar>
              <w:top w:type="dxa" w:w="56"/>
              <w:left w:type="dxa" w:w="104"/>
              <w:bottom w:type="dxa" w:w="56"/>
              <w:right w:type="dxa" w:w="104"/>
            </w:tcMar>
          </w:tcPr>
          <w:p>
            <w:pPr>
              <w:jc w:val="left"/>
            </w:pPr>
            <w:r>
              <w:rPr>
                <w:rFonts w:ascii="Calibri" w:cs="Calibri" w:eastAsia="Calibri" w:hAnsi="Calibri"/>
                <w:b/>
                <w:bCs/>
                <w:color w:val="1C2434"/>
                <w:sz w:val="21"/>
                <w:szCs w:val="21"/>
              </w:rPr>
              <w:t xml:space="preserve">Global search / jump-to-employee</w:t>
            </w:r>
          </w:p>
        </w:tc>
        <w:tc>
          <w:tcPr>
            <w:tcW w:type="dxa" w:w="475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Essential at 161→thousands of employees; the filter dropdown won’t scale.</w:t>
            </w:r>
          </w:p>
        </w:tc>
        <w:tc>
          <w:tcPr>
            <w:tcW w:type="dxa" w:w="6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18</w:t>
            </w:r>
          </w:p>
        </w:tc>
        <w:tc>
          <w:tcPr>
            <w:tcW w:type="dxa" w:w="3050"/>
            <w:tcMar>
              <w:top w:type="dxa" w:w="56"/>
              <w:left w:type="dxa" w:w="104"/>
              <w:bottom w:type="dxa" w:w="56"/>
              <w:right w:type="dxa" w:w="104"/>
            </w:tcMar>
          </w:tcPr>
          <w:p>
            <w:pPr>
              <w:jc w:val="left"/>
            </w:pPr>
            <w:r>
              <w:rPr>
                <w:rFonts w:ascii="Calibri" w:cs="Calibri" w:eastAsia="Calibri" w:hAnsi="Calibri"/>
                <w:b/>
                <w:bCs/>
                <w:color w:val="1C2434"/>
                <w:sz w:val="21"/>
                <w:szCs w:val="21"/>
              </w:rPr>
              <w:t xml:space="preserve">Notification centre for overdue reviews</w:t>
            </w:r>
          </w:p>
        </w:tc>
        <w:tc>
          <w:tcPr>
            <w:tcW w:type="dxa" w:w="475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US-R1 surfaces overdue in-app; a home for digests/ack aligns with PRD Phase-2 alerting.</w:t>
            </w:r>
          </w:p>
        </w:tc>
        <w:tc>
          <w:tcPr>
            <w:tcW w:type="dxa" w:w="6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19</w:t>
            </w:r>
          </w:p>
        </w:tc>
        <w:tc>
          <w:tcPr>
            <w:tcW w:type="dxa" w:w="3050"/>
            <w:shd w:fill="F4F6FA" w:color="auto" w:val="clear"/>
            <w:tcMar>
              <w:top w:type="dxa" w:w="56"/>
              <w:left w:type="dxa" w:w="104"/>
              <w:bottom w:type="dxa" w:w="56"/>
              <w:right w:type="dxa" w:w="104"/>
            </w:tcMar>
          </w:tcPr>
          <w:p>
            <w:pPr>
              <w:jc w:val="left"/>
            </w:pPr>
            <w:r>
              <w:rPr>
                <w:rFonts w:ascii="Calibri" w:cs="Calibri" w:eastAsia="Calibri" w:hAnsi="Calibri"/>
                <w:b/>
                <w:bCs/>
                <w:color w:val="1C2434"/>
                <w:sz w:val="21"/>
                <w:szCs w:val="21"/>
              </w:rPr>
              <w:t xml:space="preserve">Progressive disclosure / focus mode</w:t>
            </w:r>
          </w:p>
        </w:tc>
        <w:tc>
          <w:tcPr>
            <w:tcW w:type="dxa" w:w="475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Headline-first dashboards that expand on demand, reducing overload.</w:t>
            </w:r>
          </w:p>
        </w:tc>
        <w:tc>
          <w:tcPr>
            <w:tcW w:type="dxa" w:w="6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20</w:t>
            </w:r>
          </w:p>
        </w:tc>
        <w:tc>
          <w:tcPr>
            <w:tcW w:type="dxa" w:w="3050"/>
            <w:tcMar>
              <w:top w:type="dxa" w:w="56"/>
              <w:left w:type="dxa" w:w="104"/>
              <w:bottom w:type="dxa" w:w="56"/>
              <w:right w:type="dxa" w:w="104"/>
            </w:tcMar>
          </w:tcPr>
          <w:p>
            <w:pPr>
              <w:jc w:val="left"/>
            </w:pPr>
            <w:r>
              <w:rPr>
                <w:rFonts w:ascii="Calibri" w:cs="Calibri" w:eastAsia="Calibri" w:hAnsi="Calibri"/>
                <w:b/>
                <w:bCs/>
                <w:color w:val="1C2434"/>
                <w:sz w:val="21"/>
                <w:szCs w:val="21"/>
              </w:rPr>
              <w:t xml:space="preserve">User-defined saved views + undo</w:t>
            </w:r>
          </w:p>
        </w:tc>
        <w:tc>
          <w:tcPr>
            <w:tcW w:type="dxa" w:w="475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Let users create/persist their own views and reverse a review change.</w:t>
            </w:r>
          </w:p>
        </w:tc>
        <w:tc>
          <w:tcPr>
            <w:tcW w:type="dxa" w:w="600"/>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M</w:t>
            </w:r>
          </w:p>
        </w:tc>
      </w:tr>
      <w:tr>
        <w:tc>
          <w:tcPr>
            <w:tcW w:type="dxa" w:w="5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21</w:t>
            </w:r>
          </w:p>
        </w:tc>
        <w:tc>
          <w:tcPr>
            <w:tcW w:type="dxa" w:w="3050"/>
            <w:shd w:fill="F4F6FA" w:color="auto" w:val="clear"/>
            <w:tcMar>
              <w:top w:type="dxa" w:w="56"/>
              <w:left w:type="dxa" w:w="104"/>
              <w:bottom w:type="dxa" w:w="56"/>
              <w:right w:type="dxa" w:w="104"/>
            </w:tcMar>
          </w:tcPr>
          <w:p>
            <w:pPr>
              <w:jc w:val="left"/>
            </w:pPr>
            <w:r>
              <w:rPr>
                <w:rFonts w:ascii="Calibri" w:cs="Calibri" w:eastAsia="Calibri" w:hAnsi="Calibri"/>
                <w:b/>
                <w:bCs/>
                <w:color w:val="1C2434"/>
                <w:sz w:val="21"/>
                <w:szCs w:val="21"/>
              </w:rPr>
              <w:t xml:space="preserve">Manual exceptions &amp; data-correction UI</w:t>
            </w:r>
          </w:p>
        </w:tc>
        <w:tc>
          <w:tcPr>
            <w:tcW w:type="dxa" w:w="475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Once the data model lands, give HR the correction/exception surfaces the Data Spec anticipates.</w:t>
            </w:r>
          </w:p>
        </w:tc>
        <w:tc>
          <w:tcPr>
            <w:tcW w:type="dxa" w:w="600"/>
            <w:shd w:fill="F4F6FA" w:color="auto" w:val="clear"/>
            <w:tcMar>
              <w:top w:type="dxa" w:w="56"/>
              <w:left w:type="dxa" w:w="104"/>
              <w:bottom w:type="dxa" w:w="56"/>
              <w:right w:type="dxa" w:w="104"/>
            </w:tcMar>
          </w:tcPr>
          <w:p>
            <w:pPr>
              <w:jc w:val="left"/>
            </w:pPr>
            <w:r>
              <w:rPr>
                <w:rFonts w:ascii="Calibri" w:cs="Calibri" w:eastAsia="Calibri" w:hAnsi="Calibri"/>
                <w:b w:val="false"/>
                <w:bCs w:val="false"/>
                <w:color w:val="1C2434"/>
                <w:sz w:val="20"/>
                <w:szCs w:val="20"/>
              </w:rPr>
              <w:t xml:space="preserve">L</w:t>
            </w:r>
          </w:p>
        </w:tc>
      </w:tr>
    </w:tbl>
    <w:p>
      <w:pPr>
        <w:spacing w:after="120"/>
      </w:pPr>
      <w:r>
        <w:rPr>
          <w:sz w:val="2"/>
          <w:szCs w:val="2"/>
        </w:rPr>
        <w:t xml:space="preserve"/>
      </w:r>
    </w:p>
    <w:p>
      <w:pPr>
        <w:pBdr>
          <w:bottom w:val="single" w:color="E3E7ED" w:sz="6"/>
        </w:pBdr>
        <w:spacing w:after="120" w:before="60"/>
      </w:pPr>
      <w:r>
        <w:rPr>
          <w:sz w:val="2"/>
          <w:szCs w:val="2"/>
        </w:rPr>
        <w:t xml:space="preserve"/>
      </w:r>
    </w:p>
    <w:p>
      <w:pPr>
        <w:spacing w:after="120" w:line="276"/>
      </w:pPr>
      <w:r>
        <w:rPr>
          <w:rFonts w:ascii="Calibri" w:cs="Calibri" w:eastAsia="Calibri" w:hAnsi="Calibri"/>
          <w:b/>
          <w:bCs/>
          <w:color w:val="1C2434"/>
          <w:sz w:val="21"/>
          <w:szCs w:val="21"/>
        </w:rPr>
        <w:t xml:space="preserve">Bottom line. </w:t>
      </w:r>
      <w:r>
        <w:rPr>
          <w:rFonts w:ascii="Calibri" w:cs="Calibri" w:eastAsia="Calibri" w:hAnsi="Calibri"/>
          <w:color w:val="1C2434"/>
          <w:sz w:val="21"/>
          <w:szCs w:val="21"/>
        </w:rPr>
        <w:t xml:space="preserve">The prototype now looks like the v1.1.0 spec — the screens are present and the Review Log is well-crafted. The gap has shifted from “missing” to “not truly wired”: the most important Priority 1 items (connect Save review to the log, fix the Read-Only contradiction, model the private note, give the access-request queue a home, make the org filter real) are about making the prototype </w:t>
      </w:r>
      <w:r>
        <w:rPr>
          <w:rFonts w:ascii="Calibri" w:cs="Calibri" w:eastAsia="Calibri" w:hAnsi="Calibri"/>
          <w:i/>
          <w:iCs/>
          <w:color w:val="1C2434"/>
          <w:sz w:val="21"/>
          <w:szCs w:val="21"/>
        </w:rPr>
        <w:t xml:space="preserve">honestly do</w:t>
      </w:r>
      <w:r>
        <w:rPr>
          <w:rFonts w:ascii="Calibri" w:cs="Calibri" w:eastAsia="Calibri" w:hAnsi="Calibri"/>
          <w:color w:val="1C2434"/>
          <w:sz w:val="21"/>
          <w:szCs w:val="21"/>
        </w:rPr>
        <w:t xml:space="preserve"> what its own copy and its specification already claim. Those, plus proving the tables survive real data volume, are what turn a convincing demo into a validated foundation for build.</w:t>
      </w:r>
    </w:p>
    <w:p>
      <w:pPr>
        <w:spacing w:after="140"/>
      </w:pPr>
      <w:r>
        <w:rPr>
          <w:sz w:val="2"/>
          <w:szCs w:val="2"/>
        </w:rPr>
        <w:t xml:space="preserve"/>
      </w:r>
    </w:p>
    <w:p>
      <w:pPr>
        <w:spacing w:after="120" w:line="276"/>
      </w:pPr>
      <w:r>
        <w:rPr>
          <w:rFonts w:ascii="Calibri" w:cs="Calibri" w:eastAsia="Calibri" w:hAnsi="Calibri"/>
          <w:i/>
          <w:iCs/>
          <w:color w:val="54606E"/>
          <w:sz w:val="18"/>
          <w:szCs w:val="18"/>
        </w:rPr>
        <w:t xml:space="preserve">Independent critique of the current prototype against the v1.1.0 documentation set (PRD, Data Spec, Permission Matrix, Dashboard Spec, US-R1). Findings are grounded in the delivered prototype code. No changes were made to the prototype.</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rPr>
        <w:color w:val="2F5FE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C2434"/>
      <w:sz w:val="30"/>
      <w:szCs w:val="30"/>
    </w:rPr>
  </w:style>
  <w:style w:type="paragraph" w:styleId="Heading2">
    <w:name w:val="Heading 2"/>
    <w:basedOn w:val="Normal"/>
    <w:next w:val="Normal"/>
    <w:qFormat/>
    <w:pPr>
      <w:spacing w:after="90" w:before="240"/>
    </w:pPr>
    <w:rPr>
      <w:rFonts w:ascii="Calibri" w:cs="Calibri" w:eastAsia="Calibri" w:hAnsi="Calibri"/>
      <w:b/>
      <w:bCs/>
      <w:color w:val="1E3F9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2026-08-03T14:17:53.589Z</dcterms:created>
  <dcterms:modified xsi:type="dcterms:W3CDTF">2026-08-03T14:17:53.607Z</dcterms:modified>
</cp:coreProperties>
</file>

<file path=docProps/custom.xml><?xml version="1.0" encoding="utf-8"?>
<Properties xmlns="http://schemas.openxmlformats.org/officeDocument/2006/custom-properties" xmlns:vt="http://schemas.openxmlformats.org/officeDocument/2006/docPropsVTypes"/>
</file>