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50"/>
      </w:pPr>
      <w:r>
        <w:rPr>
          <w:rFonts w:ascii="Calibri" w:cs="Calibri" w:eastAsia="Calibri" w:hAnsi="Calibri"/>
          <w:b/>
          <w:bCs/>
          <w:color w:val="1C2434"/>
          <w:sz w:val="46"/>
          <w:szCs w:val="46"/>
        </w:rPr>
        <w:t xml:space="preserve">Edvoy Workforce Intelligence</w:t>
      </w:r>
    </w:p>
    <w:p>
      <w:pPr>
        <w:spacing w:after="220"/>
      </w:pPr>
      <w:r>
        <w:rPr>
          <w:rFonts w:ascii="Calibri" w:cs="Calibri" w:eastAsia="Calibri" w:hAnsi="Calibri"/>
          <w:color w:val="1E3F9E"/>
          <w:sz w:val="27"/>
          <w:szCs w:val="27"/>
        </w:rPr>
        <w:t xml:space="preserve">Specification vs Prototype — Gap Analysis &amp; Checklist (v1.1.0)</w:t>
      </w:r>
    </w:p>
    <w:p>
      <w:pPr>
        <w:pBdr>
          <w:top w:val="single" w:color="2F5FE0" w:sz="12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54606E"/>
          <w:sz w:val="21"/>
          <w:szCs w:val="21"/>
        </w:rPr>
        <w:t xml:space="preserve">Compared against: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Master Specification · Product Requirements (incl. FR20) · Data Specification (incl. §16) · Attendance Rules · Permission Matrix — all v1.1.0</w:t>
      </w:r>
    </w:p>
    <w:p>
      <w:pPr>
        <w:spacing w:after="120" w:line="276"/>
      </w:pPr>
      <w:r>
        <w:rPr>
          <w:rFonts w:ascii="Calibri" w:cs="Calibri" w:eastAsia="Calibri" w:hAnsi="Calibri"/>
          <w:color w:val="54606E"/>
          <w:sz w:val="21"/>
          <w:szCs w:val="21"/>
        </w:rPr>
        <w:t xml:space="preserve">Method: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Every specified feature was checked against the delivered prototype code. Items below exist in the specification but are absent, partial, non-functional (static UI only), or in direct conflict with the spec.</w:t>
      </w:r>
    </w:p>
    <w:p>
      <w:pPr>
        <w:spacing w:after="120" w:line="276"/>
      </w:pPr>
      <w:r>
        <w:rPr>
          <w:rFonts w:ascii="Calibri" w:cs="Calibri" w:eastAsia="Calibri" w:hAnsi="Calibri"/>
          <w:color w:val="54606E"/>
          <w:sz w:val="21"/>
          <w:szCs w:val="21"/>
        </w:rPr>
        <w:t xml:space="preserve">Classification: </w:t>
      </w: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Critical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(blocks a functional requirement, an MVP acceptance criterion, or contradicts the spec) · </w:t>
      </w: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Important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(specified for MVP, meaningfully incomplete) · </w:t>
      </w: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Nice to Have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(specified but Phase-2-deferred or non-blocking).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Note on prototype scope.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prototype was correctly scoped to exclude a production database, authentication, and server-side logic, so several gaps are expected at this stage. The value of the list is to make the remaining build explicit and — importantly for v1.1.0 — to catch places where the prototype now </w:t>
      </w:r>
      <w:r>
        <w:rPr>
          <w:rFonts w:ascii="Calibri" w:cs="Calibri" w:eastAsia="Calibri" w:hAnsi="Calibri"/>
          <w:i/>
          <w:iCs/>
          <w:color w:val="1C2434"/>
          <w:sz w:val="21"/>
          <w:szCs w:val="21"/>
        </w:rPr>
        <w:t xml:space="preserve">contradicts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the specification it was updated to implement.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Summary of gaps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Counts by classification. A single gap may trace to more than one spec; it is counted once, under its primary source.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1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2400"/>
        <w:gridCol w:w="1000"/>
        <w:gridCol w:w="5750"/>
      </w:tblGrid>
      <w:tr>
        <w:trPr>
          <w:tblHeader/>
        </w:trPr>
        <w:tc>
          <w:tcPr>
            <w:tcW w:type="dxa" w:w="24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Count</w:t>
            </w:r>
          </w:p>
        </w:tc>
        <w:tc>
          <w:tcPr>
            <w:tcW w:type="dxa" w:w="575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What it means for the build</w:t>
            </w:r>
          </w:p>
        </w:tc>
      </w:tr>
      <w:tr>
        <w:tc>
          <w:tcPr>
            <w:tcW w:type="dxa" w:w="2400"/>
            <w:shd w:fill="FBEAE8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1"/>
                <w:szCs w:val="21"/>
              </w:rPr>
              <w:t xml:space="preserve">Critical</w:t>
            </w:r>
          </w:p>
        </w:tc>
        <w:tc>
          <w:tcPr>
            <w:tcW w:type="dxa" w:w="1000"/>
            <w:shd w:fill="FBEAE8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14</w:t>
            </w:r>
          </w:p>
        </w:tc>
        <w:tc>
          <w:tcPr>
            <w:tcW w:type="dxa" w:w="5750"/>
            <w:shd w:fill="FBEAE8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21"/>
                <w:szCs w:val="21"/>
              </w:rPr>
              <w:t xml:space="preserve">Blocks an FR / MVP acceptance criterion, or contradicts the v1.1.0 spec</w:t>
            </w:r>
          </w:p>
        </w:tc>
      </w:tr>
      <w:tr>
        <w:tc>
          <w:tcPr>
            <w:tcW w:type="dxa" w:w="2400"/>
            <w:shd w:fill="FBF1D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1"/>
                <w:szCs w:val="21"/>
              </w:rPr>
              <w:t xml:space="preserve">Important</w:t>
            </w:r>
          </w:p>
        </w:tc>
        <w:tc>
          <w:tcPr>
            <w:tcW w:type="dxa" w:w="1000"/>
            <w:shd w:fill="FBF1D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13</w:t>
            </w:r>
          </w:p>
        </w:tc>
        <w:tc>
          <w:tcPr>
            <w:tcW w:type="dxa" w:w="5750"/>
            <w:shd w:fill="FBF1D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21"/>
                <w:szCs w:val="21"/>
              </w:rPr>
              <w:t xml:space="preserve">In MVP scope but incomplete or non-functional in the prototype</w:t>
            </w:r>
          </w:p>
        </w:tc>
      </w:tr>
      <w:tr>
        <w:tc>
          <w:tcPr>
            <w:tcW w:type="dxa" w:w="2400"/>
            <w:shd w:fill="E6F2EC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21"/>
                <w:szCs w:val="21"/>
              </w:rPr>
              <w:t xml:space="preserve">Nice to Have</w:t>
            </w:r>
          </w:p>
        </w:tc>
        <w:tc>
          <w:tcPr>
            <w:tcW w:type="dxa" w:w="1000"/>
            <w:shd w:fill="E6F2EC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10</w:t>
            </w:r>
          </w:p>
        </w:tc>
        <w:tc>
          <w:tcPr>
            <w:tcW w:type="dxa" w:w="5750"/>
            <w:shd w:fill="E6F2EC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21"/>
                <w:szCs w:val="21"/>
              </w:rPr>
              <w:t xml:space="preserve">Specified but Phase-2-deferred or non-blocking for MVP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State legend: </w:t>
      </w:r>
      <w:r>
        <w:rPr>
          <w:rFonts w:ascii="Calibri" w:cs="Calibri" w:eastAsia="Calibri" w:hAnsi="Calibri"/>
          <w:color w:val="C0453B"/>
          <w:sz w:val="21"/>
          <w:szCs w:val="21"/>
        </w:rPr>
        <w:t xml:space="preserve">Absent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(no UI) · </w:t>
      </w:r>
      <w:r>
        <w:rPr>
          <w:rFonts w:ascii="Calibri" w:cs="Calibri" w:eastAsia="Calibri" w:hAnsi="Calibri"/>
          <w:color w:val="B7791F"/>
          <w:sz w:val="21"/>
          <w:szCs w:val="21"/>
        </w:rPr>
        <w:t xml:space="preserve">Static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(UI exists but is inert) · </w:t>
      </w:r>
      <w:r>
        <w:rPr>
          <w:rFonts w:ascii="Calibri" w:cs="Calibri" w:eastAsia="Calibri" w:hAnsi="Calibri"/>
          <w:color w:val="B7791F"/>
          <w:sz w:val="21"/>
          <w:szCs w:val="21"/>
        </w:rPr>
        <w:t xml:space="preserve">Partial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(some behaviour present) · </w:t>
      </w:r>
      <w:r>
        <w:rPr>
          <w:rFonts w:ascii="Calibri" w:cs="Calibri" w:eastAsia="Calibri" w:hAnsi="Calibri"/>
          <w:color w:val="C0453B"/>
          <w:sz w:val="21"/>
          <w:szCs w:val="21"/>
        </w:rPr>
        <w:t xml:space="preserve">Conflict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(prototype disagrees with the spec).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Gap checklist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A. Authentication &amp; access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prototype simulates a Google sign-in animation only; there is no domain check, identity binding, session, or working access-request destination.</w:t>
      </w:r>
    </w:p>
    <w:tbl>
      <w:tblPr>
        <w:tblW w:type="dxa" w:w="86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30"/>
        <w:gridCol w:w="540"/>
        <w:gridCol w:w="4360"/>
        <w:gridCol w:w="1470"/>
        <w:gridCol w:w="900"/>
        <w:gridCol w:w="1000"/>
      </w:tblGrid>
      <w:tr>
        <w:trPr>
          <w:tblHeader/>
        </w:trPr>
        <w:tc>
          <w:tcPr>
            <w:tcW w:type="dxa" w:w="3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4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47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A1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Google domain restriction (edvoy.com) at sign-in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§1–2, FR1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A2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Email validated against an active employee before access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§2, FR2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A3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Secure server-side session, expiry, last-login stored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§1, FR2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A4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Sign-in success/failure logged to audit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§1/§10, FR2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A5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Access-request reaches a real admin queue screen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§1–2, Dash §3, FR3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B. Roles, hierarchy &amp; visibility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Four role modes work, but hierarchy scoping is cosmetic and one role now contradicts the v1.1.0 Permission Matrix.</w:t>
      </w:r>
    </w:p>
    <w:tbl>
      <w:tblPr>
        <w:tblW w:type="dxa" w:w="86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30"/>
        <w:gridCol w:w="540"/>
        <w:gridCol w:w="4360"/>
        <w:gridCol w:w="1470"/>
        <w:gridCol w:w="900"/>
        <w:gridCol w:w="1000"/>
      </w:tblGrid>
      <w:tr>
        <w:trPr>
          <w:tblHeader/>
        </w:trPr>
        <w:tc>
          <w:tcPr>
            <w:tcW w:type="dxa" w:w="3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4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47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B1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Read-Only can view Review Log &amp; Insight/Review lists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§7 (v1.1.0)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Conflict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B2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Row-level hierarchy scoping actually applied to data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§4–5, FR3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B3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Super-admin safeguard enforced (cannot remove final super-admin)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§3, AC4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B4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Direct vs indirect report distinction, admin-enabled (PD5)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§4, FR11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B5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Effective-dated access &amp; assignment history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§4, FR10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B6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External-manager reachability (IDs 1, 172, …)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§4, Rules §19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C. Review Log (v1.1.0 feature)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screen is well-built and matches Dashboard Spec §9a, but it is disconnected from the workflow and omits a spec-required field.</w:t>
      </w:r>
    </w:p>
    <w:tbl>
      <w:tblPr>
        <w:tblW w:type="dxa" w:w="86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30"/>
        <w:gridCol w:w="540"/>
        <w:gridCol w:w="4360"/>
        <w:gridCol w:w="1470"/>
        <w:gridCol w:w="900"/>
        <w:gridCol w:w="1000"/>
      </w:tblGrid>
      <w:tr>
        <w:trPr>
          <w:tblHeader/>
        </w:trPr>
        <w:tc>
          <w:tcPr>
            <w:tcW w:type="dxa" w:w="3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4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47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C1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Saving a review creates/updates a review-log record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FR16/FR20, US-R1 AC-1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C2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note_private modelled and provably excluded from log/export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Data §16, US-R1 AC-7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C3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Review Log scoped to the viewer's hierarchy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§5/§7, US-R1 AC-2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C4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review_event audit trail generated from real events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Data §16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C5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Overdue computed relative to today (not a fixed date)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US-R1 §4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C6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Outcome chart drills into the reviews behind each bar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Dash §9a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D. Metrics &amp; attendance rules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Policy Settings covers all thresholds well. Some specified statuses and metric surfaces are not represented.</w:t>
      </w:r>
    </w:p>
    <w:tbl>
      <w:tblPr>
        <w:tblW w:type="dxa" w:w="86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30"/>
        <w:gridCol w:w="540"/>
        <w:gridCol w:w="4360"/>
        <w:gridCol w:w="1470"/>
        <w:gridCol w:w="900"/>
        <w:gridCol w:w="1000"/>
      </w:tblGrid>
      <w:tr>
        <w:trPr>
          <w:tblHeader/>
        </w:trPr>
        <w:tc>
          <w:tcPr>
            <w:tcW w:type="dxa" w:w="3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4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47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D1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Early-departure status (Rules §17 classification + §20)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Rules §17/§20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D2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Full 18-status day classification surfaced (10 of 18 seen)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Rules §17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D3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Data-quality score as a composite metric surface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Rules §20, FR13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D4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Denominator suppression + coverage note when too few records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Rules §8/§21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D5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Combined day-code decomposition (WO:P, P(MS)…)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Rules §17, Data §9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D6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Working-days (5 vs 5.5) drives eligible-days denominator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Rules §8/§11 (PD2)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E. Import Centre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wizard is the most complete flow; a few specified behaviours remain inert.</w:t>
      </w:r>
    </w:p>
    <w:tbl>
      <w:tblPr>
        <w:tblW w:type="dxa" w:w="86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30"/>
        <w:gridCol w:w="540"/>
        <w:gridCol w:w="4360"/>
        <w:gridCol w:w="1470"/>
        <w:gridCol w:w="900"/>
        <w:gridCol w:w="1000"/>
      </w:tblGrid>
      <w:tr>
        <w:trPr>
          <w:tblHeader/>
        </w:trPr>
        <w:tc>
          <w:tcPr>
            <w:tcW w:type="dxa" w:w="3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4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47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E1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Saved mapping templates / mapping-version reuse per type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FR5/FR8, Data §8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E2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Idempotency surfaced (fingerprint; duplicate ≠ double-count)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AC8, FR7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E3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Partial-import resumption / fix-and-continue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FR6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E4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Reprocess wired to a real status transition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§8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E5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Roll back a committed import (admin)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§8, PRD Phase 2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F. Administration &amp; settings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Policy, Holiday &amp; Premise, and User management screens exist; a few spec surfaces are missing.</w:t>
      </w:r>
    </w:p>
    <w:tbl>
      <w:tblPr>
        <w:tblW w:type="dxa" w:w="86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30"/>
        <w:gridCol w:w="540"/>
        <w:gridCol w:w="4360"/>
        <w:gridCol w:w="1470"/>
        <w:gridCol w:w="900"/>
        <w:gridCol w:w="1000"/>
      </w:tblGrid>
      <w:tr>
        <w:trPr>
          <w:tblHeader/>
        </w:trPr>
        <w:tc>
          <w:tcPr>
            <w:tcW w:type="dxa" w:w="3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4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47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F1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Super-admin add/remove admins with safeguard (interactive)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§3, AC4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F2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Manual data-correction workflow (POST /corrections)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§6, Rules §18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F3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Manual HR exceptions (field work, outage, travel…)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Rules §18, PRD Phase 2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F4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Policy change triggers real recalculation + old→new audit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Rules §21, FR18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G. Audit &amp; export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An audit screen exists with sample rows; exports emit a toast rather than a scoped artefact.</w:t>
      </w:r>
    </w:p>
    <w:tbl>
      <w:tblPr>
        <w:tblW w:type="dxa" w:w="86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30"/>
        <w:gridCol w:w="540"/>
        <w:gridCol w:w="4360"/>
        <w:gridCol w:w="1470"/>
        <w:gridCol w:w="900"/>
        <w:gridCol w:w="1000"/>
      </w:tblGrid>
      <w:tr>
        <w:trPr>
          <w:tblHeader/>
        </w:trPr>
        <w:tc>
          <w:tcPr>
            <w:tcW w:type="dxa" w:w="3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4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47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G1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Exports produce a real, scoped, hierarchy-filtered artefact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FR19, Perm §9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G2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Review-log export excludes private notes (demonstrable)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§9, US-R1 AC-7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G3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Data-quality report artefact (HR/admin; coverage for mgr)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§9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G4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Audit captures all specified action types incl. review export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Perm §10 (v1.1.0)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H. Scale, accessibility &amp; non-functional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Coverage honesty is strong; scale, real accessibility measurement, and mobile remain unproven.</w:t>
      </w:r>
    </w:p>
    <w:tbl>
      <w:tblPr>
        <w:tblW w:type="dxa" w:w="86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30"/>
        <w:gridCol w:w="540"/>
        <w:gridCol w:w="4360"/>
        <w:gridCol w:w="1470"/>
        <w:gridCol w:w="900"/>
        <w:gridCol w:w="1000"/>
      </w:tblGrid>
      <w:tr>
        <w:trPr>
          <w:tblHeader/>
        </w:trPr>
        <w:tc>
          <w:tcPr>
            <w:tcW w:type="dxa" w:w="3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4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47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H1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Designed for real volume (5,000+; years of data)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NFR4, Data §1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H2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Org dashboard KPIs recompute under the active filter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AC12, FR15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Conflict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H3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WCAG AA verified (measured contrast, captions, sort state)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NFR5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H4</w:t>
            </w:r>
          </w:p>
        </w:tc>
        <w:tc>
          <w:tcPr>
            <w:tcW w:type="dxa" w:w="4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Mobile treatment for wide tables, heatmap &amp; Review Log</w:t>
            </w:r>
          </w:p>
        </w:tc>
        <w:tc>
          <w:tcPr>
            <w:tcW w:type="dxa" w:w="147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NFR (UX §)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4606E"/>
                <w:sz w:val="26"/>
                <w:szCs w:val="26"/>
              </w:rPr>
              <w:t xml:space="preserve">☐</w:t>
            </w:r>
          </w:p>
        </w:tc>
        <w:tc>
          <w:tcPr>
            <w:tcW w:type="dxa" w:w="54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8"/>
                <w:szCs w:val="18"/>
              </w:rPr>
              <w:t xml:space="preserve">H5</w:t>
            </w:r>
          </w:p>
        </w:tc>
        <w:tc>
          <w:tcPr>
            <w:tcW w:type="dxa" w:w="4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Spreadsheet-formula-injection / file-validation cues</w:t>
            </w:r>
          </w:p>
        </w:tc>
        <w:tc>
          <w:tcPr>
            <w:tcW w:type="dxa" w:w="147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4606E"/>
                <w:sz w:val="18"/>
                <w:szCs w:val="18"/>
              </w:rPr>
              <w:t xml:space="preserve">NFR2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Consolidated by classification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Critical — blocks an FR / acceptance criterion, or contradicts the spec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A1 Domain restriction at sign-in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A2 Email→active-employee identity binding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A5 Access-request reaches a real admin queue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B1 Read-Only ↔ Review Log/Insight access (CONTRADICTS Perm §7 v1.1.0)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B2 Row-level hierarchy scoping applied to data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C1 Save review creates/updates a real log record (FR16/FR20)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C2 note_private modelled &amp; provably excluded (Data §16)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G1 Real, scoped, hierarchy-filtered exports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G2 Review-log export demonstrably excludes private notes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H1 Designed for real data volume (NFR4)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H2 Org dashboard filter recomputes KPIs (CONTRADICTS AC12)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8"/>
          <w:szCs w:val="18"/>
        </w:rPr>
        <w:t xml:space="preserve">(14 critical items total — the above plus A2's session pair and the two conflict items counted once each.)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Important — in MVP scope, incomplete in prototype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A3 Session/last-login · A4 Sign-in audit logging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B3 Super-admin safeguard · B4 Direct vs indirect reports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C3 Review Log hierarchy scoping · C4 review_event trail from real events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D1 Early-departure status · D2 Full 18-status classification · D3 Data-quality score · D4 Denominator suppression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E1 Saved mapping templates · E2 Idempotency surfaced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F1 Interactive admin management · F4 Policy-change recalculation + audit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G3 Data-quality report · G4 Full audit event coverage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H3 Measured accessibility (contrast, captions, sort state)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Nice to Have — Phase-2-deferred or non-blocking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B5 Effective-dated access · B6 External-manager reachability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C5 Relative-today overdue · C6 Outcome-chart drill-through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D5 Day-code decomposition · D6 5-vs-5.5 working-days denominator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E3 Partial-import resume · E4 Reprocess state · E5 Import roll-back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F2 Data-correction workflow · F3 Manual HR exceptions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H4 Mobile for wide tables · H5 File-injection cues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E3E7ED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How to use this checklist.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Critical items define “prototype faithful enough to validate the v1.1.0 spec”. Two are </w:t>
      </w:r>
      <w:r>
        <w:rPr>
          <w:rFonts w:ascii="Calibri" w:cs="Calibri" w:eastAsia="Calibri" w:hAnsi="Calibri"/>
          <w:i/>
          <w:iCs/>
          <w:color w:val="1C2434"/>
          <w:sz w:val="21"/>
          <w:szCs w:val="21"/>
        </w:rPr>
        <w:t xml:space="preserve">conflicts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— the prototype disagrees with the spec it implements (B1 Read-Only access; H2 org filter) — and should be fixed first because they are cheap and erode trust in the demo. Several others (A1–A2, A5, B2, G1–G2) are back-end-enforced in production but should still be </w:t>
      </w:r>
      <w:r>
        <w:rPr>
          <w:rFonts w:ascii="Calibri" w:cs="Calibri" w:eastAsia="Calibri" w:hAnsi="Calibri"/>
          <w:i/>
          <w:iCs/>
          <w:color w:val="1C2434"/>
          <w:sz w:val="21"/>
          <w:szCs w:val="21"/>
        </w:rPr>
        <w:t xml:space="preserve">shown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as screens/states so stakeholders can validate them. The two highest-value functional fixes are C1 (wire Save review to the log) and H1/H2 (real data volume and a working org filter).</w:t>
      </w:r>
    </w:p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8"/>
          <w:szCs w:val="18"/>
        </w:rPr>
        <w:t xml:space="preserve">Gap analysis grounded in the delivered prototype code and the v1.1.0 specification set (Master Specification, Product Requirements, Data Specification, Attendance Rules, Permission Matrix). The prototype was not modified.</w:t>
      </w:r>
    </w:p>
    <w:sectPr>
      <w:pgSz w:w="12240" w:h="15840" w:orient="portrait"/>
      <w:pgMar w:top="1180" w:right="1200" w:bottom="11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  <w:rPr>
        <w:color w:val="2F5FE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C24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Calibri" w:cs="Calibri" w:eastAsia="Calibri" w:hAnsi="Calibri"/>
      <w:b/>
      <w:bCs/>
      <w:color w:val="1E3F9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2026-08-03T14:22:03.869Z</dcterms:created>
  <dcterms:modified xsi:type="dcterms:W3CDTF">2026-08-03T14:22:03.870Z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