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after="240"/>
        <w:rPr>
          <w:lang w:val="ru-RU"/>
        </w:rPr>
      </w:pPr>
      <w:r>
        <w:rPr>
          <w:lang w:val="ru-RU"/>
        </w:rPr>
        <w:t xml:space="preserve">11 Тестирование программной реализации системы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11.1 Общая стратегия тестирования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Тестирование системы построено по принципу пирамиды: в основании находится множество быстрых модульных тестов, а к вершине число тестов уменьшается, но растёт степень интеграции и приближённость к реальному пользователю. Выделено шесть уровней: модульные тесты, тесты с подменой зависимостей (mock и fake), функциональные тесты HTTP API, интеграционные тесты базы данных, сквозные сценарные тесты и браузерные тесты интерфейса. Автоматические тесты написаны на штатном пакете testing языка Go, не требуют ручной подготовки и запускаются одной командой go test ./… На момент написания работы автоматический набор включает 55 тестов в 7 пакетах, и все они проходят успешно.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Такое разделение позволяет ловить ошибки на наиболее дешёвом уровне: большая часть логики проверяется в изоляции за доли секунды, а дорогие тесты с реальной базой данных и браузером запускаются реже и подтверждают, что собранные вместе компоненты действительно работают.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11.2 Модульные тесты (unit)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Модульные тесты проверяют отдельные функции и доменную логику в полной изоляции — без сети, файловой системы и базы данных. Ими покрыты: выпуск и валидация JWT-токенов, хранилище сессий с истечением по времени, преобразование ответа AI-сервиса в доменную структуру, валидация SQL-запросов аналитического агента (разрешён только одиночный SELECT) и расчёт процента выполнения с защитой от выхода за границы. Например, тест выпускает access-токен и убеждается, что из него извлекается тот же идентификатор пользователя:</w:t>
      </w:r>
    </w:p>
    <w:p>
      <w:pPr>
        <w:spacing w:before="12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func TestIssueAndValidateAccessToken(t *testing.T) {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m := TokenManager{Secret: []byte("secret"), Issuer: "docsapp"}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tok, _ := m.IssueAccessToken("u1", 10*time.Minute)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claims, err := m.ValidateAccessToken(tok)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if err != nil || claims.Sub != "u1" {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    t.Fatalf("unexpected: %v / %s", err, claims.Sub)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}</w:t>
      </w:r>
    </w:p>
    <w:p>
      <w:pPr>
        <w:spacing w:before="0" w:after="12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}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11.3 Тесты с подменой зависимостей (mock и fake)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Слой прикладных сценариев зависит только от интерфейсов (портов), поэтому в тестах инфраструктура заменяется лёгкими подделками. Репозитории подменяются in-memory реализациями, а внешние сервисы — S3-хранилище MinIO и AI-сервис — HTTP-заглушками на httptest.Server, которые фиксируют параметры запроса и возвращают заранее заданный ответ. Это позволяет проверять бизнес-правила (обрезку пробелов, значения по умолчанию, отказ при пустом имени) без поднятия реальной инфраструктуры. Ниже сценарий проверяет, что при пустом имени плана сервис возвращает доменную ошибку валидации:</w:t>
      </w:r>
    </w:p>
    <w:p>
      <w:pPr>
        <w:spacing w:before="12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func TestPlanServiceCreateRejectsEmptyName(t *testing.T) {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svc := &amp;PlanService{Plans: &amp;fakePlanRepo{}}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_, err := svc.Create(context.Background(), 1,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    CreatePlanInput{Name: "   "})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if err != ErrValidation {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    t.Fatalf("expected ErrValidation, got %v", err)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}</w:t>
      </w:r>
    </w:p>
    <w:p>
      <w:pPr>
        <w:spacing w:before="0" w:after="12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}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 тому же принципу заглушка S3 проверяет, что адаптер хранилища формирует корректный путь к объекту и подписывает запрос по схеме AWS Signature v4, а заглушка AI-сервиса — что клиент отправляет файл в multipart-форме и правильно разбирает ответ с распознанными полями.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11.4 Функциональные тесты HTTP API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Функциональные тесты поднимают реальный HTTP-роутер через httptest.Server и проверяют поведение API целиком: коды ответов, формат JSON, авторизацию по Bearer JWT, разграничение доступа (403 при обращении к чужому плану, 404 при отсутствующем ресурсе) и единый конверт ошибок вида {error:{code,message}}. Покрыты регистрация и вход, дерево «план → цель → элемент» и полный жизненный цикл документа: загрузка, получение, подтверждение, отклонение и повторный анализ. Эти тесты используют те же in-memory адаптеры, поэтому остаются быстрыми, но проходят через настоящий стек обработки запроса вместе с middleware.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11.5 Интеграционные тесты базы данных (DB-тесты)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Интеграционные тесты проверяют слой хранения на настоящей PostgreSQL. Перед запуском тест создаёт изолированную одноразовую базу, применяет в неё рабочие миграции (контуры core и analysis), прогоняет все репозитории pgcore и pganalysis и удаляет базу после завершения. Проверяются сохранение и чтение сущностей, идемпотентность создания папки документа, корректная работа массивных столбцов PostgreSQL (DATE[], TEXT[], INT[]), счётчики документов и — наиболее важно — изоляция арендаторов в аналитических запросах: запрос от имени владельца A через CTE-обёртку возвращает только его строки и никогда чужие.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Тесты автоматически пропускаются, если база недоступна, поэтому обычный go test ./… остаётся «зелёным» и на машинах без СУБД; для полного прогона PostgreSQL поднимается через Docker, а строка подключения передаётся переменной окружения SUB_TEST_DB_DSN. Фрагмент проверки tenant-изоляции на реальном SQL:</w:t>
      </w:r>
    </w:p>
    <w:p>
      <w:pPr>
        <w:spacing w:before="12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cols, rows, _ := query.RunReadOnlyQuery(ctx,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"SELECT id, uploaded_by FROM documents ORDER BY id", ownerA)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if len(rows) != 1 {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t.Fatalf("owner A should see exactly 1 document, got %d", len(rows))</w:t>
      </w:r>
    </w:p>
    <w:p>
      <w:pPr>
        <w:spacing w:before="0" w:after="12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}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ручной диагностики при разработке использовался настольный SQL-клиент DBeaver. Через него просматривались применённые миграции и структура таблиц (внешние ключи, индексы по статусам и датам), выполнялись пробные SELECT-запросы с tenant-scoping и проверялось содержимое массивных полей документа после распознавания. DBeaver удобно дополняет автоматические тесты, давая наглядную картину состояния базы и помогая быстро воспроизвести данные для нового теста.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11.6 Сквозные сценарные тесты (end-to-end)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Сквозные тесты собраны в отдельном пакете, который связывает API ровно так же, как точка входа cmd/api/main.go, — в том числе с единым хранилищем сессий и middleware CORS, — и выполняет полные пользовательские сценарии поверх httptest.Server полностью в памяти. Реализованы: полный жизненный цикл (регистрация → план → цель → элемент → загрузка документа → аналитика), многоарендная изоляция (пользователь не видит чужие данные), контракт «фронтенд ↔ бэкенд» с проверкой CORS-preflight и форматов запросов из api.js, а также самый сложный сценарий — петля обратных вызовов AI-агента: запрос на анализ → выдача одноразового session nonce → защищённые внутренние вызовы /api/schema и /api/analytics/query → возврат рекомендаций. Именно сквозные тесты подтверждают, что независимо разработанные части системы действительно работают вместе.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11.7 Браузерное тестирование через Playwright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Вершину пирамиды образуют браузерные тесты, которые управляют настоящим браузером и проверяют интерфейс так, как его видит пользователь. Для этого выбран фреймворк Playwright: он запускает Chromium, Firefox или WebKit, умеет дожидаться появления элементов, перехватывать сетевые запросы и снимать скриншоты при падении. Браузерные тесты воспроизводят ключевые пользовательские пути: вход в систему, создание плана и цели, загрузку документа и ожидание смены его статуса на pending_review, просмотр распознанных полей и запрос аналитических рекомендаций. Запускаются они против собранного frontend и реального backend, поэтому ловят ошибки интеграции, недоступные на нижних уровнях, — например, рассогласование формата ответа API и ожиданий клиента. Типовой сценарий выглядит так:</w:t>
      </w:r>
    </w:p>
    <w:p>
      <w:pPr>
        <w:spacing w:before="12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import { test, expect } from '@playwright/test';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test('загрузка документа меняет статус', async ({ page }) =&gt; {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await page.goto('/');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await page.getByLabel('E-mail').fill('demo@orbita.ru');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await page.getByLabel('Пароль').fill('demo12345');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await page.getByRole('button', { name: 'Войти' }).click();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await page.getByRole('button', { name: 'Загрузить' })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    .setInputFiles('fixtures/invoice.pdf');</w:t>
      </w:r>
    </w:p>
    <w:p>
      <w:pPr>
        <w:spacing w:before="0" w:after="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  await expect(page.getByText('pending_review')).toBeVisible();</w:t>
      </w:r>
    </w:p>
    <w:p>
      <w:pPr>
        <w:spacing w:before="0" w:after="120" w:line="240" w:lineRule="auto"/>
        <w:ind w:left="284"/>
        <w:jc w:val="left"/>
        <w:rPr>
          <w:rFonts w:ascii="Courier New" w:hAnsi="Courier New" w:cs="Courier New"/>
          <w:sz w:val="19"/>
          <w:szCs w:val="19"/>
          <w:lang w:val="ru-RU"/>
        </w:rPr>
      </w:pPr>
      <w:r>
        <w:rPr>
          <w:rFonts w:ascii="Courier New" w:hAnsi="Courier New" w:cs="Courier New"/>
          <w:sz w:val="19"/>
          <w:szCs w:val="19"/>
          <w:lang w:val="ru-RU"/>
        </w:rPr>
        <w:t xml:space="preserve">});</w:t>
      </w:r>
    </w:p>
    <w:p>
      <w:pPr>
        <w:pStyle w:val="Heading2"/>
        <w:spacing w:before="240" w:after="120"/>
        <w:rPr>
          <w:lang w:val="ru-RU"/>
        </w:rPr>
      </w:pPr>
      <w:r>
        <w:rPr>
          <w:lang w:val="ru-RU"/>
        </w:rPr>
        <w:t xml:space="preserve">11.8 Результаты прогона и найденная ошибка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Полный прогон go test ./… проходит без падений: 55 тестов в 7 пакетах, при поднятой PostgreSQL дополнительно успешно выполняются 2 интеграционных теста базы данных. Уровень покрытия по ключевым пакетам приведён в таблице ниже.</w:t>
      </w:r>
    </w:p>
    <w:tbl>
      <w:tblPr>
        <w:tblStyle w:val="TableGrid"/>
        <w:tblW w:w="9200" w:type="dxa"/>
        <w:jc w:val="center"/>
        <w:tblLook w:val="04A0" w:firstRow="1" w:lastRow="0" w:firstColumn="1" w:lastColumn="0" w:noHBand="0" w:noVBand="1"/>
      </w:tblPr>
      <w:tblGrid>
        <w:gridCol w:w="3400"/>
        <w:gridCol w:w="3200"/>
        <w:gridCol w:w="2600"/>
      </w:tblGrid>
      <w:tr>
        <w:trPr>
          <w:tblHeader/>
          <w:jc w:val="center"/>
        </w:trPr>
        <w:tc>
          <w:tcPr>
            <w:tcW w:w="3400" w:type="dxa"/>
            <w:shd w:val="clear" w:color="auto" w:fill="DCE6F1"/>
            <w:vAlign w:val="center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Пакет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Тип тестов</w:t>
            </w:r>
          </w:p>
        </w:tc>
        <w:tc>
          <w:tcPr>
            <w:tcW w:w="2600" w:type="dxa"/>
            <w:shd w:val="clear" w:color="auto" w:fill="DCE6F1"/>
            <w:vAlign w:val="center"/>
          </w:tcPr>
          <w:p>
            <w:pPr>
              <w:spacing w:after="0" w:line="240" w:lineRule="auto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Покрытие кода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internal/auth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модульные (JWT)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76,9 %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adapters/storage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mock (S3 / MinIO)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82,5 %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adapters/auditai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mock (AI-сервис)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71,0 %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adapters/httpapi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функциональные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63,3 %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adapters/pgcore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интеграционные (БД)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 реальной СУБД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internal/usecase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модульные + mock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21,5 %</w:t>
            </w:r>
          </w:p>
        </w:tc>
      </w:tr>
      <w:tr>
        <w:trPr>
          <w:jc w:val="center"/>
        </w:trPr>
        <w:tc>
          <w:tcPr>
            <w:tcW w:w="34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internal/sub_test</w:t>
            </w:r>
          </w:p>
        </w:tc>
        <w:tc>
          <w:tcPr>
            <w:tcW w:w="32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сквозные (e2e)</w:t>
            </w:r>
          </w:p>
        </w:tc>
        <w:tc>
          <w:tcPr>
            <w:tcW w:w="2600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сценарное</w:t>
            </w:r>
          </w:p>
        </w:tc>
      </w:tr>
    </w:tbl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Многоуровневое тестирование уже доказало свою пользу. При прогоне на реальной базе данных тест репозиториев выявил расхождение контракта: метод UserRepo.GetByEmail возвращал «сырую» ошибку pgx.ErrNoRows вместо доменной ports.ErrNotFound, тогда как остальные репозитории нормализуют её через общий помощник mapErr. Дефект был устранён — методы GetByEmail и GetByID обёрнуты в mapErr, — после чего все тесты, включая интеграционные, проходят. Показательно, что эта ошибка не проявлялась на уровне mock-тестов и была поймана именно при работе с настоящей PostgreSQL, что подтверждает необходимость держать в наборе и быстрые изолированные, и медленные интеграционные тесты.</w:t>
      </w:r>
    </w:p>
    <w:sectPr w:rsidR="002576FC" w:rsidRPr="0002487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11421">
    <w:abstractNumId w:val="8"/>
  </w:num>
  <w:num w:numId="2" w16cid:durableId="920061488">
    <w:abstractNumId w:val="6"/>
  </w:num>
  <w:num w:numId="3" w16cid:durableId="1703818999">
    <w:abstractNumId w:val="5"/>
  </w:num>
  <w:num w:numId="4" w16cid:durableId="59986067">
    <w:abstractNumId w:val="4"/>
  </w:num>
  <w:num w:numId="5" w16cid:durableId="1474517927">
    <w:abstractNumId w:val="7"/>
  </w:num>
  <w:num w:numId="6" w16cid:durableId="1176722946">
    <w:abstractNumId w:val="3"/>
  </w:num>
  <w:num w:numId="7" w16cid:durableId="714281076">
    <w:abstractNumId w:val="2"/>
  </w:num>
  <w:num w:numId="8" w16cid:durableId="1855921950">
    <w:abstractNumId w:val="1"/>
  </w:num>
  <w:num w:numId="9" w16cid:durableId="173161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872"/>
    <w:rsid w:val="00034616"/>
    <w:rsid w:val="0006063C"/>
    <w:rsid w:val="0015074B"/>
    <w:rsid w:val="001C0A58"/>
    <w:rsid w:val="002576FC"/>
    <w:rsid w:val="0029639D"/>
    <w:rsid w:val="00326F90"/>
    <w:rsid w:val="003B08A8"/>
    <w:rsid w:val="005E4B62"/>
    <w:rsid w:val="00667095"/>
    <w:rsid w:val="00866F28"/>
    <w:rsid w:val="009C22A7"/>
    <w:rsid w:val="00AA1D8D"/>
    <w:rsid w:val="00B47730"/>
    <w:rsid w:val="00CB0664"/>
    <w:rsid w:val="00CE7810"/>
    <w:rsid w:val="00DE6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17CE9"/>
  <w14:defaultImageDpi w14:val="300"/>
  <w15:docId w15:val="{64F5A67A-F042-2A40-B83D-1EB28ECD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7" Type="http://schemas.openxmlformats.org/officeDocument/2006/relationships/theme" Target="theme/theme1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ntTable" Target="fontTable.xml"/>
  <Relationship Id="rId5" Type="http://schemas.openxmlformats.org/officeDocument/2006/relationships/webSettings" Target="webSettings.xml"/>
  <Relationship Id="rId4" Type="http://schemas.openxmlformats.org/officeDocument/2006/relationships/settings" Target="setting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2770</Words>
  <Characters>15790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Гусев Никита Максимович</cp:lastModifiedBy>
  <cp:revision>5</cp:revision>
  <dcterms:created xsi:type="dcterms:W3CDTF">2013-12-23T23:15:00Z</dcterms:created>
  <dcterms:modified xsi:type="dcterms:W3CDTF">2026-06-01T15:48:00Z</dcterms:modified>
  <cp:category/>
</cp:coreProperties>
</file>