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80B77" w14:paraId="5EAEF38B" w14:textId="77777777">
        <w:tc>
          <w:tcPr>
            <w:tcW w:w="10080" w:type="dxa"/>
            <w:tcBorders>
              <w:top w:val="none" w:sz="0" w:space="0" w:color="FFFFFF"/>
              <w:left w:val="none" w:sz="0" w:space="0" w:color="FFFFFF"/>
              <w:bottom w:val="none" w:sz="0" w:space="0" w:color="FFFFFF"/>
              <w:right w:val="none" w:sz="0" w:space="0" w:color="FFFFFF"/>
            </w:tcBorders>
            <w:shd w:val="clear" w:color="auto" w:fill="1A3557"/>
            <w:tcMar>
              <w:top w:w="400" w:type="dxa"/>
              <w:left w:w="500" w:type="dxa"/>
              <w:bottom w:w="400" w:type="dxa"/>
              <w:right w:w="500" w:type="dxa"/>
            </w:tcMar>
          </w:tcPr>
          <w:p w14:paraId="6793CC18" w14:textId="77777777" w:rsidR="00480B77" w:rsidRDefault="00000000">
            <w:pPr>
              <w:spacing w:after="80"/>
            </w:pPr>
            <w:r>
              <w:rPr>
                <w:b/>
                <w:bCs/>
                <w:color w:val="A8C8F0"/>
              </w:rPr>
              <w:t>TECHNICAL INVESTIGATION REPORT</w:t>
            </w:r>
          </w:p>
          <w:p w14:paraId="2C09A2F1" w14:textId="77777777" w:rsidR="00480B77" w:rsidRDefault="00000000">
            <w:pPr>
              <w:spacing w:after="120"/>
            </w:pPr>
            <w:r>
              <w:rPr>
                <w:b/>
                <w:bCs/>
                <w:color w:val="FFFFFF"/>
                <w:sz w:val="44"/>
                <w:szCs w:val="44"/>
              </w:rPr>
              <w:t>DeepSeek-R1 / V3 — Chinese Chain-of-Thought</w:t>
            </w:r>
          </w:p>
          <w:p w14:paraId="08BCB273" w14:textId="77777777" w:rsidR="00480B77" w:rsidRDefault="00000000">
            <w:pPr>
              <w:spacing w:after="80"/>
            </w:pPr>
            <w:r>
              <w:rPr>
                <w:color w:val="A8C8F0"/>
                <w:sz w:val="28"/>
                <w:szCs w:val="28"/>
              </w:rPr>
              <w:t>Language Trigger: Empirical Identification &amp; Root Cause Analysis</w:t>
            </w:r>
          </w:p>
          <w:p w14:paraId="4A169069" w14:textId="1CCE1E35" w:rsidR="00480B77" w:rsidRDefault="00000000">
            <w:pPr>
              <w:spacing w:before="120"/>
            </w:pPr>
            <w:r>
              <w:rPr>
                <w:color w:val="7FAED4"/>
                <w:sz w:val="18"/>
                <w:szCs w:val="18"/>
              </w:rPr>
              <w:t>Abu Horairah Ansari   |   50 Controlled Runs Across 5 Test Prompts   |   June 2026</w:t>
            </w:r>
          </w:p>
        </w:tc>
      </w:tr>
    </w:tbl>
    <w:p w14:paraId="47BF09F1" w14:textId="77777777" w:rsidR="00480B77" w:rsidRDefault="00000000">
      <w:pPr>
        <w:pBdr>
          <w:bottom w:val="single" w:sz="6" w:space="4" w:color="2E6DAD"/>
        </w:pBdr>
        <w:spacing w:before="360" w:after="160"/>
      </w:pPr>
      <w:r>
        <w:rPr>
          <w:b/>
          <w:bCs/>
          <w:color w:val="1A3557"/>
          <w:sz w:val="26"/>
          <w:szCs w:val="26"/>
        </w:rPr>
        <w:t>EXECUTIVE SUMMARY</w:t>
      </w:r>
    </w:p>
    <w:p w14:paraId="06ED4E60" w14:textId="77777777" w:rsidR="00480B77" w:rsidRDefault="00000000">
      <w:pPr>
        <w:spacing w:before="80" w:after="100"/>
      </w:pPr>
      <w:r>
        <w:t>This report documents a controlled empirical investigation into an anomalous behavior in DeepSeek-R1/V3: the model's internal Chain-of-Thought (CoT) reasoning spontaneously switches to Chinese when processing certain English-language prompts. The phenomenon is distinct from the final output language and is not fully suppressible by user-side system prompts.</w:t>
      </w:r>
    </w:p>
    <w:p w14:paraId="58E47AF6" w14:textId="77777777" w:rsidR="00480B77" w:rsidRDefault="00480B77">
      <w:pPr>
        <w:spacing w:before="80"/>
      </w:pPr>
    </w:p>
    <w:p w14:paraId="504E1126" w14:textId="77777777" w:rsidR="00480B77" w:rsidRDefault="00000000">
      <w:pPr>
        <w:spacing w:before="80" w:after="100"/>
      </w:pPr>
      <w:r>
        <w:t>Through 50 controlled runs across 5 carefully designed test prompts, we identify the root cause as a compound trigger: the co-occurrence of high technical detail density and numeric scoring formats. These characteristics statistically classify the task as Chinese-coded within DeepSeek's Mixture-of-Experts (MoE) routing layer, activating Chinese-language reasoning experts regardless of explicit language instructions.</w:t>
      </w:r>
    </w:p>
    <w:p w14:paraId="5DF4BA37" w14:textId="77777777" w:rsidR="00480B77" w:rsidRDefault="00480B77">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0B77" w14:paraId="0D775316" w14:textId="77777777">
        <w:tc>
          <w:tcPr>
            <w:tcW w:w="9200" w:type="dxa"/>
            <w:tcBorders>
              <w:top w:val="single" w:sz="8" w:space="0" w:color="2E6DAD"/>
              <w:left w:val="single" w:sz="16" w:space="0" w:color="2E6DAD"/>
              <w:bottom w:val="none" w:sz="0" w:space="0" w:color="FFFFFF"/>
              <w:right w:val="none" w:sz="0" w:space="0" w:color="FFFFFF"/>
            </w:tcBorders>
            <w:shd w:val="clear" w:color="auto" w:fill="D6E8F7"/>
            <w:tcMar>
              <w:top w:w="120" w:type="dxa"/>
              <w:left w:w="200" w:type="dxa"/>
              <w:bottom w:w="120" w:type="dxa"/>
              <w:right w:w="120" w:type="dxa"/>
            </w:tcMar>
          </w:tcPr>
          <w:p w14:paraId="1098C0E7" w14:textId="77777777" w:rsidR="00480B77" w:rsidRDefault="00000000">
            <w:pPr>
              <w:spacing w:after="40"/>
            </w:pPr>
            <w:r>
              <w:rPr>
                <w:b/>
                <w:bCs/>
                <w:color w:val="1A3557"/>
              </w:rPr>
              <w:t>Key Finding</w:t>
            </w:r>
          </w:p>
          <w:p w14:paraId="4F2D0721" w14:textId="77777777" w:rsidR="00480B77" w:rsidRDefault="00000000">
            <w:r>
              <w:rPr>
                <w:sz w:val="19"/>
                <w:szCs w:val="19"/>
              </w:rPr>
              <w:t>A 'System Override' instruction reliably controls the final output language but has zero measurable effect on CoT language when high detail density is present. The CoT language is determined at the routing stage (estimated layers 1–5), before the override instruction influences the decoder.</w:t>
            </w:r>
          </w:p>
        </w:tc>
      </w:tr>
    </w:tbl>
    <w:p w14:paraId="35BB1B28" w14:textId="77777777" w:rsidR="00480B77" w:rsidRDefault="00480B77">
      <w:pPr>
        <w:spacing w:before="200"/>
      </w:pPr>
    </w:p>
    <w:p w14:paraId="660D8ECB" w14:textId="77777777" w:rsidR="00480B77" w:rsidRDefault="00000000">
      <w:pPr>
        <w:pBdr>
          <w:bottom w:val="single" w:sz="6" w:space="4" w:color="2E6DAD"/>
        </w:pBdr>
        <w:spacing w:before="360" w:after="160"/>
      </w:pPr>
      <w:r>
        <w:rPr>
          <w:b/>
          <w:bCs/>
          <w:color w:val="1A3557"/>
          <w:sz w:val="26"/>
          <w:szCs w:val="26"/>
        </w:rPr>
        <w:t>BACKGROUND &amp; INITIAL ANOMALY</w:t>
      </w:r>
    </w:p>
    <w:p w14:paraId="312BE39B" w14:textId="77777777" w:rsidR="00480B77" w:rsidRDefault="00000000">
      <w:pPr>
        <w:spacing w:before="80" w:after="100"/>
      </w:pPr>
      <w:r>
        <w:t>The investigation originated from a single anomalous interaction: a complex SQL learning roadmap prompt (requesting a 10–12 day mastery plan with market demand scoring out of 10 and tiered skill levels) produced a Chinese-language final response despite the user submitting the prompt in English. When the user requested an English version, the model erroneously claimed its original response had already been in English.</w:t>
      </w:r>
    </w:p>
    <w:p w14:paraId="7BC76D53" w14:textId="77777777" w:rsidR="00480B77" w:rsidRDefault="00480B77">
      <w:pPr>
        <w:spacing w:before="80"/>
      </w:pPr>
    </w:p>
    <w:p w14:paraId="2CB9F5F3" w14:textId="77777777" w:rsidR="00480B77" w:rsidRDefault="00000000">
      <w:pPr>
        <w:spacing w:before="80" w:after="100"/>
      </w:pPr>
      <w:r>
        <w:t>Critically, four other concurrent conversations — covering Investment strategies, Internship guidance, Audiobook architecture, and FIFA strategy — all returned English CoT and responses under identical conditions, ruling out a global UI or account-level configuration issue.</w:t>
      </w:r>
    </w:p>
    <w:p w14:paraId="751D3B39" w14:textId="77777777" w:rsidR="00480B77" w:rsidRDefault="00480B77">
      <w:pPr>
        <w:spacing w:before="200"/>
      </w:pPr>
    </w:p>
    <w:p w14:paraId="1A110001" w14:textId="77777777" w:rsidR="00480B77" w:rsidRDefault="00000000">
      <w:pPr>
        <w:pBdr>
          <w:bottom w:val="single" w:sz="6" w:space="4" w:color="2E6DAD"/>
        </w:pBdr>
        <w:spacing w:before="360" w:after="160"/>
      </w:pPr>
      <w:r>
        <w:rPr>
          <w:b/>
          <w:bCs/>
          <w:color w:val="1A3557"/>
          <w:sz w:val="26"/>
          <w:szCs w:val="26"/>
        </w:rPr>
        <w:t>METHODOLOGY</w:t>
      </w:r>
    </w:p>
    <w:p w14:paraId="1A110002" w14:textId="77777777" w:rsidR="00480B77" w:rsidRDefault="00000000">
      <w:pPr>
        <w:spacing w:before="80" w:after="100"/>
      </w:pPr>
      <w:r>
        <w:t>This investigation was conducted independently by Abu Horairah Ansari, without institutional affiliation or external assistance. All testing was performed manually on the DeepSeek web interface (chat.deepseek.com) using a personal account.</w:t>
      </w:r>
    </w:p>
    <w:p w14:paraId="0C042A57" w14:textId="77777777" w:rsidR="005D4411" w:rsidRDefault="005D4411">
      <w:pPr>
        <w:spacing w:before="80" w:after="100"/>
        <w:rPr>
          <w:b/>
          <w:bCs/>
          <w:color w:val="2E6DAD"/>
          <w:sz w:val="22"/>
          <w:szCs w:val="22"/>
        </w:rPr>
      </w:pPr>
    </w:p>
    <w:p w14:paraId="1A110003" w14:textId="2A71A6D5" w:rsidR="00480B77" w:rsidRDefault="00000000">
      <w:pPr>
        <w:spacing w:before="80" w:after="100"/>
      </w:pPr>
      <w:r>
        <w:rPr>
          <w:b/>
          <w:bCs/>
          <w:color w:val="2E6DAD"/>
          <w:sz w:val="22"/>
          <w:szCs w:val="22"/>
        </w:rPr>
        <w:lastRenderedPageBreak/>
        <w:t>Test Environment</w:t>
      </w:r>
    </w:p>
    <w:p w14:paraId="1A110004" w14:textId="77777777" w:rsidR="00480B77" w:rsidRDefault="00000000">
      <w:pPr>
        <w:numPr>
          <w:ilvl w:val="0"/>
          <w:numId w:val="1"/>
        </w:numPr>
        <w:spacing w:before="60" w:after="60"/>
      </w:pPr>
      <w:r>
        <w:t>Platform: DeepSeek web chat (chat.deepseek.com) — not the API.</w:t>
      </w:r>
    </w:p>
    <w:p w14:paraId="1A110005" w14:textId="77777777" w:rsidR="00480B77" w:rsidRDefault="00000000">
      <w:pPr>
        <w:numPr>
          <w:ilvl w:val="0"/>
          <w:numId w:val="1"/>
        </w:numPr>
        <w:spacing w:before="60" w:after="60"/>
      </w:pPr>
      <w:r>
        <w:t>Isolation: Each individual run was conducted in a completely fresh, separate browser window with no prior conversation history, eliminating any session or context carryover between runs.</w:t>
      </w:r>
    </w:p>
    <w:p w14:paraId="1A110006" w14:textId="77777777" w:rsidR="00480B77" w:rsidRDefault="00000000">
      <w:pPr>
        <w:numPr>
          <w:ilvl w:val="0"/>
          <w:numId w:val="1"/>
        </w:numPr>
        <w:spacing w:before="60" w:after="60"/>
      </w:pPr>
      <w:r>
        <w:t>Detection method: Chinese CoT and Chinese final output were identified by direct visual inspection of the model’s thinking block (the collapsible reasoning pane visible in DeepSeek’s web interface) and the final response text.</w:t>
      </w:r>
    </w:p>
    <w:p w14:paraId="1A110007" w14:textId="77777777" w:rsidR="00480B77" w:rsidRDefault="00000000">
      <w:pPr>
        <w:numPr>
          <w:ilvl w:val="0"/>
          <w:numId w:val="1"/>
        </w:numPr>
        <w:spacing w:before="60" w:after="60"/>
      </w:pPr>
      <w:r>
        <w:t>Prompts: Each test prompt was submitted as written, with no modifications between runs within the same test condition. The only variable between the override and no-override conditions was the presence of the “SYSTEM OVERRIDE” instruction prepended to the prompt.</w:t>
      </w:r>
    </w:p>
    <w:p w14:paraId="1A110008" w14:textId="77777777" w:rsidR="00480B77" w:rsidRDefault="00000000">
      <w:pPr>
        <w:numPr>
          <w:ilvl w:val="0"/>
          <w:numId w:val="1"/>
        </w:numPr>
        <w:spacing w:before="60" w:after="60"/>
      </w:pPr>
      <w:r>
        <w:t>Timing: All 50 runs were completed in June 2026. DeepSeek did not announce any model updates during this testing window.</w:t>
      </w:r>
    </w:p>
    <w:p w14:paraId="1A110009" w14:textId="77777777" w:rsidR="00480B77" w:rsidRDefault="00480B77">
      <w:pPr>
        <w:spacing w:before="200"/>
      </w:pPr>
    </w:p>
    <w:p w14:paraId="7D75F2A3" w14:textId="77777777" w:rsidR="00480B77" w:rsidRDefault="00000000">
      <w:pPr>
        <w:pBdr>
          <w:bottom w:val="single" w:sz="6" w:space="4" w:color="2E6DAD"/>
        </w:pBdr>
        <w:spacing w:before="360" w:after="160"/>
      </w:pPr>
      <w:r>
        <w:rPr>
          <w:b/>
          <w:bCs/>
          <w:color w:val="1A3557"/>
          <w:sz w:val="26"/>
          <w:szCs w:val="26"/>
        </w:rPr>
        <w:t>HYPOTHESES TESTED &amp; OUTCOMES</w:t>
      </w:r>
    </w:p>
    <w:p w14:paraId="30EA5E03" w14:textId="77777777" w:rsidR="00480B77" w:rsidRDefault="00000000">
      <w:pPr>
        <w:spacing w:before="80" w:after="100"/>
      </w:pPr>
      <w:r>
        <w:t>The following table summarises all candidate hypotheses evaluated during Phase 1 and Phase 2 of the investigation.</w:t>
      </w:r>
    </w:p>
    <w:p w14:paraId="2A256A3D" w14:textId="77777777" w:rsidR="00480B77" w:rsidRDefault="00480B77">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1"/>
        <w:gridCol w:w="1370"/>
        <w:gridCol w:w="2559"/>
      </w:tblGrid>
      <w:tr w:rsidR="00480B77" w14:paraId="3E062E12" w14:textId="77777777">
        <w:trPr>
          <w:tblHeader/>
        </w:trPr>
        <w:tc>
          <w:tcPr>
            <w:tcW w:w="52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78697522" w14:textId="77777777" w:rsidR="00480B77" w:rsidRDefault="00000000">
            <w:pPr>
              <w:jc w:val="center"/>
            </w:pPr>
            <w:r>
              <w:rPr>
                <w:b/>
                <w:bCs/>
                <w:color w:val="FFFFFF"/>
              </w:rPr>
              <w:t>Hypothesis</w:t>
            </w:r>
          </w:p>
        </w:tc>
        <w:tc>
          <w:tcPr>
            <w:tcW w:w="12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00BF846E" w14:textId="77777777" w:rsidR="00480B77" w:rsidRDefault="00000000">
            <w:pPr>
              <w:jc w:val="center"/>
            </w:pPr>
            <w:r>
              <w:rPr>
                <w:b/>
                <w:bCs/>
                <w:color w:val="FFFFFF"/>
              </w:rPr>
              <w:t>Status</w:t>
            </w:r>
          </w:p>
        </w:tc>
        <w:tc>
          <w:tcPr>
            <w:tcW w:w="26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4E4812CD" w14:textId="77777777" w:rsidR="00480B77" w:rsidRDefault="00000000">
            <w:pPr>
              <w:jc w:val="center"/>
            </w:pPr>
            <w:r>
              <w:rPr>
                <w:b/>
                <w:bCs/>
                <w:color w:val="FFFFFF"/>
              </w:rPr>
              <w:t>Evidence</w:t>
            </w:r>
          </w:p>
        </w:tc>
      </w:tr>
      <w:tr w:rsidR="00480B77" w14:paraId="0638ED7D" w14:textId="77777777">
        <w:tc>
          <w:tcPr>
            <w:tcW w:w="52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0E22478D" w14:textId="77777777" w:rsidR="00480B77" w:rsidRDefault="00000000">
            <w:r>
              <w:rPr>
                <w:sz w:val="18"/>
                <w:szCs w:val="18"/>
              </w:rPr>
              <w:t>UI / Translation Overlay causes Chinese output</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541FABFC" w14:textId="77777777" w:rsidR="00480B77" w:rsidRDefault="00000000">
            <w:pPr>
              <w:jc w:val="center"/>
            </w:pPr>
            <w:r>
              <w:rPr>
                <w:b/>
                <w:bCs/>
                <w:color w:val="E8412A"/>
                <w:sz w:val="18"/>
                <w:szCs w:val="18"/>
              </w:rPr>
              <w:t>REJECTED</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5E15D27D" w14:textId="77777777" w:rsidR="00480B77" w:rsidRDefault="00000000">
            <w:r>
              <w:rPr>
                <w:sz w:val="18"/>
                <w:szCs w:val="18"/>
              </w:rPr>
              <w:t>All other concurrent chats returned English output under identical UI conditions</w:t>
            </w:r>
          </w:p>
        </w:tc>
      </w:tr>
      <w:tr w:rsidR="00480B77" w14:paraId="09F52A10" w14:textId="77777777">
        <w:tc>
          <w:tcPr>
            <w:tcW w:w="52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50FB9359" w14:textId="77777777" w:rsidR="00480B77" w:rsidRDefault="00000000">
            <w:r>
              <w:rPr>
                <w:sz w:val="18"/>
                <w:szCs w:val="18"/>
              </w:rPr>
              <w:t>High cognitive load / prompt complexity triggers the switch</w:t>
            </w:r>
          </w:p>
        </w:tc>
        <w:tc>
          <w:tcPr>
            <w:tcW w:w="12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5E50AD59" w14:textId="77777777" w:rsidR="00480B77" w:rsidRDefault="00000000">
            <w:pPr>
              <w:jc w:val="center"/>
            </w:pPr>
            <w:r>
              <w:rPr>
                <w:b/>
                <w:bCs/>
                <w:color w:val="E8412A"/>
                <w:sz w:val="18"/>
                <w:szCs w:val="18"/>
              </w:rPr>
              <w:t>REJECTED</w:t>
            </w:r>
          </w:p>
        </w:tc>
        <w:tc>
          <w:tcPr>
            <w:tcW w:w="26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58171E60" w14:textId="77777777" w:rsidR="00480B77" w:rsidRDefault="00000000">
            <w:r>
              <w:rPr>
                <w:sz w:val="18"/>
                <w:szCs w:val="18"/>
              </w:rPr>
              <w:t>Four equally complex prompts (Investments, Internships, Architecture, Strategy) produced English CoT</w:t>
            </w:r>
          </w:p>
        </w:tc>
      </w:tr>
      <w:tr w:rsidR="00480B77" w14:paraId="465FB943" w14:textId="77777777">
        <w:tc>
          <w:tcPr>
            <w:tcW w:w="52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1D5B4B7B" w14:textId="77777777" w:rsidR="00480B77" w:rsidRDefault="00000000">
            <w:r>
              <w:rPr>
                <w:sz w:val="18"/>
                <w:szCs w:val="18"/>
              </w:rPr>
              <w:t>Casual vocabulary ('roadmap', 'no cap') activates the behavior</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526B72D7" w14:textId="77777777" w:rsidR="00480B77" w:rsidRDefault="00000000">
            <w:pPr>
              <w:jc w:val="center"/>
            </w:pPr>
            <w:r>
              <w:rPr>
                <w:b/>
                <w:bCs/>
                <w:color w:val="E8412A"/>
                <w:sz w:val="18"/>
                <w:szCs w:val="18"/>
              </w:rPr>
              <w:t>REJECTED</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7F21950B" w14:textId="77777777" w:rsidR="00480B77" w:rsidRDefault="00000000">
            <w:r>
              <w:rPr>
                <w:sz w:val="18"/>
                <w:szCs w:val="18"/>
              </w:rPr>
              <w:t>Replacing casual terms with formal enterprise language produced no change</w:t>
            </w:r>
          </w:p>
        </w:tc>
      </w:tr>
      <w:tr w:rsidR="00480B77" w14:paraId="17FB49E8" w14:textId="77777777">
        <w:tc>
          <w:tcPr>
            <w:tcW w:w="52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61531954" w14:textId="77777777" w:rsidR="00480B77" w:rsidRDefault="00000000">
            <w:r>
              <w:rPr>
                <w:sz w:val="18"/>
                <w:szCs w:val="18"/>
              </w:rPr>
              <w:t>System Override can control both output and CoT language</w:t>
            </w:r>
          </w:p>
        </w:tc>
        <w:tc>
          <w:tcPr>
            <w:tcW w:w="12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4BFF8B20" w14:textId="77777777" w:rsidR="00480B77" w:rsidRDefault="00000000">
            <w:pPr>
              <w:jc w:val="center"/>
            </w:pPr>
            <w:r>
              <w:rPr>
                <w:b/>
                <w:bCs/>
                <w:color w:val="B7770D"/>
                <w:sz w:val="18"/>
                <w:szCs w:val="18"/>
              </w:rPr>
              <w:t>PARTIAL</w:t>
            </w:r>
          </w:p>
        </w:tc>
        <w:tc>
          <w:tcPr>
            <w:tcW w:w="26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25891BC6" w14:textId="77777777" w:rsidR="00480B77" w:rsidRDefault="00000000">
            <w:r>
              <w:rPr>
                <w:sz w:val="18"/>
                <w:szCs w:val="18"/>
              </w:rPr>
              <w:t>Override suppressed Chinese final output in all tests (0/5 final Chinese) but failed to control CoT in high-density prompts</w:t>
            </w:r>
          </w:p>
        </w:tc>
      </w:tr>
      <w:tr w:rsidR="00480B77" w14:paraId="05A5CA08" w14:textId="77777777">
        <w:tc>
          <w:tcPr>
            <w:tcW w:w="52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1E4F0DFE" w14:textId="77777777" w:rsidR="00480B77" w:rsidRDefault="00000000">
            <w:r>
              <w:rPr>
                <w:sz w:val="18"/>
                <w:szCs w:val="18"/>
              </w:rPr>
              <w:t>High Detail Density + Numeric Scoring together trigger Chinese CoT</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59D89267" w14:textId="77777777" w:rsidR="00480B77" w:rsidRDefault="00000000">
            <w:pPr>
              <w:jc w:val="center"/>
            </w:pPr>
            <w:r>
              <w:rPr>
                <w:b/>
                <w:bCs/>
                <w:color w:val="1E8449"/>
                <w:sz w:val="18"/>
                <w:szCs w:val="18"/>
              </w:rPr>
              <w:t>CONFIRMED</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64755E0B" w14:textId="77777777" w:rsidR="00480B77" w:rsidRDefault="00000000">
            <w:r>
              <w:rPr>
                <w:sz w:val="18"/>
                <w:szCs w:val="18"/>
              </w:rPr>
              <w:t>100% Chinese CoT rate in T1 (full GRC prompt); 0% in T2 (same structure, lower density)</w:t>
            </w:r>
          </w:p>
        </w:tc>
      </w:tr>
    </w:tbl>
    <w:p w14:paraId="444435F3" w14:textId="77777777" w:rsidR="00480B77" w:rsidRDefault="00480B77">
      <w:pPr>
        <w:spacing w:before="200"/>
      </w:pPr>
    </w:p>
    <w:p w14:paraId="07D68917" w14:textId="77777777" w:rsidR="00480B77" w:rsidRDefault="00000000">
      <w:pPr>
        <w:pBdr>
          <w:bottom w:val="single" w:sz="6" w:space="4" w:color="2E6DAD"/>
        </w:pBdr>
        <w:spacing w:before="360" w:after="160"/>
      </w:pPr>
      <w:r>
        <w:rPr>
          <w:b/>
          <w:bCs/>
          <w:color w:val="1A3557"/>
          <w:sz w:val="26"/>
          <w:szCs w:val="26"/>
        </w:rPr>
        <w:t>IDENTIFIED TRIGGER FINGERPRINT</w:t>
      </w:r>
    </w:p>
    <w:p w14:paraId="4C55FAB7" w14:textId="77777777" w:rsidR="00480B77" w:rsidRDefault="00000000">
      <w:pPr>
        <w:spacing w:before="80" w:after="100"/>
      </w:pPr>
      <w:r>
        <w:t>Analysis of all failed vs. successful prompts revealed four structural 'niches' that correlate with overrepresentation in Chinese technical training corpora (CSDN, Zhihu):</w:t>
      </w:r>
    </w:p>
    <w:p w14:paraId="198023A3" w14:textId="77777777" w:rsidR="00480B77" w:rsidRDefault="00480B77">
      <w:pPr>
        <w:spacing w:before="60"/>
      </w:pPr>
    </w:p>
    <w:p w14:paraId="63E3DFEE" w14:textId="77777777" w:rsidR="00480B77" w:rsidRDefault="00000000">
      <w:pPr>
        <w:pStyle w:val="ListParagraph"/>
        <w:numPr>
          <w:ilvl w:val="0"/>
          <w:numId w:val="2"/>
        </w:numPr>
        <w:spacing w:before="60" w:after="60"/>
      </w:pPr>
      <w:r>
        <w:t>Niche A — Tiered Breakdown: Explicit maturity levels or skill tiers (e.g., Beginner → Expert, Level 1 → 5).</w:t>
      </w:r>
    </w:p>
    <w:p w14:paraId="3812A4BF" w14:textId="77777777" w:rsidR="00480B77" w:rsidRDefault="00000000">
      <w:pPr>
        <w:pStyle w:val="ListParagraph"/>
        <w:numPr>
          <w:ilvl w:val="0"/>
          <w:numId w:val="2"/>
        </w:numPr>
        <w:spacing w:before="60" w:after="60"/>
      </w:pPr>
      <w:r>
        <w:t>Niche B — Strict Time-Boxing: Rigid sprint schedules (e.g., '10-day sprint', 'hour-by-hour breakdown').</w:t>
      </w:r>
    </w:p>
    <w:p w14:paraId="3E4713D2" w14:textId="77777777" w:rsidR="00480B77" w:rsidRDefault="00000000">
      <w:pPr>
        <w:pStyle w:val="ListParagraph"/>
        <w:numPr>
          <w:ilvl w:val="0"/>
          <w:numId w:val="2"/>
        </w:numPr>
        <w:spacing w:before="60" w:after="60"/>
      </w:pPr>
      <w:r>
        <w:lastRenderedPageBreak/>
        <w:t>Niche C — Numeric Scoring: Quantitative ratings in formats such as 'out of 10' or 'percentile 0–100'.</w:t>
      </w:r>
    </w:p>
    <w:p w14:paraId="47D0305C" w14:textId="77777777" w:rsidR="00480B77" w:rsidRDefault="00000000">
      <w:pPr>
        <w:pStyle w:val="ListParagraph"/>
        <w:numPr>
          <w:ilvl w:val="0"/>
          <w:numId w:val="2"/>
        </w:numPr>
        <w:spacing w:before="60" w:after="60"/>
      </w:pPr>
      <w:r>
        <w:t>Niche D — Dense Technical Specifics: Enterprise-grade infrastructure/compliance jargon (Kubernetes, Istio, SOC2, Terraform, Falco, OPA).</w:t>
      </w:r>
    </w:p>
    <w:p w14:paraId="18DC27CB" w14:textId="77777777" w:rsidR="00480B77" w:rsidRDefault="00480B77">
      <w:pPr>
        <w:spacing w:before="100"/>
      </w:pPr>
    </w:p>
    <w:p w14:paraId="50EF5F93" w14:textId="77777777" w:rsidR="00480B77" w:rsidRDefault="00000000">
      <w:pPr>
        <w:spacing w:before="80" w:after="100"/>
      </w:pPr>
      <w:r>
        <w:t>Initial hypothesis: combining all four niches guarantees Chinese CoT. Controlled testing refined this to a two-factor model (see §5).</w:t>
      </w:r>
    </w:p>
    <w:p w14:paraId="0A327986" w14:textId="77777777" w:rsidR="00480B77" w:rsidRDefault="00480B77">
      <w:pPr>
        <w:spacing w:before="200"/>
      </w:pPr>
    </w:p>
    <w:p w14:paraId="4D6CCB77" w14:textId="77777777" w:rsidR="00480B77" w:rsidRDefault="00000000">
      <w:pPr>
        <w:pBdr>
          <w:bottom w:val="single" w:sz="6" w:space="4" w:color="2E6DAD"/>
        </w:pBdr>
        <w:spacing w:before="360" w:after="160"/>
      </w:pPr>
      <w:r>
        <w:rPr>
          <w:b/>
          <w:bCs/>
          <w:color w:val="1A3557"/>
          <w:sz w:val="26"/>
          <w:szCs w:val="26"/>
        </w:rPr>
        <w:t>EMPIRICAL TEST RESULTS (50 RUNS)</w:t>
      </w:r>
    </w:p>
    <w:p w14:paraId="61C68080" w14:textId="612501F9" w:rsidR="00480B77" w:rsidRDefault="00000000">
      <w:pPr>
        <w:spacing w:before="80" w:after="100"/>
      </w:pPr>
      <w:r>
        <w:t>Five prompts were each run 10 times (5 with a System Override instruction, 5 without). Each run was conducted on a fresh, separate chat window on the DeepSeek web interface (chat.deepseek.com). Chinese CoT and Chinese final output were identified by direct visual inspection of the model’s thinking block and response. All testing conducted June 2026.</w:t>
      </w:r>
    </w:p>
    <w:p w14:paraId="173C9A66" w14:textId="77777777" w:rsidR="00480B77" w:rsidRDefault="00480B77">
      <w:pPr>
        <w:spacing w:before="80"/>
      </w:pPr>
    </w:p>
    <w:p w14:paraId="32A87D91" w14:textId="77777777" w:rsidR="00C639DE" w:rsidRDefault="00000000">
      <w:pPr>
        <w:spacing w:after="60"/>
        <w:rPr>
          <w:sz w:val="18"/>
          <w:szCs w:val="18"/>
        </w:rPr>
      </w:pPr>
      <w:r>
        <w:rPr>
          <w:b/>
          <w:bCs/>
          <w:sz w:val="18"/>
          <w:szCs w:val="18"/>
        </w:rPr>
        <w:t xml:space="preserve">Notation: </w:t>
      </w:r>
      <w:r>
        <w:rPr>
          <w:sz w:val="18"/>
          <w:szCs w:val="18"/>
        </w:rPr>
        <w:t xml:space="preserve">Values shown as X/5 (raw count) and percentage. </w:t>
      </w:r>
    </w:p>
    <w:p w14:paraId="0AFC041D" w14:textId="3555ABB1" w:rsidR="00480B77" w:rsidRDefault="00000000">
      <w:pPr>
        <w:spacing w:after="60"/>
      </w:pPr>
      <w:r>
        <w:rPr>
          <w:sz w:val="18"/>
          <w:szCs w:val="18"/>
        </w:rPr>
        <w:t xml:space="preserve">Color coding: </w:t>
      </w:r>
      <w:r>
        <w:rPr>
          <w:b/>
          <w:bCs/>
          <w:color w:val="C0392B"/>
          <w:sz w:val="18"/>
          <w:szCs w:val="18"/>
        </w:rPr>
        <w:t xml:space="preserve">Red ≥ 80%   </w:t>
      </w:r>
      <w:r>
        <w:rPr>
          <w:b/>
          <w:bCs/>
          <w:color w:val="E67E22"/>
          <w:sz w:val="18"/>
          <w:szCs w:val="18"/>
        </w:rPr>
        <w:t xml:space="preserve">Orange 60–79%   </w:t>
      </w:r>
      <w:r>
        <w:rPr>
          <w:b/>
          <w:bCs/>
          <w:color w:val="B7770D"/>
          <w:sz w:val="18"/>
          <w:szCs w:val="18"/>
        </w:rPr>
        <w:t xml:space="preserve">Yellow 20–59%   </w:t>
      </w:r>
      <w:r>
        <w:rPr>
          <w:b/>
          <w:bCs/>
          <w:color w:val="27AE60"/>
          <w:sz w:val="18"/>
          <w:szCs w:val="18"/>
        </w:rPr>
        <w:t>Green 0–19%</w:t>
      </w:r>
    </w:p>
    <w:p w14:paraId="013683D6" w14:textId="77777777" w:rsidR="00480B77" w:rsidRDefault="00480B77">
      <w:pPr>
        <w:spacing w:before="60"/>
      </w:pPr>
    </w:p>
    <w:tbl>
      <w:tblPr>
        <w:tblW w:w="8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2569"/>
        <w:gridCol w:w="803"/>
        <w:gridCol w:w="1103"/>
        <w:gridCol w:w="1103"/>
        <w:gridCol w:w="1103"/>
        <w:gridCol w:w="1103"/>
      </w:tblGrid>
      <w:tr w:rsidR="00480B77" w14:paraId="0D8B8C0A" w14:textId="77777777">
        <w:trPr>
          <w:tblHeader/>
        </w:trPr>
        <w:tc>
          <w:tcPr>
            <w:tcW w:w="7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236C5E2B" w14:textId="77777777" w:rsidR="00480B77" w:rsidRDefault="00000000">
            <w:pPr>
              <w:jc w:val="center"/>
            </w:pPr>
            <w:r>
              <w:rPr>
                <w:b/>
                <w:bCs/>
                <w:color w:val="FFFFFF"/>
              </w:rPr>
              <w:t>Test ID</w:t>
            </w:r>
          </w:p>
        </w:tc>
        <w:tc>
          <w:tcPr>
            <w:tcW w:w="36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0F655EA8" w14:textId="77777777" w:rsidR="00480B77" w:rsidRDefault="00000000">
            <w:pPr>
              <w:jc w:val="center"/>
            </w:pPr>
            <w:r>
              <w:rPr>
                <w:b/>
                <w:bCs/>
                <w:color w:val="FFFFFF"/>
              </w:rPr>
              <w:t>Prompt Description</w:t>
            </w:r>
          </w:p>
        </w:tc>
        <w:tc>
          <w:tcPr>
            <w:tcW w:w="58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3EED1980" w14:textId="0F1522F9" w:rsidR="00480B77" w:rsidRDefault="008D72ED">
            <w:pPr>
              <w:jc w:val="center"/>
            </w:pPr>
            <w:r>
              <w:rPr>
                <w:b/>
                <w:bCs/>
                <w:color w:val="FFFFFF"/>
              </w:rPr>
              <w:t>Tests</w:t>
            </w:r>
          </w:p>
        </w:tc>
        <w:tc>
          <w:tcPr>
            <w:tcW w:w="9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28F82A1E" w14:textId="77777777" w:rsidR="00480B77" w:rsidRDefault="00000000">
            <w:pPr>
              <w:jc w:val="center"/>
            </w:pPr>
            <w:r>
              <w:rPr>
                <w:b/>
                <w:bCs/>
                <w:color w:val="FFFFFF"/>
              </w:rPr>
              <w:t>Override Chinese CoT</w:t>
            </w:r>
          </w:p>
        </w:tc>
        <w:tc>
          <w:tcPr>
            <w:tcW w:w="9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53747E30" w14:textId="77777777" w:rsidR="00480B77" w:rsidRDefault="00000000">
            <w:pPr>
              <w:jc w:val="center"/>
            </w:pPr>
            <w:r>
              <w:rPr>
                <w:b/>
                <w:bCs/>
                <w:color w:val="FFFFFF"/>
              </w:rPr>
              <w:t>Override Chinese Output</w:t>
            </w:r>
          </w:p>
        </w:tc>
        <w:tc>
          <w:tcPr>
            <w:tcW w:w="9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3719E79B" w14:textId="77777777" w:rsidR="00480B77" w:rsidRDefault="00000000">
            <w:pPr>
              <w:jc w:val="center"/>
            </w:pPr>
            <w:r>
              <w:rPr>
                <w:b/>
                <w:bCs/>
                <w:color w:val="FFFFFF"/>
              </w:rPr>
              <w:t>No Override Chinese CoT</w:t>
            </w:r>
          </w:p>
        </w:tc>
        <w:tc>
          <w:tcPr>
            <w:tcW w:w="900" w:type="dxa"/>
            <w:tcBorders>
              <w:top w:val="single" w:sz="1" w:space="0" w:color="D0D5DD"/>
              <w:left w:val="single" w:sz="1" w:space="0" w:color="D0D5DD"/>
              <w:bottom w:val="single" w:sz="1" w:space="0" w:color="D0D5DD"/>
              <w:right w:val="single" w:sz="1" w:space="0" w:color="D0D5DD"/>
            </w:tcBorders>
            <w:shd w:val="clear" w:color="auto" w:fill="2E6DAD"/>
            <w:tcMar>
              <w:top w:w="100" w:type="dxa"/>
              <w:left w:w="140" w:type="dxa"/>
              <w:bottom w:w="100" w:type="dxa"/>
              <w:right w:w="140" w:type="dxa"/>
            </w:tcMar>
            <w:vAlign w:val="center"/>
          </w:tcPr>
          <w:p w14:paraId="77D6FBEC" w14:textId="77777777" w:rsidR="00480B77" w:rsidRDefault="00000000">
            <w:pPr>
              <w:jc w:val="center"/>
            </w:pPr>
            <w:r>
              <w:rPr>
                <w:b/>
                <w:bCs/>
                <w:color w:val="FFFFFF"/>
              </w:rPr>
              <w:t>No Override Chinese Output</w:t>
            </w:r>
          </w:p>
        </w:tc>
      </w:tr>
      <w:tr w:rsidR="00480B77" w14:paraId="67DDCEB5" w14:textId="77777777">
        <w:tc>
          <w:tcPr>
            <w:tcW w:w="700" w:type="dxa"/>
            <w:tcBorders>
              <w:top w:val="single" w:sz="1" w:space="0" w:color="D0D5DD"/>
              <w:left w:val="single" w:sz="1" w:space="0" w:color="D0D5DD"/>
              <w:bottom w:val="single" w:sz="1" w:space="0" w:color="D0D5DD"/>
              <w:right w:val="single" w:sz="1" w:space="0" w:color="D0D5DD"/>
            </w:tcBorders>
            <w:shd w:val="clear" w:color="auto" w:fill="FFF5F4"/>
            <w:tcMar>
              <w:top w:w="90" w:type="dxa"/>
              <w:left w:w="140" w:type="dxa"/>
              <w:bottom w:w="90" w:type="dxa"/>
              <w:right w:w="140" w:type="dxa"/>
            </w:tcMar>
            <w:vAlign w:val="center"/>
          </w:tcPr>
          <w:p w14:paraId="3D88267D" w14:textId="77777777" w:rsidR="00480B77" w:rsidRDefault="00000000">
            <w:pPr>
              <w:jc w:val="center"/>
            </w:pPr>
            <w:r>
              <w:rPr>
                <w:b/>
                <w:bCs/>
                <w:sz w:val="18"/>
                <w:szCs w:val="18"/>
              </w:rPr>
              <w:t>T1</w:t>
            </w:r>
          </w:p>
        </w:tc>
        <w:tc>
          <w:tcPr>
            <w:tcW w:w="3600" w:type="dxa"/>
            <w:tcBorders>
              <w:top w:val="single" w:sz="1" w:space="0" w:color="D0D5DD"/>
              <w:left w:val="single" w:sz="1" w:space="0" w:color="D0D5DD"/>
              <w:bottom w:val="single" w:sz="1" w:space="0" w:color="D0D5DD"/>
              <w:right w:val="single" w:sz="1" w:space="0" w:color="D0D5DD"/>
            </w:tcBorders>
            <w:shd w:val="clear" w:color="auto" w:fill="FFF5F4"/>
            <w:tcMar>
              <w:top w:w="90" w:type="dxa"/>
              <w:left w:w="140" w:type="dxa"/>
              <w:bottom w:w="90" w:type="dxa"/>
              <w:right w:w="140" w:type="dxa"/>
            </w:tcMar>
            <w:vAlign w:val="center"/>
          </w:tcPr>
          <w:p w14:paraId="2B394E7F" w14:textId="77777777" w:rsidR="00480B77" w:rsidRDefault="00000000">
            <w:r>
              <w:rPr>
                <w:sz w:val="18"/>
                <w:szCs w:val="18"/>
              </w:rPr>
              <w:t>Full GRC Program — SOC2 Type II &amp; ISO 27001 (10-day sprint, CIA scoring /10, threat ranking, maturity tiers, niche roles)</w:t>
            </w:r>
          </w:p>
        </w:tc>
        <w:tc>
          <w:tcPr>
            <w:tcW w:w="580" w:type="dxa"/>
            <w:tcBorders>
              <w:top w:val="single" w:sz="1" w:space="0" w:color="D0D5DD"/>
              <w:left w:val="single" w:sz="1" w:space="0" w:color="D0D5DD"/>
              <w:bottom w:val="single" w:sz="1" w:space="0" w:color="D0D5DD"/>
              <w:right w:val="single" w:sz="1" w:space="0" w:color="D0D5DD"/>
            </w:tcBorders>
            <w:shd w:val="clear" w:color="auto" w:fill="FFF5F4"/>
            <w:tcMar>
              <w:top w:w="90" w:type="dxa"/>
              <w:left w:w="140" w:type="dxa"/>
              <w:bottom w:w="90" w:type="dxa"/>
              <w:right w:w="140" w:type="dxa"/>
            </w:tcMar>
            <w:vAlign w:val="center"/>
          </w:tcPr>
          <w:p w14:paraId="508523BF" w14:textId="77777777" w:rsidR="00480B77" w:rsidRDefault="00000000">
            <w:pPr>
              <w:jc w:val="center"/>
            </w:pPr>
            <w:r>
              <w:rPr>
                <w:sz w:val="18"/>
                <w:szCs w:val="18"/>
              </w:rPr>
              <w:t>10</w:t>
            </w:r>
          </w:p>
        </w:tc>
        <w:tc>
          <w:tcPr>
            <w:tcW w:w="900" w:type="dxa"/>
            <w:tcBorders>
              <w:top w:val="single" w:sz="1" w:space="0" w:color="D0D5DD"/>
              <w:left w:val="single" w:sz="1" w:space="0" w:color="D0D5DD"/>
              <w:bottom w:val="single" w:sz="1" w:space="0" w:color="D0D5DD"/>
              <w:right w:val="single" w:sz="1" w:space="0" w:color="D0D5DD"/>
            </w:tcBorders>
            <w:shd w:val="clear" w:color="auto" w:fill="FFF5F4"/>
            <w:tcMar>
              <w:top w:w="90" w:type="dxa"/>
              <w:left w:w="140" w:type="dxa"/>
              <w:bottom w:w="90" w:type="dxa"/>
              <w:right w:w="140" w:type="dxa"/>
            </w:tcMar>
            <w:vAlign w:val="center"/>
          </w:tcPr>
          <w:p w14:paraId="1EB9266A" w14:textId="77777777" w:rsidR="00480B77" w:rsidRDefault="00000000">
            <w:pPr>
              <w:jc w:val="center"/>
            </w:pPr>
            <w:r>
              <w:rPr>
                <w:b/>
                <w:bCs/>
                <w:color w:val="C0392B"/>
                <w:sz w:val="18"/>
                <w:szCs w:val="18"/>
              </w:rPr>
              <w:t>5/5 (100%)</w:t>
            </w:r>
          </w:p>
        </w:tc>
        <w:tc>
          <w:tcPr>
            <w:tcW w:w="900" w:type="dxa"/>
            <w:tcBorders>
              <w:top w:val="single" w:sz="1" w:space="0" w:color="D0D5DD"/>
              <w:left w:val="single" w:sz="1" w:space="0" w:color="D0D5DD"/>
              <w:bottom w:val="single" w:sz="1" w:space="0" w:color="D0D5DD"/>
              <w:right w:val="single" w:sz="1" w:space="0" w:color="D0D5DD"/>
            </w:tcBorders>
            <w:shd w:val="clear" w:color="auto" w:fill="FFF5F4"/>
            <w:tcMar>
              <w:top w:w="90" w:type="dxa"/>
              <w:left w:w="140" w:type="dxa"/>
              <w:bottom w:w="90" w:type="dxa"/>
              <w:right w:w="140" w:type="dxa"/>
            </w:tcMar>
            <w:vAlign w:val="center"/>
          </w:tcPr>
          <w:p w14:paraId="400363AF" w14:textId="77777777" w:rsidR="00480B77" w:rsidRDefault="00000000">
            <w:pPr>
              <w:jc w:val="center"/>
            </w:pPr>
            <w:r>
              <w:rPr>
                <w:color w:val="27AE60"/>
                <w:sz w:val="18"/>
                <w:szCs w:val="18"/>
              </w:rPr>
              <w:t>0/5 (0%)</w:t>
            </w:r>
          </w:p>
        </w:tc>
        <w:tc>
          <w:tcPr>
            <w:tcW w:w="900" w:type="dxa"/>
            <w:tcBorders>
              <w:top w:val="single" w:sz="1" w:space="0" w:color="D0D5DD"/>
              <w:left w:val="single" w:sz="1" w:space="0" w:color="D0D5DD"/>
              <w:bottom w:val="single" w:sz="1" w:space="0" w:color="D0D5DD"/>
              <w:right w:val="single" w:sz="1" w:space="0" w:color="D0D5DD"/>
            </w:tcBorders>
            <w:shd w:val="clear" w:color="auto" w:fill="FFF5F4"/>
            <w:tcMar>
              <w:top w:w="90" w:type="dxa"/>
              <w:left w:w="140" w:type="dxa"/>
              <w:bottom w:w="90" w:type="dxa"/>
              <w:right w:w="140" w:type="dxa"/>
            </w:tcMar>
            <w:vAlign w:val="center"/>
          </w:tcPr>
          <w:p w14:paraId="5D140CBC" w14:textId="77777777" w:rsidR="00480B77" w:rsidRDefault="00000000">
            <w:pPr>
              <w:jc w:val="center"/>
            </w:pPr>
            <w:r>
              <w:rPr>
                <w:b/>
                <w:bCs/>
                <w:color w:val="C0392B"/>
                <w:sz w:val="18"/>
                <w:szCs w:val="18"/>
              </w:rPr>
              <w:t>5/5 (100%)</w:t>
            </w:r>
          </w:p>
        </w:tc>
        <w:tc>
          <w:tcPr>
            <w:tcW w:w="900" w:type="dxa"/>
            <w:tcBorders>
              <w:top w:val="single" w:sz="1" w:space="0" w:color="D0D5DD"/>
              <w:left w:val="single" w:sz="1" w:space="0" w:color="D0D5DD"/>
              <w:bottom w:val="single" w:sz="1" w:space="0" w:color="D0D5DD"/>
              <w:right w:val="single" w:sz="1" w:space="0" w:color="D0D5DD"/>
            </w:tcBorders>
            <w:shd w:val="clear" w:color="auto" w:fill="FFF5F4"/>
            <w:tcMar>
              <w:top w:w="90" w:type="dxa"/>
              <w:left w:w="140" w:type="dxa"/>
              <w:bottom w:w="90" w:type="dxa"/>
              <w:right w:w="140" w:type="dxa"/>
            </w:tcMar>
            <w:vAlign w:val="center"/>
          </w:tcPr>
          <w:p w14:paraId="6539722B" w14:textId="77777777" w:rsidR="00480B77" w:rsidRDefault="00000000">
            <w:pPr>
              <w:jc w:val="center"/>
            </w:pPr>
            <w:r>
              <w:rPr>
                <w:color w:val="D4AC0D"/>
                <w:sz w:val="18"/>
                <w:szCs w:val="18"/>
              </w:rPr>
              <w:t>3/5 (60%)</w:t>
            </w:r>
          </w:p>
        </w:tc>
      </w:tr>
      <w:tr w:rsidR="00480B77" w14:paraId="08FD890D" w14:textId="77777777">
        <w:tc>
          <w:tcPr>
            <w:tcW w:w="700" w:type="dxa"/>
            <w:tcBorders>
              <w:top w:val="single" w:sz="1" w:space="0" w:color="D0D5DD"/>
              <w:left w:val="single" w:sz="1" w:space="0" w:color="D0D5DD"/>
              <w:bottom w:val="single" w:sz="1" w:space="0" w:color="D0D5DD"/>
              <w:right w:val="single" w:sz="1" w:space="0" w:color="D0D5DD"/>
            </w:tcBorders>
            <w:shd w:val="clear" w:color="auto" w:fill="F4FFF5"/>
            <w:tcMar>
              <w:top w:w="90" w:type="dxa"/>
              <w:left w:w="140" w:type="dxa"/>
              <w:bottom w:w="90" w:type="dxa"/>
              <w:right w:w="140" w:type="dxa"/>
            </w:tcMar>
            <w:vAlign w:val="center"/>
          </w:tcPr>
          <w:p w14:paraId="434FF5F5" w14:textId="77777777" w:rsidR="00480B77" w:rsidRDefault="00000000">
            <w:pPr>
              <w:jc w:val="center"/>
            </w:pPr>
            <w:r>
              <w:rPr>
                <w:b/>
                <w:bCs/>
                <w:sz w:val="18"/>
                <w:szCs w:val="18"/>
              </w:rPr>
              <w:t>T2</w:t>
            </w:r>
          </w:p>
        </w:tc>
        <w:tc>
          <w:tcPr>
            <w:tcW w:w="3600" w:type="dxa"/>
            <w:tcBorders>
              <w:top w:val="single" w:sz="1" w:space="0" w:color="D0D5DD"/>
              <w:left w:val="single" w:sz="1" w:space="0" w:color="D0D5DD"/>
              <w:bottom w:val="single" w:sz="1" w:space="0" w:color="D0D5DD"/>
              <w:right w:val="single" w:sz="1" w:space="0" w:color="D0D5DD"/>
            </w:tcBorders>
            <w:shd w:val="clear" w:color="auto" w:fill="F4FFF5"/>
            <w:tcMar>
              <w:top w:w="90" w:type="dxa"/>
              <w:left w:w="140" w:type="dxa"/>
              <w:bottom w:w="90" w:type="dxa"/>
              <w:right w:w="140" w:type="dxa"/>
            </w:tcMar>
            <w:vAlign w:val="center"/>
          </w:tcPr>
          <w:p w14:paraId="6D9B89AC" w14:textId="77777777" w:rsidR="00480B77" w:rsidRDefault="00000000">
            <w:r>
              <w:rPr>
                <w:sz w:val="18"/>
                <w:szCs w:val="18"/>
              </w:rPr>
              <w:t>Truncated DevSecOps Skeleton — 4 maturity levels, 11-day sprint, specialist scarcity /10, specific tooling (GitLab CI, Falco, OPA, Vault) — minimal explanatory prose</w:t>
            </w:r>
          </w:p>
        </w:tc>
        <w:tc>
          <w:tcPr>
            <w:tcW w:w="580" w:type="dxa"/>
            <w:tcBorders>
              <w:top w:val="single" w:sz="1" w:space="0" w:color="D0D5DD"/>
              <w:left w:val="single" w:sz="1" w:space="0" w:color="D0D5DD"/>
              <w:bottom w:val="single" w:sz="1" w:space="0" w:color="D0D5DD"/>
              <w:right w:val="single" w:sz="1" w:space="0" w:color="D0D5DD"/>
            </w:tcBorders>
            <w:shd w:val="clear" w:color="auto" w:fill="F4FFF5"/>
            <w:tcMar>
              <w:top w:w="90" w:type="dxa"/>
              <w:left w:w="140" w:type="dxa"/>
              <w:bottom w:w="90" w:type="dxa"/>
              <w:right w:w="140" w:type="dxa"/>
            </w:tcMar>
            <w:vAlign w:val="center"/>
          </w:tcPr>
          <w:p w14:paraId="02FD8B3E" w14:textId="77777777" w:rsidR="00480B77" w:rsidRDefault="00000000">
            <w:pPr>
              <w:jc w:val="center"/>
            </w:pPr>
            <w:r>
              <w:rPr>
                <w:sz w:val="18"/>
                <w:szCs w:val="18"/>
              </w:rPr>
              <w:t>10</w:t>
            </w:r>
          </w:p>
        </w:tc>
        <w:tc>
          <w:tcPr>
            <w:tcW w:w="900" w:type="dxa"/>
            <w:tcBorders>
              <w:top w:val="single" w:sz="1" w:space="0" w:color="D0D5DD"/>
              <w:left w:val="single" w:sz="1" w:space="0" w:color="D0D5DD"/>
              <w:bottom w:val="single" w:sz="1" w:space="0" w:color="D0D5DD"/>
              <w:right w:val="single" w:sz="1" w:space="0" w:color="D0D5DD"/>
            </w:tcBorders>
            <w:shd w:val="clear" w:color="auto" w:fill="F4FFF5"/>
            <w:tcMar>
              <w:top w:w="90" w:type="dxa"/>
              <w:left w:w="140" w:type="dxa"/>
              <w:bottom w:w="90" w:type="dxa"/>
              <w:right w:w="140" w:type="dxa"/>
            </w:tcMar>
            <w:vAlign w:val="center"/>
          </w:tcPr>
          <w:p w14:paraId="53D37176" w14:textId="77777777" w:rsidR="00480B77" w:rsidRDefault="00000000">
            <w:pPr>
              <w:jc w:val="center"/>
            </w:pPr>
            <w:r>
              <w:rPr>
                <w:b/>
                <w:bCs/>
                <w:color w:val="27AE60"/>
                <w:sz w:val="18"/>
                <w:szCs w:val="18"/>
              </w:rPr>
              <w:t>0/5 (0%)</w:t>
            </w:r>
          </w:p>
        </w:tc>
        <w:tc>
          <w:tcPr>
            <w:tcW w:w="900" w:type="dxa"/>
            <w:tcBorders>
              <w:top w:val="single" w:sz="1" w:space="0" w:color="D0D5DD"/>
              <w:left w:val="single" w:sz="1" w:space="0" w:color="D0D5DD"/>
              <w:bottom w:val="single" w:sz="1" w:space="0" w:color="D0D5DD"/>
              <w:right w:val="single" w:sz="1" w:space="0" w:color="D0D5DD"/>
            </w:tcBorders>
            <w:shd w:val="clear" w:color="auto" w:fill="F4FFF5"/>
            <w:tcMar>
              <w:top w:w="90" w:type="dxa"/>
              <w:left w:w="140" w:type="dxa"/>
              <w:bottom w:w="90" w:type="dxa"/>
              <w:right w:w="140" w:type="dxa"/>
            </w:tcMar>
            <w:vAlign w:val="center"/>
          </w:tcPr>
          <w:p w14:paraId="71B48E96" w14:textId="77777777" w:rsidR="00480B77" w:rsidRDefault="00000000">
            <w:pPr>
              <w:jc w:val="center"/>
            </w:pPr>
            <w:r>
              <w:rPr>
                <w:color w:val="27AE60"/>
                <w:sz w:val="18"/>
                <w:szCs w:val="18"/>
              </w:rPr>
              <w:t>0/5 (0%)</w:t>
            </w:r>
          </w:p>
        </w:tc>
        <w:tc>
          <w:tcPr>
            <w:tcW w:w="900" w:type="dxa"/>
            <w:tcBorders>
              <w:top w:val="single" w:sz="1" w:space="0" w:color="D0D5DD"/>
              <w:left w:val="single" w:sz="1" w:space="0" w:color="D0D5DD"/>
              <w:bottom w:val="single" w:sz="1" w:space="0" w:color="D0D5DD"/>
              <w:right w:val="single" w:sz="1" w:space="0" w:color="D0D5DD"/>
            </w:tcBorders>
            <w:shd w:val="clear" w:color="auto" w:fill="F4FFF5"/>
            <w:tcMar>
              <w:top w:w="90" w:type="dxa"/>
              <w:left w:w="140" w:type="dxa"/>
              <w:bottom w:w="90" w:type="dxa"/>
              <w:right w:w="140" w:type="dxa"/>
            </w:tcMar>
            <w:vAlign w:val="center"/>
          </w:tcPr>
          <w:p w14:paraId="36CF15B7" w14:textId="77777777" w:rsidR="00480B77" w:rsidRDefault="00000000">
            <w:pPr>
              <w:jc w:val="center"/>
            </w:pPr>
            <w:r>
              <w:rPr>
                <w:b/>
                <w:bCs/>
                <w:color w:val="C0392B"/>
                <w:sz w:val="18"/>
                <w:szCs w:val="18"/>
              </w:rPr>
              <w:t>5/5 (100%)</w:t>
            </w:r>
          </w:p>
        </w:tc>
        <w:tc>
          <w:tcPr>
            <w:tcW w:w="900" w:type="dxa"/>
            <w:tcBorders>
              <w:top w:val="single" w:sz="1" w:space="0" w:color="D0D5DD"/>
              <w:left w:val="single" w:sz="1" w:space="0" w:color="D0D5DD"/>
              <w:bottom w:val="single" w:sz="1" w:space="0" w:color="D0D5DD"/>
              <w:right w:val="single" w:sz="1" w:space="0" w:color="D0D5DD"/>
            </w:tcBorders>
            <w:shd w:val="clear" w:color="auto" w:fill="F4FFF5"/>
            <w:tcMar>
              <w:top w:w="90" w:type="dxa"/>
              <w:left w:w="140" w:type="dxa"/>
              <w:bottom w:w="90" w:type="dxa"/>
              <w:right w:w="140" w:type="dxa"/>
            </w:tcMar>
            <w:vAlign w:val="center"/>
          </w:tcPr>
          <w:p w14:paraId="4180E5D2" w14:textId="77777777" w:rsidR="00480B77" w:rsidRDefault="00000000">
            <w:pPr>
              <w:jc w:val="center"/>
            </w:pPr>
            <w:r>
              <w:rPr>
                <w:color w:val="E67E22"/>
                <w:sz w:val="18"/>
                <w:szCs w:val="18"/>
              </w:rPr>
              <w:t>4/5 (80%)</w:t>
            </w:r>
          </w:p>
        </w:tc>
      </w:tr>
      <w:tr w:rsidR="00480B77" w14:paraId="4E0CF93F" w14:textId="77777777">
        <w:tc>
          <w:tcPr>
            <w:tcW w:w="7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017F7073" w14:textId="77777777" w:rsidR="00480B77" w:rsidRDefault="00000000">
            <w:pPr>
              <w:jc w:val="center"/>
            </w:pPr>
            <w:r>
              <w:rPr>
                <w:b/>
                <w:bCs/>
                <w:sz w:val="18"/>
                <w:szCs w:val="18"/>
              </w:rPr>
              <w:t>T3</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11098C26" w14:textId="77777777" w:rsidR="00480B77" w:rsidRDefault="00000000">
            <w:r>
              <w:rPr>
                <w:sz w:val="18"/>
                <w:szCs w:val="18"/>
              </w:rPr>
              <w:t>Mobile Dev Languages — Kotlin, Swift, Flutter, React Native, .NET MAUI — scores out of 10</w:t>
            </w:r>
          </w:p>
        </w:tc>
        <w:tc>
          <w:tcPr>
            <w:tcW w:w="58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36525344" w14:textId="77777777" w:rsidR="00480B77" w:rsidRDefault="00000000">
            <w:pPr>
              <w:jc w:val="center"/>
            </w:pPr>
            <w:r>
              <w:rPr>
                <w:sz w:val="18"/>
                <w:szCs w:val="18"/>
              </w:rPr>
              <w:t>10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0F51254B" w14:textId="77777777" w:rsidR="00480B77" w:rsidRDefault="00000000">
            <w:pPr>
              <w:jc w:val="center"/>
            </w:pPr>
            <w:r>
              <w:rPr>
                <w:b/>
                <w:bCs/>
                <w:color w:val="D4AC0D"/>
                <w:sz w:val="18"/>
                <w:szCs w:val="18"/>
              </w:rPr>
              <w:t>2/5 (40%)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37107847" w14:textId="77777777" w:rsidR="00480B77" w:rsidRDefault="00000000">
            <w:pPr>
              <w:jc w:val="center"/>
            </w:pPr>
            <w:r>
              <w:rPr>
                <w:color w:val="27AE60"/>
                <w:sz w:val="18"/>
                <w:szCs w:val="18"/>
              </w:rPr>
              <w:t>0/5 (0%)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0DE300F5" w14:textId="77777777" w:rsidR="00480B77" w:rsidRDefault="00000000">
            <w:pPr>
              <w:jc w:val="center"/>
            </w:pPr>
            <w:r>
              <w:rPr>
                <w:b/>
                <w:bCs/>
                <w:color w:val="C0392B"/>
                <w:sz w:val="18"/>
                <w:szCs w:val="18"/>
              </w:rPr>
              <w:t>5/5 (100%)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58A85D37" w14:textId="77777777" w:rsidR="00480B77" w:rsidRDefault="00000000">
            <w:pPr>
              <w:jc w:val="center"/>
            </w:pPr>
            <w:r>
              <w:rPr>
                <w:color w:val="27AE60"/>
                <w:sz w:val="18"/>
                <w:szCs w:val="18"/>
              </w:rPr>
              <w:t>1/5 (20%)</w:t>
            </w:r>
          </w:p>
        </w:tc>
      </w:tr>
      <w:tr w:rsidR="00480B77" w14:paraId="7F23FA95" w14:textId="77777777">
        <w:tc>
          <w:tcPr>
            <w:tcW w:w="7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62C2BFCD" w14:textId="77777777" w:rsidR="00480B77" w:rsidRDefault="00000000">
            <w:pPr>
              <w:jc w:val="center"/>
            </w:pPr>
            <w:r>
              <w:rPr>
                <w:b/>
                <w:bCs/>
                <w:sz w:val="18"/>
                <w:szCs w:val="18"/>
              </w:rPr>
              <w:t>T4</w:t>
            </w:r>
          </w:p>
        </w:tc>
        <w:tc>
          <w:tcPr>
            <w:tcW w:w="36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6444F41C" w14:textId="77777777" w:rsidR="00480B77" w:rsidRDefault="00000000">
            <w:r>
              <w:rPr>
                <w:sz w:val="18"/>
                <w:szCs w:val="18"/>
              </w:rPr>
              <w:t>Mobile Dev Languages — identical to T3 — scores on percentile scale 0–100</w:t>
            </w:r>
          </w:p>
        </w:tc>
        <w:tc>
          <w:tcPr>
            <w:tcW w:w="58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4455D1CE" w14:textId="77777777" w:rsidR="00480B77" w:rsidRDefault="00000000">
            <w:pPr>
              <w:jc w:val="center"/>
            </w:pPr>
            <w:r>
              <w:rPr>
                <w:sz w:val="18"/>
                <w:szCs w:val="18"/>
              </w:rPr>
              <w:t>10</w:t>
            </w:r>
          </w:p>
        </w:tc>
        <w:tc>
          <w:tcPr>
            <w:tcW w:w="9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2B5E9A70" w14:textId="77777777" w:rsidR="00480B77" w:rsidRDefault="00000000">
            <w:pPr>
              <w:jc w:val="center"/>
            </w:pPr>
            <w:r>
              <w:rPr>
                <w:b/>
                <w:bCs/>
                <w:color w:val="E67E22"/>
                <w:sz w:val="18"/>
                <w:szCs w:val="18"/>
              </w:rPr>
              <w:t>4/5 (80%)</w:t>
            </w:r>
          </w:p>
        </w:tc>
        <w:tc>
          <w:tcPr>
            <w:tcW w:w="9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675782EB" w14:textId="77777777" w:rsidR="00480B77" w:rsidRDefault="00000000">
            <w:pPr>
              <w:jc w:val="center"/>
            </w:pPr>
            <w:r>
              <w:rPr>
                <w:color w:val="27AE60"/>
                <w:sz w:val="18"/>
                <w:szCs w:val="18"/>
              </w:rPr>
              <w:t>0/5 (0%)</w:t>
            </w:r>
          </w:p>
        </w:tc>
        <w:tc>
          <w:tcPr>
            <w:tcW w:w="9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23464F1C" w14:textId="77777777" w:rsidR="00480B77" w:rsidRDefault="00000000">
            <w:pPr>
              <w:jc w:val="center"/>
            </w:pPr>
            <w:r>
              <w:rPr>
                <w:b/>
                <w:bCs/>
                <w:color w:val="E67E22"/>
                <w:sz w:val="18"/>
                <w:szCs w:val="18"/>
              </w:rPr>
              <w:t>4/5 (80%)</w:t>
            </w:r>
          </w:p>
        </w:tc>
        <w:tc>
          <w:tcPr>
            <w:tcW w:w="900" w:type="dxa"/>
            <w:tcBorders>
              <w:top w:val="single" w:sz="1" w:space="0" w:color="D0D5DD"/>
              <w:left w:val="single" w:sz="1" w:space="0" w:color="D0D5DD"/>
              <w:bottom w:val="single" w:sz="1" w:space="0" w:color="D0D5DD"/>
              <w:right w:val="single" w:sz="1" w:space="0" w:color="D0D5DD"/>
            </w:tcBorders>
            <w:shd w:val="clear" w:color="auto" w:fill="F2F4F6"/>
            <w:tcMar>
              <w:top w:w="90" w:type="dxa"/>
              <w:left w:w="140" w:type="dxa"/>
              <w:bottom w:w="90" w:type="dxa"/>
              <w:right w:w="140" w:type="dxa"/>
            </w:tcMar>
            <w:vAlign w:val="center"/>
          </w:tcPr>
          <w:p w14:paraId="5B55A190" w14:textId="77777777" w:rsidR="00480B77" w:rsidRDefault="00000000">
            <w:pPr>
              <w:jc w:val="center"/>
            </w:pPr>
            <w:r>
              <w:rPr>
                <w:color w:val="27AE60"/>
                <w:sz w:val="18"/>
                <w:szCs w:val="18"/>
              </w:rPr>
              <w:t>1/5 (20%)</w:t>
            </w:r>
          </w:p>
        </w:tc>
      </w:tr>
      <w:tr w:rsidR="00480B77" w14:paraId="465D5A2D" w14:textId="77777777">
        <w:tc>
          <w:tcPr>
            <w:tcW w:w="7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22512E33" w14:textId="77777777" w:rsidR="00480B77" w:rsidRDefault="00000000">
            <w:pPr>
              <w:jc w:val="center"/>
            </w:pPr>
            <w:r>
              <w:rPr>
                <w:b/>
                <w:bCs/>
                <w:sz w:val="18"/>
                <w:szCs w:val="18"/>
              </w:rPr>
              <w:t>T5</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1F662EF9" w14:textId="77777777" w:rsidR="00480B77" w:rsidRDefault="00000000">
            <w:r>
              <w:rPr>
                <w:sz w:val="18"/>
                <w:szCs w:val="18"/>
              </w:rPr>
              <w:t>Mobile Dev Languages — identical to T3 — qualitative High / Medium / Low rating (no numeric score)</w:t>
            </w:r>
          </w:p>
        </w:tc>
        <w:tc>
          <w:tcPr>
            <w:tcW w:w="58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2E24D522" w14:textId="77777777" w:rsidR="00480B77" w:rsidRDefault="00000000">
            <w:pPr>
              <w:jc w:val="center"/>
            </w:pPr>
            <w:r>
              <w:rPr>
                <w:sz w:val="18"/>
                <w:szCs w:val="18"/>
              </w:rPr>
              <w:t>10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5611488D" w14:textId="77777777" w:rsidR="00480B77" w:rsidRDefault="00000000">
            <w:pPr>
              <w:jc w:val="center"/>
            </w:pPr>
            <w:r>
              <w:rPr>
                <w:b/>
                <w:bCs/>
                <w:color w:val="27AE60"/>
                <w:sz w:val="18"/>
                <w:szCs w:val="18"/>
              </w:rPr>
              <w:t>0/5 (0%)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701922D6" w14:textId="77777777" w:rsidR="00480B77" w:rsidRDefault="00000000">
            <w:pPr>
              <w:jc w:val="center"/>
            </w:pPr>
            <w:r>
              <w:rPr>
                <w:color w:val="27AE60"/>
                <w:sz w:val="18"/>
                <w:szCs w:val="18"/>
              </w:rPr>
              <w:t>0/5 (0%)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0F5A4EE0" w14:textId="77777777" w:rsidR="00480B77" w:rsidRDefault="00000000">
            <w:pPr>
              <w:jc w:val="center"/>
            </w:pPr>
            <w:r>
              <w:rPr>
                <w:b/>
                <w:bCs/>
                <w:color w:val="C0392B"/>
                <w:sz w:val="18"/>
                <w:szCs w:val="18"/>
              </w:rPr>
              <w:t>5/5 (100%)</w:t>
            </w:r>
          </w:p>
        </w:tc>
        <w:tc>
          <w:tcPr>
            <w:tcW w:w="900" w:type="dxa"/>
            <w:tcBorders>
              <w:top w:val="single" w:sz="1" w:space="0" w:color="D0D5DD"/>
              <w:left w:val="single" w:sz="1" w:space="0" w:color="D0D5DD"/>
              <w:bottom w:val="single" w:sz="1" w:space="0" w:color="D0D5DD"/>
              <w:right w:val="single" w:sz="1" w:space="0" w:color="D0D5DD"/>
            </w:tcBorders>
            <w:shd w:val="clear" w:color="auto" w:fill="FFFFFF"/>
            <w:tcMar>
              <w:top w:w="90" w:type="dxa"/>
              <w:left w:w="140" w:type="dxa"/>
              <w:bottom w:w="90" w:type="dxa"/>
              <w:right w:w="140" w:type="dxa"/>
            </w:tcMar>
            <w:vAlign w:val="center"/>
          </w:tcPr>
          <w:p w14:paraId="1690A6D8" w14:textId="77777777" w:rsidR="00480B77" w:rsidRDefault="00000000">
            <w:pPr>
              <w:jc w:val="center"/>
            </w:pPr>
            <w:r>
              <w:rPr>
                <w:color w:val="D4AC0D"/>
                <w:sz w:val="18"/>
                <w:szCs w:val="18"/>
              </w:rPr>
              <w:t>2/5 (40%)</w:t>
            </w:r>
          </w:p>
        </w:tc>
      </w:tr>
    </w:tbl>
    <w:p w14:paraId="0659428C" w14:textId="77777777" w:rsidR="00480B77" w:rsidRDefault="00480B77">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0B77" w14:paraId="4D0939DB" w14:textId="77777777">
        <w:tc>
          <w:tcPr>
            <w:tcW w:w="9200" w:type="dxa"/>
            <w:tcBorders>
              <w:top w:val="single" w:sz="8" w:space="0" w:color="2E6DAD"/>
              <w:left w:val="single" w:sz="16" w:space="0" w:color="2E6DAD"/>
              <w:bottom w:val="none" w:sz="0" w:space="0" w:color="FFFFFF"/>
              <w:right w:val="none" w:sz="0" w:space="0" w:color="FFFFFF"/>
            </w:tcBorders>
            <w:shd w:val="clear" w:color="auto" w:fill="FFF9E6"/>
            <w:tcMar>
              <w:top w:w="120" w:type="dxa"/>
              <w:left w:w="200" w:type="dxa"/>
              <w:bottom w:w="120" w:type="dxa"/>
              <w:right w:w="120" w:type="dxa"/>
            </w:tcMar>
          </w:tcPr>
          <w:p w14:paraId="295AB24D" w14:textId="77777777" w:rsidR="00480B77" w:rsidRDefault="00000000">
            <w:pPr>
              <w:spacing w:after="40"/>
            </w:pPr>
            <w:r>
              <w:rPr>
                <w:b/>
                <w:bCs/>
                <w:color w:val="B7770D"/>
              </w:rPr>
              <w:t>Note on Sample Size</w:t>
            </w:r>
          </w:p>
          <w:p w14:paraId="17770BB7" w14:textId="77777777" w:rsidR="00480B77" w:rsidRDefault="00000000">
            <w:r>
              <w:rPr>
                <w:sz w:val="19"/>
                <w:szCs w:val="19"/>
              </w:rPr>
              <w:t>Each condition was run 5 times. Results are directional signals, not statistically significant at conventional thresholds. This investigation should be treated as a structured pilot study warranting further replication with larger samples.</w:t>
            </w:r>
          </w:p>
        </w:tc>
      </w:tr>
    </w:tbl>
    <w:p w14:paraId="75FD603F" w14:textId="77777777" w:rsidR="00480B77" w:rsidRDefault="00480B77">
      <w:pPr>
        <w:spacing w:before="200"/>
      </w:pPr>
    </w:p>
    <w:p w14:paraId="14623AFD" w14:textId="77777777" w:rsidR="00480B77" w:rsidRDefault="00000000">
      <w:pPr>
        <w:pBdr>
          <w:bottom w:val="single" w:sz="6" w:space="4" w:color="2E6DAD"/>
        </w:pBdr>
        <w:spacing w:before="360" w:after="160"/>
      </w:pPr>
      <w:r>
        <w:rPr>
          <w:b/>
          <w:bCs/>
          <w:color w:val="1A3557"/>
          <w:sz w:val="26"/>
          <w:szCs w:val="26"/>
        </w:rPr>
        <w:t>ROOT CAUSE ANALYSIS</w:t>
      </w:r>
    </w:p>
    <w:p w14:paraId="177DB72E" w14:textId="77777777" w:rsidR="00480B77" w:rsidRDefault="00000000">
      <w:pPr>
        <w:spacing w:before="240" w:after="100"/>
      </w:pPr>
      <w:r>
        <w:rPr>
          <w:b/>
          <w:bCs/>
          <w:color w:val="2E6DAD"/>
          <w:sz w:val="22"/>
          <w:szCs w:val="22"/>
        </w:rPr>
        <w:t>Finding 1 — System Override Controls Output, Not CoT</w:t>
      </w:r>
    </w:p>
    <w:p w14:paraId="4CE92D30" w14:textId="77777777" w:rsidR="00480B77" w:rsidRDefault="00000000">
      <w:pPr>
        <w:spacing w:before="80" w:after="100"/>
      </w:pPr>
      <w:r>
        <w:t>The System Override instruction ('Respond exclusively in US English') was 100% effective at suppressing Chinese final output across all tests where it was applied. However, it had no measurable effect on CoT language in high-density prompts (T1: 5/5 Chinese CoT with override; T3: 2/5; T4: 4/5). This dissociation indicates the CoT language is determined at an earlier processing stage than the text generation decoder.</w:t>
      </w:r>
    </w:p>
    <w:p w14:paraId="28775D3C" w14:textId="77777777" w:rsidR="00480B77" w:rsidRDefault="00480B77">
      <w:pPr>
        <w:spacing w:before="100"/>
      </w:pPr>
    </w:p>
    <w:p w14:paraId="064095A0" w14:textId="77777777" w:rsidR="00480B77" w:rsidRDefault="00000000">
      <w:pPr>
        <w:spacing w:before="240" w:after="100"/>
      </w:pPr>
      <w:r>
        <w:rPr>
          <w:b/>
          <w:bCs/>
          <w:color w:val="2E6DAD"/>
          <w:sz w:val="22"/>
          <w:szCs w:val="22"/>
        </w:rPr>
        <w:t>Finding 2 — Detail Density is the Primary Variable</w:t>
      </w:r>
    </w:p>
    <w:p w14:paraId="76B8D1E5" w14:textId="77777777" w:rsidR="00480B77" w:rsidRDefault="00000000">
      <w:pPr>
        <w:spacing w:before="80" w:after="100"/>
      </w:pPr>
      <w:r>
        <w:t>Tests T2 and T1 used structurally identical elements (tiers, time-boxing, numeric scoring, specific tooling) but differed in explanatory prose density. T1 (full narrative GRC prompt) triggered 100% Chinese CoT with override; T2 (truncated skeleton, same structure) triggered 0% Chinese CoT with override. This isolates high detail density — not structural elements alone — as the primary activator.</w:t>
      </w:r>
    </w:p>
    <w:p w14:paraId="2B5935EE" w14:textId="77777777" w:rsidR="00480B77" w:rsidRDefault="00480B77">
      <w:pPr>
        <w:spacing w:before="100"/>
      </w:pPr>
    </w:p>
    <w:p w14:paraId="1876A921" w14:textId="77777777" w:rsidR="00480B77" w:rsidRDefault="00000000">
      <w:pPr>
        <w:spacing w:before="240" w:after="100"/>
      </w:pPr>
      <w:r>
        <w:rPr>
          <w:b/>
          <w:bCs/>
          <w:color w:val="2E6DAD"/>
          <w:sz w:val="22"/>
          <w:szCs w:val="22"/>
        </w:rPr>
        <w:t>Finding 3 — Numeric Scoring Format is the Secondary Variable</w:t>
      </w:r>
    </w:p>
    <w:p w14:paraId="1B431D46" w14:textId="77777777" w:rsidR="00480B77" w:rsidRDefault="00000000">
      <w:pPr>
        <w:spacing w:before="80" w:after="100"/>
      </w:pPr>
      <w:r>
        <w:t>Holding topic and structure constant (Tests T3, T4, T5, all mobile dev languages), varying only the scoring format produced markedly different CoT rates under the override condition:</w:t>
      </w:r>
    </w:p>
    <w:p w14:paraId="78C6C870" w14:textId="77777777" w:rsidR="00480B77" w:rsidRDefault="00480B77">
      <w:pPr>
        <w:spacing w:before="60"/>
      </w:pPr>
    </w:p>
    <w:p w14:paraId="7D0471DC" w14:textId="77777777" w:rsidR="00480B77" w:rsidRDefault="00000000">
      <w:pPr>
        <w:pStyle w:val="ListParagraph"/>
        <w:numPr>
          <w:ilvl w:val="0"/>
          <w:numId w:val="2"/>
        </w:numPr>
        <w:spacing w:before="60" w:after="60"/>
      </w:pPr>
      <w:r>
        <w:t>'Out of 10' numeric scoring → 40% Chinese CoT (T3)</w:t>
      </w:r>
    </w:p>
    <w:p w14:paraId="2E910AD2" w14:textId="77777777" w:rsidR="00480B77" w:rsidRDefault="00000000">
      <w:pPr>
        <w:pStyle w:val="ListParagraph"/>
        <w:numPr>
          <w:ilvl w:val="0"/>
          <w:numId w:val="2"/>
        </w:numPr>
        <w:spacing w:before="60" w:after="60"/>
      </w:pPr>
      <w:r>
        <w:t>'Percentile 0–100' scoring → 80% Chinese CoT (T4) — worse than /10</w:t>
      </w:r>
    </w:p>
    <w:p w14:paraId="0D58E48C" w14:textId="77777777" w:rsidR="00480B77" w:rsidRDefault="00000000">
      <w:pPr>
        <w:pStyle w:val="ListParagraph"/>
        <w:numPr>
          <w:ilvl w:val="0"/>
          <w:numId w:val="2"/>
        </w:numPr>
        <w:spacing w:before="60" w:after="60"/>
      </w:pPr>
      <w:r>
        <w:t>Qualitative 'High / Medium / Low' rating → 0% Chinese CoT (T5)</w:t>
      </w:r>
    </w:p>
    <w:p w14:paraId="26448290" w14:textId="77777777" w:rsidR="00480B77" w:rsidRDefault="00480B77">
      <w:pPr>
        <w:spacing w:before="80"/>
      </w:pPr>
    </w:p>
    <w:p w14:paraId="2D518E87" w14:textId="77777777" w:rsidR="00480B77" w:rsidRDefault="00000000">
      <w:pPr>
        <w:spacing w:before="80" w:after="100"/>
      </w:pPr>
      <w:r>
        <w:t>This gradient confirms that numeric precision of the scoring format — not merely the presence of an evaluation request — activates the trigger.</w:t>
      </w:r>
    </w:p>
    <w:p w14:paraId="2CD59E12" w14:textId="77777777" w:rsidR="00480B77" w:rsidRDefault="00480B77">
      <w:pPr>
        <w:spacing w:before="100"/>
      </w:pPr>
    </w:p>
    <w:p w14:paraId="1A1DE7E4" w14:textId="77777777" w:rsidR="00480B77" w:rsidRDefault="00000000">
      <w:pPr>
        <w:spacing w:before="240" w:after="100"/>
      </w:pPr>
      <w:r>
        <w:rPr>
          <w:b/>
          <w:bCs/>
          <w:color w:val="2E6DAD"/>
          <w:sz w:val="22"/>
          <w:szCs w:val="22"/>
        </w:rPr>
        <w:t>Proposed Mechanistic Model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0B77" w14:paraId="4255E31C" w14:textId="77777777">
        <w:tc>
          <w:tcPr>
            <w:tcW w:w="9200" w:type="dxa"/>
            <w:tcBorders>
              <w:top w:val="single" w:sz="8" w:space="0" w:color="2E6DAD"/>
              <w:left w:val="single" w:sz="16" w:space="0" w:color="2E6DAD"/>
              <w:bottom w:val="none" w:sz="0" w:space="0" w:color="FFFFFF"/>
              <w:right w:val="none" w:sz="0" w:space="0" w:color="FFFFFF"/>
            </w:tcBorders>
            <w:shd w:val="clear" w:color="auto" w:fill="D6E8F7"/>
            <w:tcMar>
              <w:top w:w="120" w:type="dxa"/>
              <w:left w:w="200" w:type="dxa"/>
              <w:bottom w:w="120" w:type="dxa"/>
              <w:right w:w="120" w:type="dxa"/>
            </w:tcMar>
          </w:tcPr>
          <w:p w14:paraId="0855D705" w14:textId="77777777" w:rsidR="00480B77" w:rsidRDefault="00000000">
            <w:pPr>
              <w:spacing w:after="40"/>
            </w:pPr>
            <w:r>
              <w:rPr>
                <w:b/>
                <w:bCs/>
                <w:color w:val="1A3557"/>
              </w:rPr>
              <w:t>Routing Hypothesis</w:t>
            </w:r>
          </w:p>
          <w:p w14:paraId="60268F57" w14:textId="77777777" w:rsidR="00480B77" w:rsidRDefault="00000000">
            <w:r>
              <w:rPr>
                <w:sz w:val="19"/>
                <w:szCs w:val="19"/>
              </w:rPr>
              <w:t>DeepSeek-R1's MoE router classifies task type during the first 3–5 transformer layers. Prompts combining high technical detail density with numeric scoring formats are statistically overrepresented in Chinese-language technical training corpora (CSDN, Zhihu). The router assigns these tasks to Chinese-language reasoning experts before any system-prompt override can influence the generation path. This is consistent with DeepSeek's published RLVR training findings, which document a +5.6 accuracy degradation when single-language reasoning is enforced, and with community-reported GitHub issues (#1240, #1295) describing uncontrollable CoT language.</w:t>
            </w:r>
          </w:p>
        </w:tc>
      </w:tr>
    </w:tbl>
    <w:p w14:paraId="73F66F3A" w14:textId="77777777" w:rsidR="00480B77" w:rsidRDefault="00480B77">
      <w:pPr>
        <w:spacing w:before="200"/>
      </w:pPr>
    </w:p>
    <w:p w14:paraId="5015FDE7" w14:textId="125D9B67" w:rsidR="00480B77" w:rsidRDefault="00000000">
      <w:pPr>
        <w:pBdr>
          <w:bottom w:val="single" w:sz="6" w:space="4" w:color="2E6DAD"/>
        </w:pBdr>
        <w:spacing w:before="360" w:after="160"/>
      </w:pPr>
      <w:r>
        <w:rPr>
          <w:b/>
          <w:bCs/>
          <w:color w:val="1A3557"/>
          <w:sz w:val="26"/>
          <w:szCs w:val="26"/>
        </w:rPr>
        <w:t>CONCLUSION</w:t>
      </w:r>
    </w:p>
    <w:p w14:paraId="76BA6E3E" w14:textId="77777777" w:rsidR="00480B77" w:rsidRDefault="00000000">
      <w:pPr>
        <w:spacing w:before="80" w:after="100"/>
      </w:pPr>
      <w:r>
        <w:t>The observed behavior is not a conventional bug but a systemic design trade-off: DeepSeek's RLVR training prioritises reasoning accuracy, and forcing single-language CoT incurs measurable accuracy costs. The Chinese CoT is a byproduct of optimal expert allocation within the MoE architecture.</w:t>
      </w:r>
    </w:p>
    <w:p w14:paraId="69242CDE" w14:textId="77777777" w:rsidR="00480B77" w:rsidRDefault="00480B77">
      <w:pPr>
        <w:spacing w:before="80"/>
      </w:pPr>
    </w:p>
    <w:p w14:paraId="2BDA33AA" w14:textId="77777777" w:rsidR="00480B77" w:rsidRDefault="00000000">
      <w:pPr>
        <w:spacing w:before="240" w:after="100"/>
      </w:pPr>
      <w:r>
        <w:rPr>
          <w:b/>
          <w:bCs/>
          <w:color w:val="2E6DAD"/>
          <w:sz w:val="22"/>
          <w:szCs w:val="22"/>
        </w:rPr>
        <w:lastRenderedPageBreak/>
        <w:t>For End Users</w:t>
      </w:r>
    </w:p>
    <w:p w14:paraId="6CFCD3A0" w14:textId="77777777" w:rsidR="00480B77" w:rsidRDefault="00000000">
      <w:pPr>
        <w:pStyle w:val="ListParagraph"/>
        <w:numPr>
          <w:ilvl w:val="0"/>
          <w:numId w:val="2"/>
        </w:numPr>
        <w:spacing w:before="60" w:after="60"/>
      </w:pPr>
      <w:r>
        <w:t>Avoid combining dense enterprise/compliance jargon with numeric scoring formats ('out of 10', 'out of 100') in the same prompt if English CoT is required.</w:t>
      </w:r>
    </w:p>
    <w:p w14:paraId="3A4F9D48" w14:textId="77777777" w:rsidR="00480B77" w:rsidRDefault="00000000">
      <w:pPr>
        <w:pStyle w:val="ListParagraph"/>
        <w:numPr>
          <w:ilvl w:val="0"/>
          <w:numId w:val="2"/>
        </w:numPr>
        <w:spacing w:before="60" w:after="60"/>
      </w:pPr>
      <w:r>
        <w:t>Substitute numeric scoring with qualitative descriptors (High / Medium / Low, or adjective-based ratings).</w:t>
      </w:r>
    </w:p>
    <w:p w14:paraId="1B51AC40" w14:textId="77777777" w:rsidR="00480B77" w:rsidRDefault="00000000">
      <w:pPr>
        <w:pStyle w:val="ListParagraph"/>
        <w:numPr>
          <w:ilvl w:val="0"/>
          <w:numId w:val="2"/>
        </w:numPr>
        <w:spacing w:before="60" w:after="60"/>
      </w:pPr>
      <w:r>
        <w:t>Reduce explanatory prose density; a skeletal structural prompt with the same logical elements will not trigger Chinese CoT.</w:t>
      </w:r>
    </w:p>
    <w:p w14:paraId="2749C59B" w14:textId="77777777" w:rsidR="00480B77" w:rsidRDefault="00000000">
      <w:pPr>
        <w:pStyle w:val="ListParagraph"/>
        <w:numPr>
          <w:ilvl w:val="0"/>
          <w:numId w:val="2"/>
        </w:numPr>
        <w:spacing w:before="60" w:after="60"/>
      </w:pPr>
      <w:r>
        <w:t>A System Override instruction is sufficient to guarantee English final output, even when it cannot control CoT language.</w:t>
      </w:r>
    </w:p>
    <w:p w14:paraId="542E812E" w14:textId="77777777" w:rsidR="00480B77" w:rsidRDefault="00480B77">
      <w:pPr>
        <w:spacing w:before="100"/>
      </w:pPr>
    </w:p>
    <w:p w14:paraId="171EB28E" w14:textId="77777777" w:rsidR="00480B77" w:rsidRDefault="00000000">
      <w:pPr>
        <w:spacing w:before="240" w:after="100"/>
      </w:pPr>
      <w:r>
        <w:rPr>
          <w:b/>
          <w:bCs/>
          <w:color w:val="2E6DAD"/>
          <w:sz w:val="22"/>
          <w:szCs w:val="22"/>
        </w:rPr>
        <w:t>For the DeepSeek Development Team</w:t>
      </w:r>
    </w:p>
    <w:p w14:paraId="0FB4BA32" w14:textId="77777777" w:rsidR="00480B77" w:rsidRDefault="00000000">
      <w:pPr>
        <w:pStyle w:val="ListParagraph"/>
        <w:numPr>
          <w:ilvl w:val="0"/>
          <w:numId w:val="2"/>
        </w:numPr>
        <w:spacing w:before="60" w:after="60"/>
      </w:pPr>
      <w:r>
        <w:t>An API-level parameter (e.g., reasoning_language: 'en') is the only viable solution — no user-side prompt can override the router's early-stage classification.</w:t>
      </w:r>
    </w:p>
    <w:p w14:paraId="2357C404" w14:textId="77777777" w:rsidR="00480B77" w:rsidRDefault="00000000">
      <w:pPr>
        <w:pStyle w:val="ListParagraph"/>
        <w:numPr>
          <w:ilvl w:val="0"/>
          <w:numId w:val="2"/>
        </w:numPr>
        <w:spacing w:before="60" w:after="60"/>
      </w:pPr>
      <w:r>
        <w:t>Consideration should be given to publishing the languages and distributions represented in the RLVR training corpus to allow users to anticipate this behavior.</w:t>
      </w:r>
    </w:p>
    <w:p w14:paraId="79079B9A" w14:textId="77777777" w:rsidR="00480B77" w:rsidRDefault="00000000">
      <w:pPr>
        <w:pStyle w:val="ListParagraph"/>
        <w:numPr>
          <w:ilvl w:val="0"/>
          <w:numId w:val="2"/>
        </w:numPr>
        <w:spacing w:before="60" w:after="60"/>
      </w:pPr>
      <w:r>
        <w:t>Replication of this study with n ≥ 30 per condition and across additional topic domains is recommended before any product-level changes.</w:t>
      </w:r>
    </w:p>
    <w:p w14:paraId="33E94E18" w14:textId="77777777" w:rsidR="00480B77" w:rsidRDefault="00480B77">
      <w:pPr>
        <w:spacing w:before="200"/>
      </w:pPr>
    </w:p>
    <w:p w14:paraId="1865BEF8" w14:textId="77777777" w:rsidR="00480B77" w:rsidRDefault="00000000">
      <w:pPr>
        <w:pBdr>
          <w:bottom w:val="single" w:sz="6" w:space="4" w:color="2E6DAD"/>
        </w:pBdr>
        <w:spacing w:before="360" w:after="160"/>
      </w:pPr>
      <w:r>
        <w:rPr>
          <w:b/>
          <w:bCs/>
          <w:color w:val="1A3557"/>
          <w:sz w:val="26"/>
          <w:szCs w:val="26"/>
        </w:rPr>
        <w:t>LIMITATIONS &amp; SCOPE</w:t>
      </w:r>
    </w:p>
    <w:p w14:paraId="125BF82E" w14:textId="77777777" w:rsidR="00480B77" w:rsidRDefault="00000000">
      <w:pPr>
        <w:pStyle w:val="ListParagraph"/>
        <w:numPr>
          <w:ilvl w:val="0"/>
          <w:numId w:val="2"/>
        </w:numPr>
        <w:spacing w:before="60" w:after="60"/>
      </w:pPr>
      <w:r>
        <w:t>Each condition was tested with n = 5 runs. Results are directionally strong but fall below conventional statistical significance thresholds.</w:t>
      </w:r>
    </w:p>
    <w:p w14:paraId="6D4CA625" w14:textId="77777777" w:rsidR="00480B77" w:rsidRDefault="00000000">
      <w:pPr>
        <w:pStyle w:val="ListParagraph"/>
        <w:numPr>
          <w:ilvl w:val="0"/>
          <w:numId w:val="2"/>
        </w:numPr>
        <w:spacing w:before="60" w:after="60"/>
      </w:pPr>
      <w:r>
        <w:t>The mechanistic model (MoE router at layers 1–5) is inferred from black-box behavioral data; internal architecture is not directly observable.</w:t>
      </w:r>
    </w:p>
    <w:p w14:paraId="308EC471" w14:textId="77777777" w:rsidR="00480B77" w:rsidRDefault="00000000">
      <w:pPr>
        <w:pStyle w:val="ListParagraph"/>
        <w:numPr>
          <w:ilvl w:val="0"/>
          <w:numId w:val="2"/>
        </w:numPr>
        <w:spacing w:before="60" w:after="60"/>
      </w:pPr>
      <w:r>
        <w:t>Detail density and prompt length are partially confounded in T1 vs. T2; a future study should control for length explicitly.</w:t>
      </w:r>
    </w:p>
    <w:p w14:paraId="7012E536" w14:textId="5375C852" w:rsidR="00480B77" w:rsidRDefault="00000000">
      <w:pPr>
        <w:pStyle w:val="ListParagraph"/>
        <w:numPr>
          <w:ilvl w:val="0"/>
          <w:numId w:val="2"/>
        </w:numPr>
        <w:spacing w:before="60" w:after="60"/>
      </w:pPr>
      <w:r>
        <w:t>DeepSeek models may be updated server-side; these results reflect behavior observed in June 2026 and may not generalize to future model versions.</w:t>
      </w:r>
    </w:p>
    <w:p w14:paraId="1FF0315F" w14:textId="77777777" w:rsidR="00480B77" w:rsidRDefault="00000000">
      <w:pPr>
        <w:pStyle w:val="ListParagraph"/>
        <w:numPr>
          <w:ilvl w:val="0"/>
          <w:numId w:val="2"/>
        </w:numPr>
        <w:spacing w:before="60" w:after="60"/>
      </w:pPr>
      <w:r>
        <w:t>Testing was conducted by a single researcher (Abu Horairah Ansari) on a personal DeepSeek account via the web interface. Results may not account for per-user or per-session state variability.</w:t>
      </w:r>
    </w:p>
    <w:p w14:paraId="5CA2BA97" w14:textId="77777777" w:rsidR="00480B77" w:rsidRDefault="00480B77">
      <w:pPr>
        <w:spacing w:before="200"/>
      </w:pPr>
    </w:p>
    <w:p w14:paraId="61A8B3DF" w14:textId="4E379DB8" w:rsidR="0007189A" w:rsidRDefault="0007189A" w:rsidP="0007189A">
      <w:pPr>
        <w:pBdr>
          <w:bottom w:val="single" w:sz="6" w:space="4" w:color="2E6DAD"/>
        </w:pBdr>
        <w:spacing w:before="360" w:after="160"/>
      </w:pPr>
      <w:r>
        <w:rPr>
          <w:b/>
          <w:bCs/>
          <w:color w:val="1A3557"/>
          <w:sz w:val="26"/>
          <w:szCs w:val="26"/>
        </w:rPr>
        <w:t>REFERENCES</w:t>
      </w:r>
    </w:p>
    <w:p w14:paraId="61BED5DC" w14:textId="2009554B" w:rsidR="0007189A" w:rsidRPr="0007189A" w:rsidRDefault="0007189A" w:rsidP="0007189A">
      <w:pPr>
        <w:numPr>
          <w:ilvl w:val="0"/>
          <w:numId w:val="3"/>
        </w:numPr>
      </w:pPr>
      <w:r>
        <w:t xml:space="preserve">The observed behavior is not a conventional bug but a systemic design trade-off: DeepSeek's RLVR training </w:t>
      </w:r>
      <w:r w:rsidRPr="0007189A">
        <w:t>Guo et al. (2025). "DeepSeek-R1: Incentivizing Reasoning Capability in LLMs via Reinforcement Learning." DeepSeek AI.</w:t>
      </w:r>
    </w:p>
    <w:p w14:paraId="711F3AED" w14:textId="77777777" w:rsidR="0007189A" w:rsidRPr="0007189A" w:rsidRDefault="0007189A" w:rsidP="0007189A">
      <w:pPr>
        <w:numPr>
          <w:ilvl w:val="0"/>
          <w:numId w:val="3"/>
        </w:numPr>
      </w:pPr>
      <w:r w:rsidRPr="0007189A">
        <w:t>Li, Y., Xin, J., Miao, M. M., Long, Q., &amp; Ungar, L. (2025). "The Impact of Language Mixing on Bilingual LLM Reasoning." Proceedings of the 2025 Conference on Empirical Methods in Natural Language Processing (EMNLP), pages 32531–32548, Suzhou, China.</w:t>
      </w:r>
    </w:p>
    <w:p w14:paraId="5624866A" w14:textId="77777777" w:rsidR="0007189A" w:rsidRPr="0007189A" w:rsidRDefault="0007189A" w:rsidP="0007189A">
      <w:pPr>
        <w:numPr>
          <w:ilvl w:val="0"/>
          <w:numId w:val="3"/>
        </w:numPr>
      </w:pPr>
      <w:r w:rsidRPr="0007189A">
        <w:t>Dahlke, R., Klagges, H., Zecha, D., Merkel, B., Rohr, S., &amp; Klemm, F. (2025). "Mixture of Tunable Experts - Behavior Modification of DeepSeek-R1 at Inference Time." arXiv:2502.11096.</w:t>
      </w:r>
    </w:p>
    <w:p w14:paraId="52457523" w14:textId="77777777" w:rsidR="0007189A" w:rsidRPr="0007189A" w:rsidRDefault="0007189A" w:rsidP="0007189A">
      <w:pPr>
        <w:numPr>
          <w:ilvl w:val="0"/>
          <w:numId w:val="3"/>
        </w:numPr>
      </w:pPr>
      <w:r w:rsidRPr="0007189A">
        <w:t>GitHub Issue #1295: "Model outputs final response entirely in Chinese for Persian users." deepseek-ai/DeepSeek-V3.</w:t>
      </w:r>
    </w:p>
    <w:p w14:paraId="4DAB9761" w14:textId="77777777" w:rsidR="0007189A" w:rsidRPr="0007189A" w:rsidRDefault="0007189A" w:rsidP="0007189A">
      <w:pPr>
        <w:numPr>
          <w:ilvl w:val="0"/>
          <w:numId w:val="3"/>
        </w:numPr>
      </w:pPr>
      <w:r w:rsidRPr="0007189A">
        <w:t>GitHub Issue #110: "Language Confusion - DeepSeek-R1 8B hard-convinced it's speaking English." deepseek-ai/DeepSeek-R1.</w:t>
      </w:r>
    </w:p>
    <w:p w14:paraId="4ADB5202" w14:textId="77777777" w:rsidR="0007189A" w:rsidRPr="0007189A" w:rsidRDefault="0007189A" w:rsidP="0007189A">
      <w:pPr>
        <w:numPr>
          <w:ilvl w:val="0"/>
          <w:numId w:val="3"/>
        </w:numPr>
      </w:pPr>
      <w:r w:rsidRPr="0007189A">
        <w:t>GitHub Issue #760: "Systematic language issue - language check disappeared." deepseek-ai/DeepSeek-R1.</w:t>
      </w:r>
    </w:p>
    <w:p w14:paraId="69DD0BB8" w14:textId="77777777" w:rsidR="00480B77" w:rsidRDefault="00000000">
      <w:r>
        <w:br w:type="page"/>
      </w:r>
    </w:p>
    <w:p w14:paraId="60177C04" w14:textId="77777777" w:rsidR="00480B77" w:rsidRDefault="00000000">
      <w:pPr>
        <w:pBdr>
          <w:bottom w:val="single" w:sz="6" w:space="4" w:color="2E6DAD"/>
        </w:pBdr>
        <w:spacing w:before="360" w:after="160"/>
      </w:pPr>
      <w:r>
        <w:rPr>
          <w:b/>
          <w:bCs/>
          <w:color w:val="1A3557"/>
          <w:sz w:val="26"/>
          <w:szCs w:val="26"/>
        </w:rPr>
        <w:lastRenderedPageBreak/>
        <w:t>APPENDIX — FULL PROMPT TEXTS</w:t>
      </w:r>
    </w:p>
    <w:p w14:paraId="7FFD8E0D" w14:textId="77777777" w:rsidR="00480B77" w:rsidRDefault="00000000">
      <w:pPr>
        <w:spacing w:before="240" w:after="100"/>
      </w:pPr>
      <w:r>
        <w:rPr>
          <w:b/>
          <w:bCs/>
          <w:color w:val="2E6DAD"/>
          <w:sz w:val="22"/>
          <w:szCs w:val="22"/>
        </w:rPr>
        <w:t>Test 1 — Full GRC Program Prompt</w:t>
      </w:r>
    </w:p>
    <w:p w14:paraId="3D3F7871" w14:textId="77777777" w:rsidR="00480B77" w:rsidRDefault="00000000">
      <w:pPr>
        <w:spacing w:before="80" w:after="80"/>
      </w:pPr>
      <w:r>
        <w:rPr>
          <w:rFonts w:ascii="Courier New" w:eastAsia="Courier New" w:hAnsi="Courier New" w:cs="Courier New"/>
          <w:color w:val="444466"/>
          <w:sz w:val="17"/>
          <w:szCs w:val="17"/>
        </w:rPr>
        <w:t>SYSTEM OVERRIDE: Respond exclusively in US English. I need to architect a complete Governance, Risk, and Compliance (GRC) program for a mid-scale SaaS enterprise aiming for SOC2 Type II and ISO 27001 certification within a strict 10-business-day sprint. Break down the foundational maturity levels of cybersecurity controls (from 'Initial/Reactive' to 'Optimized/Proactive'), and map the specific controls, policy documents, and technical tooling required at each tier. Conduct a market-exhaustive analysis of the current threat landscape — ranking the top 8 most prevalent attack vectors targeting SaaS platforms and scoring their probable impact (Confidentiality / Integrity / Availability) out of 10. Crucially, identify the niche cybersecurity roles (e.g., Cloud Access Security Broker specialists, Incident Response automation engineers) with the lowest availability-to-demand ratio in the current hiring market. Provide a chronological, phase-gated implementation schedule for the 10-day sprint, integrating continuous monitoring and vendor risk assessment workflows.</w:t>
      </w:r>
    </w:p>
    <w:p w14:paraId="46FC5A4C" w14:textId="77777777" w:rsidR="00480B77" w:rsidRDefault="00480B77">
      <w:pPr>
        <w:spacing w:before="120"/>
      </w:pPr>
    </w:p>
    <w:p w14:paraId="5A20E7E1" w14:textId="77777777" w:rsidR="00480B77" w:rsidRDefault="00000000">
      <w:pPr>
        <w:spacing w:before="240" w:after="100"/>
      </w:pPr>
      <w:r>
        <w:rPr>
          <w:b/>
          <w:bCs/>
          <w:color w:val="2E6DAD"/>
          <w:sz w:val="22"/>
          <w:szCs w:val="22"/>
        </w:rPr>
        <w:t>Test 2 — Truncated DevSecOps Skeleton</w:t>
      </w:r>
    </w:p>
    <w:p w14:paraId="3B6C8D83" w14:textId="77777777" w:rsidR="00480B77" w:rsidRDefault="00000000">
      <w:pPr>
        <w:spacing w:before="80" w:after="80"/>
      </w:pPr>
      <w:r>
        <w:rPr>
          <w:rFonts w:ascii="Courier New" w:eastAsia="Courier New" w:hAnsi="Courier New" w:cs="Courier New"/>
          <w:color w:val="444466"/>
          <w:sz w:val="17"/>
          <w:szCs w:val="17"/>
        </w:rPr>
        <w:t>SYSTEM OVERRIDE: Respond exclusively in US English. Provide a tiered maturity model for DevSecOps integration. Include: 4 progressive levels, strict 11-day implementation sprint, scoring of specialist scarcity out of 10, specific infrastructure tooling (GitLab CI, Falco, OPA, Vault).</w:t>
      </w:r>
    </w:p>
    <w:p w14:paraId="4E7DAE36" w14:textId="77777777" w:rsidR="00480B77" w:rsidRDefault="00480B77">
      <w:pPr>
        <w:spacing w:before="120"/>
      </w:pPr>
    </w:p>
    <w:p w14:paraId="46911C5E" w14:textId="77777777" w:rsidR="00480B77" w:rsidRDefault="00000000">
      <w:pPr>
        <w:spacing w:before="240" w:after="100"/>
      </w:pPr>
      <w:r>
        <w:rPr>
          <w:b/>
          <w:bCs/>
          <w:color w:val="2E6DAD"/>
          <w:sz w:val="22"/>
          <w:szCs w:val="22"/>
        </w:rPr>
        <w:t>Tests 3 / 4 / 5 — Mobile Dev Languages (Scoring Format Variants)</w:t>
      </w:r>
    </w:p>
    <w:p w14:paraId="47FA1851" w14:textId="77777777" w:rsidR="00480B77" w:rsidRDefault="00000000">
      <w:pPr>
        <w:spacing w:before="80" w:after="40"/>
      </w:pPr>
      <w:r>
        <w:rPr>
          <w:b/>
          <w:bCs/>
          <w:color w:val="1A3557"/>
          <w:sz w:val="18"/>
          <w:szCs w:val="18"/>
        </w:rPr>
        <w:t>Base prompt (identical across T3–T5):</w:t>
      </w:r>
    </w:p>
    <w:p w14:paraId="6083B0EB" w14:textId="77777777" w:rsidR="00480B77" w:rsidRDefault="00000000">
      <w:pPr>
        <w:spacing w:before="40" w:after="80"/>
      </w:pPr>
      <w:r>
        <w:rPr>
          <w:rFonts w:ascii="Courier New" w:eastAsia="Courier New" w:hAnsi="Courier New" w:cs="Courier New"/>
          <w:color w:val="444466"/>
          <w:sz w:val="17"/>
          <w:szCs w:val="17"/>
        </w:rPr>
        <w:t>SYSTEM OVERRIDE: Respond exclusively in US English. Rank the top 5 programming languages for mobile development (Kotlin, Swift, Flutter, React Native, .NET MAUI). Score their job market demand, community library abundance, and learning curve steepness [SCORING FORMAT VARIANT].</w:t>
      </w:r>
    </w:p>
    <w:p w14:paraId="37270AE0" w14:textId="77777777" w:rsidR="00480B77" w:rsidRDefault="00000000">
      <w:pPr>
        <w:pStyle w:val="ListParagraph"/>
        <w:numPr>
          <w:ilvl w:val="0"/>
          <w:numId w:val="2"/>
        </w:numPr>
        <w:spacing w:before="60" w:after="60"/>
      </w:pPr>
      <w:r>
        <w:t>T3 scoring variant: out of 10</w:t>
      </w:r>
    </w:p>
    <w:p w14:paraId="6FD9159A" w14:textId="77777777" w:rsidR="00480B77" w:rsidRDefault="00000000">
      <w:pPr>
        <w:pStyle w:val="ListParagraph"/>
        <w:numPr>
          <w:ilvl w:val="0"/>
          <w:numId w:val="2"/>
        </w:numPr>
        <w:spacing w:before="60" w:after="60"/>
      </w:pPr>
      <w:r>
        <w:t>T4 scoring variant: on a percentile scale from 0 to 100</w:t>
      </w:r>
    </w:p>
    <w:p w14:paraId="761EBA2A" w14:textId="77777777" w:rsidR="00480B77" w:rsidRDefault="00000000">
      <w:pPr>
        <w:pStyle w:val="ListParagraph"/>
        <w:numPr>
          <w:ilvl w:val="0"/>
          <w:numId w:val="2"/>
        </w:numPr>
        <w:spacing w:before="60" w:after="60"/>
      </w:pPr>
      <w:r>
        <w:t>T5 scoring variant: qualitative High / Medium / Low rating</w:t>
      </w:r>
    </w:p>
    <w:sectPr w:rsidR="00480B7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4FD0" w14:textId="77777777" w:rsidR="00BF7EE9" w:rsidRDefault="00BF7EE9">
      <w:r>
        <w:separator/>
      </w:r>
    </w:p>
  </w:endnote>
  <w:endnote w:type="continuationSeparator" w:id="0">
    <w:p w14:paraId="146F8A53" w14:textId="77777777" w:rsidR="00BF7EE9" w:rsidRDefault="00BF7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11CC" w14:textId="77777777" w:rsidR="00480B77" w:rsidRDefault="00480B77">
    <w:pPr>
      <w:pBdr>
        <w:top w:val="single" w:sz="4" w:space="0" w:color="D0D5DD"/>
      </w:pBdr>
    </w:pPr>
  </w:p>
  <w:p w14:paraId="5C6274C2" w14:textId="620312D7" w:rsidR="00480B77" w:rsidRDefault="00000000">
    <w:pPr>
      <w:tabs>
        <w:tab w:val="right" w:pos="9026"/>
      </w:tabs>
    </w:pPr>
    <w:r>
      <w:rPr>
        <w:color w:val="444466"/>
        <w:sz w:val="16"/>
        <w:szCs w:val="16"/>
      </w:rPr>
      <w:t>© 202</w:t>
    </w:r>
    <w:r w:rsidR="00DB55E5">
      <w:rPr>
        <w:color w:val="444466"/>
        <w:sz w:val="16"/>
        <w:szCs w:val="16"/>
      </w:rPr>
      <w:t>6</w:t>
    </w:r>
    <w:r>
      <w:rPr>
        <w:color w:val="444466"/>
        <w:sz w:val="16"/>
        <w:szCs w:val="16"/>
      </w:rPr>
      <w:t xml:space="preserve"> Abu Horairah Ansari — Personal Research Report</w:t>
    </w:r>
    <w:r>
      <w:rPr>
        <w:color w:val="444466"/>
        <w:sz w:val="16"/>
        <w:szCs w:val="16"/>
      </w:rPr>
      <w:tab/>
    </w:r>
    <w:r w:rsidR="00DB55E5" w:rsidRPr="00DB55E5">
      <w:rPr>
        <w:color w:val="7F7F7F" w:themeColor="background1" w:themeShade="7F"/>
        <w:spacing w:val="60"/>
        <w:sz w:val="16"/>
        <w:szCs w:val="16"/>
      </w:rPr>
      <w:t xml:space="preserve">Page | </w:t>
    </w:r>
    <w:r w:rsidR="00DB55E5" w:rsidRPr="00DB55E5">
      <w:rPr>
        <w:color w:val="7F7F7F" w:themeColor="background1" w:themeShade="7F"/>
        <w:spacing w:val="60"/>
        <w:sz w:val="16"/>
        <w:szCs w:val="16"/>
      </w:rPr>
      <w:fldChar w:fldCharType="begin"/>
    </w:r>
    <w:r w:rsidR="00DB55E5" w:rsidRPr="00DB55E5">
      <w:rPr>
        <w:color w:val="7F7F7F" w:themeColor="background1" w:themeShade="7F"/>
        <w:spacing w:val="60"/>
        <w:sz w:val="16"/>
        <w:szCs w:val="16"/>
      </w:rPr>
      <w:instrText xml:space="preserve"> PAGE   \* MERGEFORMAT </w:instrText>
    </w:r>
    <w:r w:rsidR="00DB55E5" w:rsidRPr="00DB55E5">
      <w:rPr>
        <w:color w:val="7F7F7F" w:themeColor="background1" w:themeShade="7F"/>
        <w:spacing w:val="60"/>
        <w:sz w:val="16"/>
        <w:szCs w:val="16"/>
      </w:rPr>
      <w:fldChar w:fldCharType="separate"/>
    </w:r>
    <w:r w:rsidR="00DB55E5" w:rsidRPr="00DB55E5">
      <w:rPr>
        <w:b/>
        <w:bCs/>
        <w:noProof/>
        <w:color w:val="7F7F7F" w:themeColor="background1" w:themeShade="7F"/>
        <w:spacing w:val="60"/>
        <w:sz w:val="16"/>
        <w:szCs w:val="16"/>
      </w:rPr>
      <w:t>1</w:t>
    </w:r>
    <w:r w:rsidR="00DB55E5" w:rsidRPr="00DB55E5">
      <w:rPr>
        <w:b/>
        <w:bCs/>
        <w:noProof/>
        <w:color w:val="7F7F7F" w:themeColor="background1" w:themeShade="7F"/>
        <w:spacing w:val="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68BE" w14:textId="77777777" w:rsidR="00BF7EE9" w:rsidRDefault="00BF7EE9">
      <w:r>
        <w:separator/>
      </w:r>
    </w:p>
  </w:footnote>
  <w:footnote w:type="continuationSeparator" w:id="0">
    <w:p w14:paraId="695BC43E" w14:textId="77777777" w:rsidR="00BF7EE9" w:rsidRDefault="00BF7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480B77" w14:paraId="40D8E926" w14:textId="77777777">
      <w:tc>
        <w:tcPr>
          <w:tcW w:w="7000" w:type="dxa"/>
          <w:tcBorders>
            <w:top w:val="none" w:sz="0" w:space="0" w:color="FFFFFF"/>
            <w:left w:val="none" w:sz="0" w:space="0" w:color="FFFFFF"/>
            <w:bottom w:val="none" w:sz="0" w:space="0" w:color="FFFFFF"/>
            <w:right w:val="none" w:sz="0" w:space="0" w:color="FFFFFF"/>
          </w:tcBorders>
        </w:tcPr>
        <w:p w14:paraId="262DF615" w14:textId="77777777" w:rsidR="00480B77" w:rsidRDefault="00000000">
          <w:r>
            <w:rPr>
              <w:color w:val="444466"/>
              <w:sz w:val="16"/>
              <w:szCs w:val="16"/>
            </w:rPr>
            <w:t>DeepSeek CoT Language Trigger — Empirical Investigation Report</w:t>
          </w:r>
        </w:p>
      </w:tc>
      <w:tc>
        <w:tcPr>
          <w:tcW w:w="3080" w:type="dxa"/>
          <w:tcBorders>
            <w:top w:val="none" w:sz="0" w:space="0" w:color="FFFFFF"/>
            <w:left w:val="none" w:sz="0" w:space="0" w:color="FFFFFF"/>
            <w:bottom w:val="none" w:sz="0" w:space="0" w:color="FFFFFF"/>
            <w:right w:val="none" w:sz="0" w:space="0" w:color="FFFFFF"/>
          </w:tcBorders>
        </w:tcPr>
        <w:p w14:paraId="4C465287" w14:textId="77777777" w:rsidR="00480B77" w:rsidRDefault="00000000">
          <w:pPr>
            <w:jc w:val="right"/>
          </w:pPr>
          <w:r>
            <w:rPr>
              <w:color w:val="444466"/>
              <w:sz w:val="16"/>
              <w:szCs w:val="16"/>
            </w:rPr>
            <w:t>Abu Horairah Ansari</w:t>
          </w:r>
        </w:p>
      </w:tc>
    </w:tr>
  </w:tbl>
  <w:p w14:paraId="5C75240E" w14:textId="77777777" w:rsidR="00480B77" w:rsidRDefault="00480B77">
    <w:pPr>
      <w:pBdr>
        <w:bottom w:val="single" w:sz="4" w:space="0" w:color="2E6DAD"/>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6FD"/>
    <w:multiLevelType w:val="hybridMultilevel"/>
    <w:tmpl w:val="6D4C86AA"/>
    <w:lvl w:ilvl="0" w:tplc="D1AA2032">
      <w:start w:val="1"/>
      <w:numFmt w:val="decimal"/>
      <w:lvlText w:val="%1."/>
      <w:lvlJc w:val="left"/>
      <w:pPr>
        <w:ind w:left="720" w:hanging="360"/>
      </w:pPr>
    </w:lvl>
    <w:lvl w:ilvl="1" w:tplc="A9048132">
      <w:numFmt w:val="decimal"/>
      <w:lvlText w:val=""/>
      <w:lvlJc w:val="left"/>
    </w:lvl>
    <w:lvl w:ilvl="2" w:tplc="D792B9B4">
      <w:numFmt w:val="decimal"/>
      <w:lvlText w:val=""/>
      <w:lvlJc w:val="left"/>
    </w:lvl>
    <w:lvl w:ilvl="3" w:tplc="E7649FAC">
      <w:numFmt w:val="decimal"/>
      <w:lvlText w:val=""/>
      <w:lvlJc w:val="left"/>
    </w:lvl>
    <w:lvl w:ilvl="4" w:tplc="F0069F32">
      <w:numFmt w:val="decimal"/>
      <w:lvlText w:val=""/>
      <w:lvlJc w:val="left"/>
    </w:lvl>
    <w:lvl w:ilvl="5" w:tplc="C9DC7776">
      <w:numFmt w:val="decimal"/>
      <w:lvlText w:val=""/>
      <w:lvlJc w:val="left"/>
    </w:lvl>
    <w:lvl w:ilvl="6" w:tplc="613CC17E">
      <w:numFmt w:val="decimal"/>
      <w:lvlText w:val=""/>
      <w:lvlJc w:val="left"/>
    </w:lvl>
    <w:lvl w:ilvl="7" w:tplc="AE765EDC">
      <w:numFmt w:val="decimal"/>
      <w:lvlText w:val=""/>
      <w:lvlJc w:val="left"/>
    </w:lvl>
    <w:lvl w:ilvl="8" w:tplc="9AA2CEDA">
      <w:numFmt w:val="decimal"/>
      <w:lvlText w:val=""/>
      <w:lvlJc w:val="left"/>
    </w:lvl>
  </w:abstractNum>
  <w:abstractNum w:abstractNumId="1" w15:restartNumberingAfterBreak="0">
    <w:nsid w:val="14FB27FF"/>
    <w:multiLevelType w:val="hybridMultilevel"/>
    <w:tmpl w:val="4796B744"/>
    <w:lvl w:ilvl="0" w:tplc="3E5A55DA">
      <w:start w:val="1"/>
      <w:numFmt w:val="bullet"/>
      <w:lvlText w:val="•"/>
      <w:lvlJc w:val="left"/>
      <w:pPr>
        <w:ind w:left="720" w:hanging="360"/>
      </w:pPr>
    </w:lvl>
    <w:lvl w:ilvl="1" w:tplc="E4541CF2">
      <w:numFmt w:val="decimal"/>
      <w:lvlText w:val=""/>
      <w:lvlJc w:val="left"/>
    </w:lvl>
    <w:lvl w:ilvl="2" w:tplc="DFF67BBE">
      <w:numFmt w:val="decimal"/>
      <w:lvlText w:val=""/>
      <w:lvlJc w:val="left"/>
    </w:lvl>
    <w:lvl w:ilvl="3" w:tplc="8E40B616">
      <w:numFmt w:val="decimal"/>
      <w:lvlText w:val=""/>
      <w:lvlJc w:val="left"/>
    </w:lvl>
    <w:lvl w:ilvl="4" w:tplc="F60CD498">
      <w:numFmt w:val="decimal"/>
      <w:lvlText w:val=""/>
      <w:lvlJc w:val="left"/>
    </w:lvl>
    <w:lvl w:ilvl="5" w:tplc="42844C80">
      <w:numFmt w:val="decimal"/>
      <w:lvlText w:val=""/>
      <w:lvlJc w:val="left"/>
    </w:lvl>
    <w:lvl w:ilvl="6" w:tplc="62F83316">
      <w:numFmt w:val="decimal"/>
      <w:lvlText w:val=""/>
      <w:lvlJc w:val="left"/>
    </w:lvl>
    <w:lvl w:ilvl="7" w:tplc="5BA4F9E4">
      <w:numFmt w:val="decimal"/>
      <w:lvlText w:val=""/>
      <w:lvlJc w:val="left"/>
    </w:lvl>
    <w:lvl w:ilvl="8" w:tplc="48F09DC0">
      <w:numFmt w:val="decimal"/>
      <w:lvlText w:val=""/>
      <w:lvlJc w:val="left"/>
    </w:lvl>
  </w:abstractNum>
  <w:abstractNum w:abstractNumId="2" w15:restartNumberingAfterBreak="0">
    <w:nsid w:val="3EC30546"/>
    <w:multiLevelType w:val="hybridMultilevel"/>
    <w:tmpl w:val="3D8EE250"/>
    <w:lvl w:ilvl="0" w:tplc="DB26B9D8">
      <w:start w:val="1"/>
      <w:numFmt w:val="bullet"/>
      <w:lvlText w:val="●"/>
      <w:lvlJc w:val="left"/>
      <w:pPr>
        <w:ind w:left="720" w:hanging="360"/>
      </w:pPr>
    </w:lvl>
    <w:lvl w:ilvl="1" w:tplc="02946ACC">
      <w:start w:val="1"/>
      <w:numFmt w:val="bullet"/>
      <w:lvlText w:val="○"/>
      <w:lvlJc w:val="left"/>
      <w:pPr>
        <w:ind w:left="1440" w:hanging="360"/>
      </w:pPr>
    </w:lvl>
    <w:lvl w:ilvl="2" w:tplc="8726654C">
      <w:start w:val="1"/>
      <w:numFmt w:val="bullet"/>
      <w:lvlText w:val="■"/>
      <w:lvlJc w:val="left"/>
      <w:pPr>
        <w:ind w:left="2160" w:hanging="360"/>
      </w:pPr>
    </w:lvl>
    <w:lvl w:ilvl="3" w:tplc="7680AA7E">
      <w:start w:val="1"/>
      <w:numFmt w:val="bullet"/>
      <w:lvlText w:val="●"/>
      <w:lvlJc w:val="left"/>
      <w:pPr>
        <w:ind w:left="2880" w:hanging="360"/>
      </w:pPr>
    </w:lvl>
    <w:lvl w:ilvl="4" w:tplc="48E25584">
      <w:start w:val="1"/>
      <w:numFmt w:val="bullet"/>
      <w:lvlText w:val="○"/>
      <w:lvlJc w:val="left"/>
      <w:pPr>
        <w:ind w:left="3600" w:hanging="360"/>
      </w:pPr>
    </w:lvl>
    <w:lvl w:ilvl="5" w:tplc="057CD77C">
      <w:start w:val="1"/>
      <w:numFmt w:val="bullet"/>
      <w:lvlText w:val="■"/>
      <w:lvlJc w:val="left"/>
      <w:pPr>
        <w:ind w:left="4320" w:hanging="360"/>
      </w:pPr>
    </w:lvl>
    <w:lvl w:ilvl="6" w:tplc="317CE39A">
      <w:start w:val="1"/>
      <w:numFmt w:val="bullet"/>
      <w:lvlText w:val="●"/>
      <w:lvlJc w:val="left"/>
      <w:pPr>
        <w:ind w:left="5040" w:hanging="360"/>
      </w:pPr>
    </w:lvl>
    <w:lvl w:ilvl="7" w:tplc="4F90C9AC">
      <w:start w:val="1"/>
      <w:numFmt w:val="bullet"/>
      <w:lvlText w:val="●"/>
      <w:lvlJc w:val="left"/>
      <w:pPr>
        <w:ind w:left="5760" w:hanging="360"/>
      </w:pPr>
    </w:lvl>
    <w:lvl w:ilvl="8" w:tplc="5B04379A">
      <w:start w:val="1"/>
      <w:numFmt w:val="bullet"/>
      <w:lvlText w:val="●"/>
      <w:lvlJc w:val="left"/>
      <w:pPr>
        <w:ind w:left="6480" w:hanging="360"/>
      </w:pPr>
    </w:lvl>
  </w:abstractNum>
  <w:num w:numId="1" w16cid:durableId="380902394">
    <w:abstractNumId w:val="2"/>
    <w:lvlOverride w:ilvl="0">
      <w:startOverride w:val="1"/>
    </w:lvlOverride>
  </w:num>
  <w:num w:numId="2" w16cid:durableId="1901556900">
    <w:abstractNumId w:val="1"/>
    <w:lvlOverride w:ilvl="0">
      <w:startOverride w:val="1"/>
    </w:lvlOverride>
  </w:num>
  <w:num w:numId="3" w16cid:durableId="1432892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B77"/>
    <w:rsid w:val="00056CA9"/>
    <w:rsid w:val="0007189A"/>
    <w:rsid w:val="00480B77"/>
    <w:rsid w:val="005D4411"/>
    <w:rsid w:val="006121D0"/>
    <w:rsid w:val="008B3BF2"/>
    <w:rsid w:val="008D72ED"/>
    <w:rsid w:val="00BF7EE9"/>
    <w:rsid w:val="00C639DE"/>
    <w:rsid w:val="00D96808"/>
    <w:rsid w:val="00DB55E5"/>
    <w:rsid w:val="00EA15AC"/>
    <w:rsid w:val="00EF4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69AF0"/>
  <w15:docId w15:val="{096C1A05-6120-43EB-A219-B642B85F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89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6CA9"/>
    <w:pPr>
      <w:tabs>
        <w:tab w:val="center" w:pos="4513"/>
        <w:tab w:val="right" w:pos="9026"/>
      </w:tabs>
    </w:pPr>
  </w:style>
  <w:style w:type="character" w:customStyle="1" w:styleId="HeaderChar">
    <w:name w:val="Header Char"/>
    <w:basedOn w:val="DefaultParagraphFont"/>
    <w:link w:val="Header"/>
    <w:uiPriority w:val="99"/>
    <w:rsid w:val="00056CA9"/>
  </w:style>
  <w:style w:type="paragraph" w:styleId="Footer">
    <w:name w:val="footer"/>
    <w:basedOn w:val="Normal"/>
    <w:link w:val="FooterChar"/>
    <w:uiPriority w:val="99"/>
    <w:unhideWhenUsed/>
    <w:rsid w:val="00056CA9"/>
    <w:pPr>
      <w:tabs>
        <w:tab w:val="center" w:pos="4513"/>
        <w:tab w:val="right" w:pos="9026"/>
      </w:tabs>
    </w:pPr>
  </w:style>
  <w:style w:type="character" w:customStyle="1" w:styleId="FooterChar">
    <w:name w:val="Footer Char"/>
    <w:basedOn w:val="DefaultParagraphFont"/>
    <w:link w:val="Footer"/>
    <w:uiPriority w:val="99"/>
    <w:rsid w:val="00056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2083</Words>
  <Characters>11875</Characters>
  <Application>Microsoft Office Word</Application>
  <DocSecurity>0</DocSecurity>
  <Lines>98</Lines>
  <Paragraphs>27</Paragraphs>
  <ScaleCrop>false</ScaleCrop>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 Ansari</cp:lastModifiedBy>
  <cp:revision>3</cp:revision>
  <dcterms:created xsi:type="dcterms:W3CDTF">2026-06-23T08:58:00Z</dcterms:created>
  <dcterms:modified xsi:type="dcterms:W3CDTF">2026-06-23T08:59:00Z</dcterms:modified>
</cp:coreProperties>
</file>