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23F9A" w14:textId="77777777" w:rsidR="00AD06C9" w:rsidRDefault="00AD06C9" w:rsidP="00AD06C9">
      <w:pPr>
        <w:jc w:val="center"/>
        <w:rPr>
          <w:b/>
          <w:color w:val="002060"/>
          <w:sz w:val="40"/>
          <w:szCs w:val="40"/>
          <w:u w:val="single"/>
        </w:rPr>
      </w:pPr>
    </w:p>
    <w:p w14:paraId="3BB7FA06" w14:textId="77777777" w:rsidR="00AD06C9" w:rsidRDefault="00AD06C9" w:rsidP="00AD06C9">
      <w:pPr>
        <w:jc w:val="center"/>
        <w:rPr>
          <w:b/>
          <w:color w:val="002060"/>
          <w:sz w:val="40"/>
          <w:szCs w:val="40"/>
          <w:u w:val="single"/>
        </w:rPr>
      </w:pPr>
    </w:p>
    <w:p w14:paraId="35D10427" w14:textId="7FFC5B1C" w:rsidR="00AD06C9" w:rsidRDefault="00AD06C9" w:rsidP="00AD06C9">
      <w:pPr>
        <w:jc w:val="center"/>
        <w:rPr>
          <w:b/>
          <w:color w:val="002060"/>
          <w:sz w:val="40"/>
          <w:szCs w:val="40"/>
          <w:u w:val="single"/>
        </w:rPr>
      </w:pPr>
    </w:p>
    <w:p w14:paraId="0F403FCE" w14:textId="2EDC746A" w:rsidR="00316421" w:rsidRDefault="00316421" w:rsidP="00AD06C9">
      <w:pPr>
        <w:jc w:val="center"/>
        <w:rPr>
          <w:b/>
          <w:color w:val="002060"/>
          <w:sz w:val="40"/>
          <w:szCs w:val="40"/>
          <w:u w:val="single"/>
        </w:rPr>
      </w:pPr>
    </w:p>
    <w:p w14:paraId="5A6AD149" w14:textId="77777777" w:rsidR="00316421" w:rsidRDefault="00316421" w:rsidP="00AD06C9">
      <w:pPr>
        <w:jc w:val="center"/>
        <w:rPr>
          <w:b/>
          <w:color w:val="002060"/>
          <w:sz w:val="40"/>
          <w:szCs w:val="40"/>
          <w:u w:val="single"/>
        </w:rPr>
      </w:pPr>
    </w:p>
    <w:p w14:paraId="4565001D" w14:textId="77777777" w:rsidR="00AD06C9" w:rsidRDefault="00AD06C9" w:rsidP="00AD06C9">
      <w:pPr>
        <w:jc w:val="center"/>
        <w:rPr>
          <w:b/>
          <w:color w:val="002060"/>
          <w:sz w:val="40"/>
          <w:szCs w:val="40"/>
          <w:u w:val="single"/>
        </w:rPr>
      </w:pPr>
    </w:p>
    <w:p w14:paraId="774723C2" w14:textId="2E992D20" w:rsidR="00EE5948" w:rsidRPr="00316421" w:rsidRDefault="00D84497" w:rsidP="00AD06C9">
      <w:pPr>
        <w:jc w:val="center"/>
        <w:rPr>
          <w:b/>
          <w:sz w:val="50"/>
          <w:szCs w:val="50"/>
          <w:u w:val="single"/>
        </w:rPr>
      </w:pPr>
      <w:r w:rsidRPr="00316421">
        <w:rPr>
          <w:b/>
          <w:sz w:val="50"/>
          <w:szCs w:val="50"/>
          <w:u w:val="single"/>
        </w:rPr>
        <w:t>The Black Book</w:t>
      </w:r>
    </w:p>
    <w:p w14:paraId="68C2F081" w14:textId="19916FF0" w:rsidR="00AD06C9" w:rsidRDefault="00AD06C9" w:rsidP="00AD06C9">
      <w:pPr>
        <w:jc w:val="center"/>
        <w:rPr>
          <w:b/>
          <w:color w:val="002060"/>
          <w:sz w:val="28"/>
          <w:szCs w:val="28"/>
          <w:u w:val="single"/>
        </w:rPr>
      </w:pPr>
    </w:p>
    <w:p w14:paraId="7B801350" w14:textId="7B71EF0D" w:rsidR="00AD06C9" w:rsidRDefault="00AD06C9" w:rsidP="00AD06C9">
      <w:pPr>
        <w:jc w:val="center"/>
        <w:rPr>
          <w:b/>
          <w:color w:val="002060"/>
          <w:sz w:val="28"/>
          <w:szCs w:val="28"/>
          <w:u w:val="single"/>
        </w:rPr>
      </w:pPr>
    </w:p>
    <w:p w14:paraId="5CECC3D3" w14:textId="02216A78" w:rsidR="00AD06C9" w:rsidRDefault="00AD06C9" w:rsidP="00AD06C9">
      <w:pPr>
        <w:jc w:val="center"/>
        <w:rPr>
          <w:b/>
          <w:color w:val="002060"/>
          <w:sz w:val="28"/>
          <w:szCs w:val="28"/>
          <w:u w:val="single"/>
        </w:rPr>
      </w:pPr>
    </w:p>
    <w:p w14:paraId="56FE37E3" w14:textId="77777777" w:rsidR="00AD06C9" w:rsidRDefault="00AD06C9" w:rsidP="00AD06C9">
      <w:pPr>
        <w:jc w:val="center"/>
        <w:rPr>
          <w:b/>
        </w:rPr>
      </w:pPr>
    </w:p>
    <w:p w14:paraId="7F33B1D9" w14:textId="53F1B2C5" w:rsidR="00EE5948" w:rsidRDefault="00EE5948" w:rsidP="00EE5948">
      <w:pPr>
        <w:rPr>
          <w:b/>
        </w:rPr>
      </w:pPr>
    </w:p>
    <w:p w14:paraId="7A64201B" w14:textId="6E30A544" w:rsidR="00AD06C9" w:rsidRDefault="00AD06C9" w:rsidP="00EE5948">
      <w:pPr>
        <w:rPr>
          <w:b/>
        </w:rPr>
      </w:pPr>
    </w:p>
    <w:p w14:paraId="5B410C79" w14:textId="69887803" w:rsidR="00AD06C9" w:rsidRDefault="00AD06C9" w:rsidP="00EE5948">
      <w:pPr>
        <w:rPr>
          <w:b/>
        </w:rPr>
      </w:pPr>
    </w:p>
    <w:p w14:paraId="3371072C" w14:textId="122CF509" w:rsidR="00AD06C9" w:rsidRDefault="00AD06C9" w:rsidP="00EE5948">
      <w:pPr>
        <w:rPr>
          <w:b/>
        </w:rPr>
      </w:pPr>
    </w:p>
    <w:p w14:paraId="61C109C6" w14:textId="45A0D0EA" w:rsidR="00AD06C9" w:rsidRDefault="00AD06C9" w:rsidP="00EE5948">
      <w:pPr>
        <w:rPr>
          <w:b/>
        </w:rPr>
      </w:pPr>
    </w:p>
    <w:p w14:paraId="457B6EA2" w14:textId="2B501D96" w:rsidR="00AD06C9" w:rsidRDefault="00AD06C9" w:rsidP="00EE5948">
      <w:pPr>
        <w:rPr>
          <w:b/>
        </w:rPr>
      </w:pPr>
    </w:p>
    <w:p w14:paraId="3B8BCA13" w14:textId="7CD418C9" w:rsidR="00AD06C9" w:rsidRDefault="00AD06C9" w:rsidP="00EE5948">
      <w:pPr>
        <w:rPr>
          <w:b/>
        </w:rPr>
      </w:pPr>
    </w:p>
    <w:p w14:paraId="6FC7C7B6" w14:textId="5E457226" w:rsidR="00AD06C9" w:rsidRDefault="00AD06C9" w:rsidP="00EE5948">
      <w:pPr>
        <w:rPr>
          <w:b/>
        </w:rPr>
      </w:pPr>
    </w:p>
    <w:p w14:paraId="2938FE56" w14:textId="0A81FD9D" w:rsidR="00AD06C9" w:rsidRDefault="00AD06C9" w:rsidP="00EE5948">
      <w:pPr>
        <w:rPr>
          <w:b/>
        </w:rPr>
      </w:pPr>
    </w:p>
    <w:p w14:paraId="37EB37BE" w14:textId="55C64758" w:rsidR="00AD06C9" w:rsidRDefault="00AD06C9" w:rsidP="00EE5948">
      <w:pPr>
        <w:rPr>
          <w:b/>
        </w:rPr>
      </w:pPr>
    </w:p>
    <w:p w14:paraId="32ABD436" w14:textId="04F8DBE9" w:rsidR="00AD06C9" w:rsidRDefault="00AD06C9" w:rsidP="00EE5948">
      <w:pPr>
        <w:rPr>
          <w:b/>
        </w:rPr>
      </w:pPr>
    </w:p>
    <w:p w14:paraId="5A192746" w14:textId="12049A06" w:rsidR="00AD06C9" w:rsidRDefault="00AD06C9" w:rsidP="00EE5948">
      <w:pPr>
        <w:rPr>
          <w:b/>
        </w:rPr>
      </w:pPr>
    </w:p>
    <w:p w14:paraId="559599BE" w14:textId="6737E563" w:rsidR="00AD06C9" w:rsidRDefault="00AD06C9" w:rsidP="00EE5948">
      <w:pPr>
        <w:rPr>
          <w:b/>
        </w:rPr>
      </w:pPr>
    </w:p>
    <w:p w14:paraId="6667FF39" w14:textId="3EB71C00" w:rsidR="00AD06C9" w:rsidRDefault="00AD06C9" w:rsidP="00EE5948">
      <w:pPr>
        <w:rPr>
          <w:b/>
        </w:rPr>
      </w:pPr>
    </w:p>
    <w:p w14:paraId="11BA143A" w14:textId="2AA6C1F3" w:rsidR="00AD06C9" w:rsidRDefault="00AD06C9" w:rsidP="00EE5948">
      <w:pPr>
        <w:rPr>
          <w:b/>
        </w:rPr>
      </w:pPr>
    </w:p>
    <w:p w14:paraId="5A6B48B0" w14:textId="60D077BB" w:rsidR="00AD06C9" w:rsidRDefault="00AD06C9" w:rsidP="00EE5948">
      <w:pPr>
        <w:rPr>
          <w:b/>
        </w:rPr>
      </w:pPr>
    </w:p>
    <w:p w14:paraId="388E1B13" w14:textId="3EB16F16" w:rsidR="00AD06C9" w:rsidRDefault="00AD06C9" w:rsidP="00EE5948">
      <w:pPr>
        <w:rPr>
          <w:b/>
        </w:rPr>
      </w:pPr>
    </w:p>
    <w:p w14:paraId="37FF67E6" w14:textId="5C41B247" w:rsidR="00AD06C9" w:rsidRDefault="00AD06C9" w:rsidP="00EE5948">
      <w:pPr>
        <w:rPr>
          <w:b/>
        </w:rPr>
      </w:pPr>
    </w:p>
    <w:p w14:paraId="5F6131D2" w14:textId="2EC131F0" w:rsidR="00AD06C9" w:rsidRDefault="00AD06C9" w:rsidP="00EE5948">
      <w:pPr>
        <w:rPr>
          <w:b/>
        </w:rPr>
      </w:pPr>
    </w:p>
    <w:p w14:paraId="44A58633" w14:textId="1D1A2D58" w:rsidR="00AD06C9" w:rsidRDefault="00AD06C9" w:rsidP="00EE5948">
      <w:pPr>
        <w:rPr>
          <w:b/>
        </w:rPr>
      </w:pPr>
    </w:p>
    <w:p w14:paraId="104A4224" w14:textId="0BD82943" w:rsidR="00AD06C9" w:rsidRDefault="00AD06C9" w:rsidP="00EE5948">
      <w:pPr>
        <w:rPr>
          <w:b/>
        </w:rPr>
      </w:pPr>
    </w:p>
    <w:p w14:paraId="7EB39C12" w14:textId="4B77493D" w:rsidR="00AD06C9" w:rsidRDefault="00AD06C9" w:rsidP="00EE5948">
      <w:pPr>
        <w:rPr>
          <w:b/>
        </w:rPr>
      </w:pPr>
    </w:p>
    <w:p w14:paraId="3A4175D0" w14:textId="7C517F6E" w:rsidR="00AD06C9" w:rsidRDefault="00AD06C9" w:rsidP="00EE5948">
      <w:pPr>
        <w:rPr>
          <w:b/>
        </w:rPr>
      </w:pPr>
    </w:p>
    <w:p w14:paraId="5D929B1E" w14:textId="5C55A6FD" w:rsidR="00AD06C9" w:rsidRDefault="00AD06C9" w:rsidP="00EE5948">
      <w:pPr>
        <w:rPr>
          <w:b/>
        </w:rPr>
      </w:pPr>
    </w:p>
    <w:p w14:paraId="5CF410A0" w14:textId="1A2EA65D" w:rsidR="00AD06C9" w:rsidRDefault="00AD06C9" w:rsidP="00EE5948">
      <w:pPr>
        <w:rPr>
          <w:b/>
        </w:rPr>
      </w:pPr>
    </w:p>
    <w:p w14:paraId="0AB10844" w14:textId="4496E14F" w:rsidR="00AD06C9" w:rsidRDefault="00AD06C9" w:rsidP="00EE5948">
      <w:pPr>
        <w:rPr>
          <w:b/>
        </w:rPr>
      </w:pPr>
    </w:p>
    <w:p w14:paraId="6B4E6DE9" w14:textId="3ADB7829" w:rsidR="00AD06C9" w:rsidRDefault="00AD06C9" w:rsidP="00EE5948">
      <w:pPr>
        <w:rPr>
          <w:b/>
        </w:rPr>
      </w:pPr>
    </w:p>
    <w:p w14:paraId="109D81C2" w14:textId="0587A02F" w:rsidR="00AD06C9" w:rsidRDefault="00AD06C9" w:rsidP="00EE5948">
      <w:pPr>
        <w:rPr>
          <w:b/>
        </w:rPr>
      </w:pPr>
    </w:p>
    <w:p w14:paraId="3F18E119" w14:textId="38805480" w:rsidR="00AD06C9" w:rsidRDefault="00AD06C9" w:rsidP="00EE5948">
      <w:pPr>
        <w:rPr>
          <w:b/>
        </w:rPr>
      </w:pPr>
    </w:p>
    <w:p w14:paraId="2E3672DD" w14:textId="412A012C" w:rsidR="00AD06C9" w:rsidRDefault="00AD06C9" w:rsidP="00EE5948">
      <w:pPr>
        <w:rPr>
          <w:b/>
        </w:rPr>
      </w:pPr>
    </w:p>
    <w:p w14:paraId="037BC7C9" w14:textId="3EAC127B" w:rsidR="00AD06C9" w:rsidRDefault="00AD06C9" w:rsidP="00EE5948">
      <w:pPr>
        <w:rPr>
          <w:b/>
        </w:rPr>
      </w:pPr>
    </w:p>
    <w:p w14:paraId="6A4DD5D1" w14:textId="4710AAA9" w:rsidR="00AD06C9" w:rsidRDefault="00AD06C9" w:rsidP="00EE5948">
      <w:pPr>
        <w:rPr>
          <w:b/>
        </w:rPr>
      </w:pPr>
    </w:p>
    <w:p w14:paraId="656FF946" w14:textId="13BAD124" w:rsidR="00AD06C9" w:rsidRDefault="00AD06C9" w:rsidP="00EE5948">
      <w:pPr>
        <w:rPr>
          <w:b/>
        </w:rPr>
      </w:pPr>
    </w:p>
    <w:p w14:paraId="00F61C56" w14:textId="77777777" w:rsidR="00AD06C9" w:rsidRDefault="00AD06C9" w:rsidP="00EE5948">
      <w:pPr>
        <w:rPr>
          <w:b/>
        </w:rPr>
      </w:pPr>
    </w:p>
    <w:p w14:paraId="56A9555B" w14:textId="393C6C6F" w:rsidR="00AD06C9" w:rsidRDefault="00AD06C9" w:rsidP="00EE5948">
      <w:pPr>
        <w:rPr>
          <w:b/>
        </w:rPr>
      </w:pPr>
    </w:p>
    <w:p w14:paraId="5E18B923" w14:textId="656AFF12" w:rsidR="00AD06C9" w:rsidRDefault="00AD06C9" w:rsidP="00EE5948">
      <w:pPr>
        <w:rPr>
          <w:b/>
        </w:rPr>
      </w:pPr>
    </w:p>
    <w:p w14:paraId="54C830CD" w14:textId="1F050B75" w:rsidR="0081660E" w:rsidRDefault="0081660E" w:rsidP="00EE5948">
      <w:pPr>
        <w:rPr>
          <w:b/>
        </w:rPr>
      </w:pPr>
    </w:p>
    <w:sdt>
      <w:sdtPr>
        <w:rPr>
          <w:rFonts w:ascii="Times New Roman" w:eastAsia="Times New Roman" w:hAnsi="Times New Roman" w:cs="Times New Roman"/>
          <w:bCs w:val="0"/>
          <w:color w:val="auto"/>
          <w:sz w:val="24"/>
          <w:szCs w:val="24"/>
          <w:u w:val="none"/>
          <w:lang w:val="en-GB" w:eastAsia="en-GB"/>
        </w:rPr>
        <w:id w:val="1116802018"/>
        <w:docPartObj>
          <w:docPartGallery w:val="Table of Contents"/>
          <w:docPartUnique/>
        </w:docPartObj>
      </w:sdtPr>
      <w:sdtEndPr>
        <w:rPr>
          <w:rStyle w:val="Hyperlink"/>
          <w:b/>
          <w:color w:val="0000FF" w:themeColor="hyperlink"/>
          <w:u w:val="single"/>
        </w:rPr>
      </w:sdtEndPr>
      <w:sdtContent>
        <w:p w14:paraId="14652CC5" w14:textId="015181D8" w:rsidR="0081660E" w:rsidRDefault="0081660E" w:rsidP="007F1288">
          <w:pPr>
            <w:pStyle w:val="TOCHeading"/>
          </w:pPr>
          <w:r>
            <w:t>Contents</w:t>
          </w:r>
        </w:p>
        <w:p w14:paraId="2EEEFB89" w14:textId="77777777" w:rsidR="007F1288" w:rsidRPr="007F1288" w:rsidRDefault="007F1288" w:rsidP="007F1288">
          <w:pPr>
            <w:rPr>
              <w:lang w:val="en-US" w:eastAsia="en-US"/>
            </w:rPr>
          </w:pPr>
        </w:p>
        <w:p w14:paraId="2EC4A942" w14:textId="40B02EAD" w:rsidR="00316421" w:rsidRPr="00316421" w:rsidRDefault="0081660E">
          <w:pPr>
            <w:pStyle w:val="TOC2"/>
            <w:tabs>
              <w:tab w:val="right" w:leader="dot" w:pos="9629"/>
            </w:tabs>
            <w:rPr>
              <w:rFonts w:asciiTheme="minorHAnsi" w:eastAsiaTheme="minorEastAsia" w:hAnsiTheme="minorHAnsi" w:cstheme="minorBidi"/>
              <w:b/>
              <w:bCs/>
              <w:noProof/>
              <w:sz w:val="22"/>
              <w:szCs w:val="22"/>
              <w:lang w:val="en-US" w:eastAsia="en-US"/>
            </w:rPr>
          </w:pPr>
          <w:r w:rsidRPr="00316421">
            <w:rPr>
              <w:rStyle w:val="Hyperlink"/>
              <w:rFonts w:eastAsiaTheme="majorEastAsia"/>
              <w:b/>
              <w:noProof/>
            </w:rPr>
            <w:fldChar w:fldCharType="begin"/>
          </w:r>
          <w:r w:rsidRPr="00316421">
            <w:rPr>
              <w:rStyle w:val="Hyperlink"/>
              <w:rFonts w:eastAsiaTheme="majorEastAsia"/>
              <w:b/>
              <w:noProof/>
            </w:rPr>
            <w:instrText xml:space="preserve"> TOC \o "1-3" \h \z \u </w:instrText>
          </w:r>
          <w:r w:rsidRPr="00316421">
            <w:rPr>
              <w:rStyle w:val="Hyperlink"/>
              <w:rFonts w:eastAsiaTheme="majorEastAsia"/>
              <w:b/>
              <w:noProof/>
            </w:rPr>
            <w:fldChar w:fldCharType="separate"/>
          </w:r>
          <w:hyperlink w:anchor="_Toc82496899" w:history="1">
            <w:r w:rsidR="00316421" w:rsidRPr="00316421">
              <w:rPr>
                <w:rStyle w:val="Hyperlink"/>
                <w:rFonts w:eastAsiaTheme="majorEastAsia"/>
                <w:b/>
                <w:bCs/>
                <w:noProof/>
              </w:rPr>
              <w:t>LEGAL AND EXTERNAL AFFAIRS</w:t>
            </w:r>
            <w:r w:rsidR="00316421" w:rsidRPr="00316421">
              <w:rPr>
                <w:b/>
                <w:bCs/>
                <w:noProof/>
                <w:webHidden/>
              </w:rPr>
              <w:tab/>
            </w:r>
            <w:r w:rsidR="00316421" w:rsidRPr="00316421">
              <w:rPr>
                <w:b/>
                <w:bCs/>
                <w:noProof/>
                <w:webHidden/>
              </w:rPr>
              <w:fldChar w:fldCharType="begin"/>
            </w:r>
            <w:r w:rsidR="00316421" w:rsidRPr="00316421">
              <w:rPr>
                <w:b/>
                <w:bCs/>
                <w:noProof/>
                <w:webHidden/>
              </w:rPr>
              <w:instrText xml:space="preserve"> PAGEREF _Toc82496899 \h </w:instrText>
            </w:r>
            <w:r w:rsidR="00316421" w:rsidRPr="00316421">
              <w:rPr>
                <w:b/>
                <w:bCs/>
                <w:noProof/>
                <w:webHidden/>
              </w:rPr>
            </w:r>
            <w:r w:rsidR="00316421" w:rsidRPr="00316421">
              <w:rPr>
                <w:b/>
                <w:bCs/>
                <w:noProof/>
                <w:webHidden/>
              </w:rPr>
              <w:fldChar w:fldCharType="separate"/>
            </w:r>
            <w:r w:rsidR="00316421" w:rsidRPr="00316421">
              <w:rPr>
                <w:b/>
                <w:bCs/>
                <w:noProof/>
                <w:webHidden/>
              </w:rPr>
              <w:t>4</w:t>
            </w:r>
            <w:r w:rsidR="00316421" w:rsidRPr="00316421">
              <w:rPr>
                <w:b/>
                <w:bCs/>
                <w:noProof/>
                <w:webHidden/>
              </w:rPr>
              <w:fldChar w:fldCharType="end"/>
            </w:r>
          </w:hyperlink>
        </w:p>
        <w:p w14:paraId="499E182E" w14:textId="74C87FF4" w:rsidR="00316421" w:rsidRPr="00316421" w:rsidRDefault="005E43FA">
          <w:pPr>
            <w:pStyle w:val="TOC2"/>
            <w:tabs>
              <w:tab w:val="right" w:leader="dot" w:pos="9629"/>
            </w:tabs>
            <w:rPr>
              <w:rFonts w:asciiTheme="minorHAnsi" w:eastAsiaTheme="minorEastAsia" w:hAnsiTheme="minorHAnsi" w:cstheme="minorBidi"/>
              <w:b/>
              <w:bCs/>
              <w:noProof/>
              <w:sz w:val="22"/>
              <w:szCs w:val="22"/>
              <w:lang w:val="en-US" w:eastAsia="en-US"/>
            </w:rPr>
          </w:pPr>
          <w:hyperlink w:anchor="_Toc82496900" w:history="1">
            <w:r w:rsidR="00316421" w:rsidRPr="00316421">
              <w:rPr>
                <w:rStyle w:val="Hyperlink"/>
                <w:rFonts w:eastAsiaTheme="majorEastAsia"/>
                <w:b/>
                <w:bCs/>
                <w:noProof/>
              </w:rPr>
              <w:t>FINANCE</w:t>
            </w:r>
            <w:r w:rsidR="00316421" w:rsidRPr="00316421">
              <w:rPr>
                <w:b/>
                <w:bCs/>
                <w:noProof/>
                <w:webHidden/>
              </w:rPr>
              <w:tab/>
            </w:r>
            <w:r w:rsidR="00316421" w:rsidRPr="00316421">
              <w:rPr>
                <w:b/>
                <w:bCs/>
                <w:noProof/>
                <w:webHidden/>
              </w:rPr>
              <w:fldChar w:fldCharType="begin"/>
            </w:r>
            <w:r w:rsidR="00316421" w:rsidRPr="00316421">
              <w:rPr>
                <w:b/>
                <w:bCs/>
                <w:noProof/>
                <w:webHidden/>
              </w:rPr>
              <w:instrText xml:space="preserve"> PAGEREF _Toc82496900 \h </w:instrText>
            </w:r>
            <w:r w:rsidR="00316421" w:rsidRPr="00316421">
              <w:rPr>
                <w:b/>
                <w:bCs/>
                <w:noProof/>
                <w:webHidden/>
              </w:rPr>
            </w:r>
            <w:r w:rsidR="00316421" w:rsidRPr="00316421">
              <w:rPr>
                <w:b/>
                <w:bCs/>
                <w:noProof/>
                <w:webHidden/>
              </w:rPr>
              <w:fldChar w:fldCharType="separate"/>
            </w:r>
            <w:r w:rsidR="00316421" w:rsidRPr="00316421">
              <w:rPr>
                <w:b/>
                <w:bCs/>
                <w:noProof/>
                <w:webHidden/>
              </w:rPr>
              <w:t>5</w:t>
            </w:r>
            <w:r w:rsidR="00316421" w:rsidRPr="00316421">
              <w:rPr>
                <w:b/>
                <w:bCs/>
                <w:noProof/>
                <w:webHidden/>
              </w:rPr>
              <w:fldChar w:fldCharType="end"/>
            </w:r>
          </w:hyperlink>
        </w:p>
        <w:p w14:paraId="511266F7" w14:textId="6AF31435" w:rsidR="00316421" w:rsidRPr="00316421" w:rsidRDefault="005E43FA">
          <w:pPr>
            <w:pStyle w:val="TOC2"/>
            <w:tabs>
              <w:tab w:val="right" w:leader="dot" w:pos="9629"/>
            </w:tabs>
            <w:rPr>
              <w:rStyle w:val="Hyperlink"/>
              <w:rFonts w:eastAsiaTheme="majorEastAsia"/>
              <w:b/>
              <w:bCs/>
            </w:rPr>
          </w:pPr>
          <w:hyperlink w:anchor="_Toc82496901" w:history="1">
            <w:r w:rsidR="00316421" w:rsidRPr="00316421">
              <w:rPr>
                <w:rStyle w:val="Hyperlink"/>
                <w:rFonts w:eastAsiaTheme="majorEastAsia"/>
                <w:b/>
                <w:bCs/>
                <w:noProof/>
              </w:rPr>
              <w:t>HR</w:t>
            </w:r>
            <w:r w:rsidR="00316421" w:rsidRPr="00316421">
              <w:rPr>
                <w:rStyle w:val="Hyperlink"/>
                <w:rFonts w:eastAsiaTheme="majorEastAsia"/>
                <w:b/>
                <w:bCs/>
                <w:webHidden/>
              </w:rPr>
              <w:tab/>
            </w:r>
            <w:r w:rsidR="00316421" w:rsidRPr="00316421">
              <w:rPr>
                <w:rStyle w:val="Hyperlink"/>
                <w:rFonts w:eastAsiaTheme="majorEastAsia"/>
                <w:b/>
                <w:bCs/>
                <w:webHidden/>
              </w:rPr>
              <w:fldChar w:fldCharType="begin"/>
            </w:r>
            <w:r w:rsidR="00316421" w:rsidRPr="00316421">
              <w:rPr>
                <w:rStyle w:val="Hyperlink"/>
                <w:rFonts w:eastAsiaTheme="majorEastAsia"/>
                <w:b/>
                <w:bCs/>
                <w:webHidden/>
              </w:rPr>
              <w:instrText xml:space="preserve"> PAGEREF _Toc82496901 \h </w:instrText>
            </w:r>
            <w:r w:rsidR="00316421" w:rsidRPr="00316421">
              <w:rPr>
                <w:rStyle w:val="Hyperlink"/>
                <w:rFonts w:eastAsiaTheme="majorEastAsia"/>
                <w:b/>
                <w:bCs/>
                <w:webHidden/>
              </w:rPr>
            </w:r>
            <w:r w:rsidR="00316421" w:rsidRPr="00316421">
              <w:rPr>
                <w:rStyle w:val="Hyperlink"/>
                <w:rFonts w:eastAsiaTheme="majorEastAsia"/>
                <w:b/>
                <w:bCs/>
                <w:webHidden/>
              </w:rPr>
              <w:fldChar w:fldCharType="separate"/>
            </w:r>
            <w:r w:rsidR="00316421" w:rsidRPr="00316421">
              <w:rPr>
                <w:rStyle w:val="Hyperlink"/>
                <w:rFonts w:eastAsiaTheme="majorEastAsia"/>
                <w:b/>
                <w:bCs/>
                <w:webHidden/>
              </w:rPr>
              <w:t>6</w:t>
            </w:r>
            <w:r w:rsidR="00316421" w:rsidRPr="00316421">
              <w:rPr>
                <w:rStyle w:val="Hyperlink"/>
                <w:rFonts w:eastAsiaTheme="majorEastAsia"/>
                <w:b/>
                <w:bCs/>
                <w:webHidden/>
              </w:rPr>
              <w:fldChar w:fldCharType="end"/>
            </w:r>
          </w:hyperlink>
        </w:p>
        <w:p w14:paraId="4A04EBCB" w14:textId="638DB725" w:rsidR="00316421" w:rsidRPr="00316421" w:rsidRDefault="005E43FA">
          <w:pPr>
            <w:pStyle w:val="TOC2"/>
            <w:tabs>
              <w:tab w:val="right" w:leader="dot" w:pos="9629"/>
            </w:tabs>
            <w:rPr>
              <w:rStyle w:val="Hyperlink"/>
              <w:rFonts w:eastAsiaTheme="majorEastAsia"/>
              <w:b/>
              <w:bCs/>
            </w:rPr>
          </w:pPr>
          <w:hyperlink w:anchor="_Toc82496902" w:history="1">
            <w:r w:rsidR="00316421" w:rsidRPr="00316421">
              <w:rPr>
                <w:rStyle w:val="Hyperlink"/>
                <w:rFonts w:eastAsiaTheme="majorEastAsia"/>
                <w:b/>
                <w:bCs/>
                <w:noProof/>
              </w:rPr>
              <w:t>DBS (IDT)</w:t>
            </w:r>
            <w:r w:rsidR="00316421" w:rsidRPr="00316421">
              <w:rPr>
                <w:rStyle w:val="Hyperlink"/>
                <w:rFonts w:eastAsiaTheme="majorEastAsia"/>
                <w:b/>
                <w:bCs/>
                <w:webHidden/>
              </w:rPr>
              <w:tab/>
            </w:r>
            <w:r w:rsidR="00316421" w:rsidRPr="00316421">
              <w:rPr>
                <w:rStyle w:val="Hyperlink"/>
                <w:rFonts w:eastAsiaTheme="majorEastAsia"/>
                <w:b/>
                <w:bCs/>
                <w:webHidden/>
              </w:rPr>
              <w:fldChar w:fldCharType="begin"/>
            </w:r>
            <w:r w:rsidR="00316421" w:rsidRPr="00316421">
              <w:rPr>
                <w:rStyle w:val="Hyperlink"/>
                <w:rFonts w:eastAsiaTheme="majorEastAsia"/>
                <w:b/>
                <w:bCs/>
                <w:webHidden/>
              </w:rPr>
              <w:instrText xml:space="preserve"> PAGEREF _Toc82496902 \h </w:instrText>
            </w:r>
            <w:r w:rsidR="00316421" w:rsidRPr="00316421">
              <w:rPr>
                <w:rStyle w:val="Hyperlink"/>
                <w:rFonts w:eastAsiaTheme="majorEastAsia"/>
                <w:b/>
                <w:bCs/>
                <w:webHidden/>
              </w:rPr>
            </w:r>
            <w:r w:rsidR="00316421" w:rsidRPr="00316421">
              <w:rPr>
                <w:rStyle w:val="Hyperlink"/>
                <w:rFonts w:eastAsiaTheme="majorEastAsia"/>
                <w:b/>
                <w:bCs/>
                <w:webHidden/>
              </w:rPr>
              <w:fldChar w:fldCharType="separate"/>
            </w:r>
            <w:r w:rsidR="00316421" w:rsidRPr="00316421">
              <w:rPr>
                <w:rStyle w:val="Hyperlink"/>
                <w:rFonts w:eastAsiaTheme="majorEastAsia"/>
                <w:b/>
                <w:bCs/>
                <w:webHidden/>
              </w:rPr>
              <w:t>7</w:t>
            </w:r>
            <w:r w:rsidR="00316421" w:rsidRPr="00316421">
              <w:rPr>
                <w:rStyle w:val="Hyperlink"/>
                <w:rFonts w:eastAsiaTheme="majorEastAsia"/>
                <w:b/>
                <w:bCs/>
                <w:webHidden/>
              </w:rPr>
              <w:fldChar w:fldCharType="end"/>
            </w:r>
          </w:hyperlink>
        </w:p>
        <w:p w14:paraId="39D6B153" w14:textId="5A64BB90" w:rsidR="00316421" w:rsidRPr="00316421" w:rsidRDefault="005E43FA">
          <w:pPr>
            <w:pStyle w:val="TOC2"/>
            <w:tabs>
              <w:tab w:val="right" w:leader="dot" w:pos="9629"/>
            </w:tabs>
            <w:rPr>
              <w:rStyle w:val="Hyperlink"/>
              <w:rFonts w:eastAsiaTheme="majorEastAsia"/>
              <w:b/>
              <w:bCs/>
            </w:rPr>
          </w:pPr>
          <w:hyperlink w:anchor="_Toc82496903" w:history="1">
            <w:r w:rsidR="00316421" w:rsidRPr="00316421">
              <w:rPr>
                <w:rStyle w:val="Hyperlink"/>
                <w:rFonts w:eastAsiaTheme="majorEastAsia"/>
                <w:b/>
                <w:bCs/>
                <w:noProof/>
              </w:rPr>
              <w:t>EXECUTIVE &amp; CORPORATE SERVICES</w:t>
            </w:r>
            <w:r w:rsidR="00316421" w:rsidRPr="00316421">
              <w:rPr>
                <w:rStyle w:val="Hyperlink"/>
                <w:rFonts w:eastAsiaTheme="majorEastAsia"/>
                <w:b/>
                <w:bCs/>
                <w:webHidden/>
              </w:rPr>
              <w:tab/>
            </w:r>
            <w:r w:rsidR="00316421" w:rsidRPr="00316421">
              <w:rPr>
                <w:rStyle w:val="Hyperlink"/>
                <w:rFonts w:eastAsiaTheme="majorEastAsia"/>
                <w:b/>
                <w:bCs/>
                <w:webHidden/>
              </w:rPr>
              <w:fldChar w:fldCharType="begin"/>
            </w:r>
            <w:r w:rsidR="00316421" w:rsidRPr="00316421">
              <w:rPr>
                <w:rStyle w:val="Hyperlink"/>
                <w:rFonts w:eastAsiaTheme="majorEastAsia"/>
                <w:b/>
                <w:bCs/>
                <w:webHidden/>
              </w:rPr>
              <w:instrText xml:space="preserve"> PAGEREF _Toc82496903 \h </w:instrText>
            </w:r>
            <w:r w:rsidR="00316421" w:rsidRPr="00316421">
              <w:rPr>
                <w:rStyle w:val="Hyperlink"/>
                <w:rFonts w:eastAsiaTheme="majorEastAsia"/>
                <w:b/>
                <w:bCs/>
                <w:webHidden/>
              </w:rPr>
            </w:r>
            <w:r w:rsidR="00316421" w:rsidRPr="00316421">
              <w:rPr>
                <w:rStyle w:val="Hyperlink"/>
                <w:rFonts w:eastAsiaTheme="majorEastAsia"/>
                <w:b/>
                <w:bCs/>
                <w:webHidden/>
              </w:rPr>
              <w:fldChar w:fldCharType="separate"/>
            </w:r>
            <w:r w:rsidR="00316421" w:rsidRPr="00316421">
              <w:rPr>
                <w:rStyle w:val="Hyperlink"/>
                <w:rFonts w:eastAsiaTheme="majorEastAsia"/>
                <w:b/>
                <w:bCs/>
                <w:webHidden/>
              </w:rPr>
              <w:t>8</w:t>
            </w:r>
            <w:r w:rsidR="00316421" w:rsidRPr="00316421">
              <w:rPr>
                <w:rStyle w:val="Hyperlink"/>
                <w:rFonts w:eastAsiaTheme="majorEastAsia"/>
                <w:b/>
                <w:bCs/>
                <w:webHidden/>
              </w:rPr>
              <w:fldChar w:fldCharType="end"/>
            </w:r>
          </w:hyperlink>
        </w:p>
        <w:p w14:paraId="7C5D8A2D" w14:textId="572E4728" w:rsidR="00316421" w:rsidRPr="00316421" w:rsidRDefault="005E43FA" w:rsidP="00316421">
          <w:pPr>
            <w:pStyle w:val="TOC2"/>
            <w:tabs>
              <w:tab w:val="right" w:leader="dot" w:pos="9629"/>
            </w:tabs>
            <w:rPr>
              <w:rStyle w:val="Hyperlink"/>
              <w:rFonts w:eastAsiaTheme="majorEastAsia"/>
              <w:b/>
              <w:bCs/>
            </w:rPr>
          </w:pPr>
          <w:hyperlink w:anchor="_Toc82496904" w:history="1">
            <w:r w:rsidR="00316421" w:rsidRPr="00316421">
              <w:rPr>
                <w:rStyle w:val="Hyperlink"/>
                <w:rFonts w:eastAsiaTheme="majorEastAsia"/>
                <w:b/>
                <w:bCs/>
                <w:noProof/>
              </w:rPr>
              <w:t>STRATEGY &amp; PLANNING</w:t>
            </w:r>
            <w:r w:rsidR="00316421" w:rsidRPr="00316421">
              <w:rPr>
                <w:rStyle w:val="Hyperlink"/>
                <w:rFonts w:eastAsiaTheme="majorEastAsia"/>
                <w:b/>
                <w:bCs/>
                <w:webHidden/>
              </w:rPr>
              <w:tab/>
            </w:r>
            <w:r w:rsidR="00316421" w:rsidRPr="00316421">
              <w:rPr>
                <w:rStyle w:val="Hyperlink"/>
                <w:rFonts w:eastAsiaTheme="majorEastAsia"/>
                <w:b/>
                <w:bCs/>
                <w:webHidden/>
              </w:rPr>
              <w:fldChar w:fldCharType="begin"/>
            </w:r>
            <w:r w:rsidR="00316421" w:rsidRPr="00316421">
              <w:rPr>
                <w:rStyle w:val="Hyperlink"/>
                <w:rFonts w:eastAsiaTheme="majorEastAsia"/>
                <w:b/>
                <w:bCs/>
                <w:webHidden/>
              </w:rPr>
              <w:instrText xml:space="preserve"> PAGEREF _Toc82496904 \h </w:instrText>
            </w:r>
            <w:r w:rsidR="00316421" w:rsidRPr="00316421">
              <w:rPr>
                <w:rStyle w:val="Hyperlink"/>
                <w:rFonts w:eastAsiaTheme="majorEastAsia"/>
                <w:b/>
                <w:bCs/>
                <w:webHidden/>
              </w:rPr>
            </w:r>
            <w:r w:rsidR="00316421" w:rsidRPr="00316421">
              <w:rPr>
                <w:rStyle w:val="Hyperlink"/>
                <w:rFonts w:eastAsiaTheme="majorEastAsia"/>
                <w:b/>
                <w:bCs/>
                <w:noProof/>
                <w:webHidden/>
              </w:rPr>
              <w:fldChar w:fldCharType="separate"/>
            </w:r>
            <w:r w:rsidR="00316421" w:rsidRPr="00316421">
              <w:rPr>
                <w:rStyle w:val="Hyperlink"/>
                <w:rFonts w:eastAsiaTheme="majorEastAsia"/>
                <w:b/>
                <w:bCs/>
                <w:webHidden/>
              </w:rPr>
              <w:t>8</w:t>
            </w:r>
            <w:r w:rsidR="00316421" w:rsidRPr="00316421">
              <w:rPr>
                <w:rStyle w:val="Hyperlink"/>
                <w:rFonts w:eastAsiaTheme="majorEastAsia"/>
                <w:b/>
                <w:bCs/>
                <w:webHidden/>
              </w:rPr>
              <w:fldChar w:fldCharType="end"/>
            </w:r>
          </w:hyperlink>
        </w:p>
        <w:p w14:paraId="2B8AD610" w14:textId="77075B8D" w:rsidR="00316421" w:rsidRPr="00316421" w:rsidRDefault="005E43FA" w:rsidP="00316421">
          <w:pPr>
            <w:pStyle w:val="TOC2"/>
            <w:tabs>
              <w:tab w:val="right" w:leader="dot" w:pos="9629"/>
            </w:tabs>
            <w:rPr>
              <w:rStyle w:val="Hyperlink"/>
              <w:rFonts w:eastAsiaTheme="majorEastAsia"/>
              <w:b/>
              <w:bCs/>
            </w:rPr>
          </w:pPr>
          <w:hyperlink w:anchor="_Toc82496905" w:history="1">
            <w:r w:rsidR="00316421" w:rsidRPr="00316421">
              <w:rPr>
                <w:rStyle w:val="Hyperlink"/>
                <w:rFonts w:eastAsiaTheme="majorEastAsia"/>
                <w:b/>
                <w:bCs/>
                <w:noProof/>
              </w:rPr>
              <w:t>FACILITIES</w:t>
            </w:r>
            <w:r w:rsidR="00316421" w:rsidRPr="00316421">
              <w:rPr>
                <w:rStyle w:val="Hyperlink"/>
                <w:rFonts w:eastAsiaTheme="majorEastAsia"/>
                <w:b/>
                <w:bCs/>
                <w:webHidden/>
              </w:rPr>
              <w:tab/>
            </w:r>
            <w:r w:rsidR="00316421" w:rsidRPr="00316421">
              <w:rPr>
                <w:rStyle w:val="Hyperlink"/>
                <w:rFonts w:eastAsiaTheme="majorEastAsia"/>
                <w:b/>
                <w:bCs/>
                <w:webHidden/>
              </w:rPr>
              <w:fldChar w:fldCharType="begin"/>
            </w:r>
            <w:r w:rsidR="00316421" w:rsidRPr="00316421">
              <w:rPr>
                <w:rStyle w:val="Hyperlink"/>
                <w:rFonts w:eastAsiaTheme="majorEastAsia"/>
                <w:b/>
                <w:bCs/>
                <w:webHidden/>
              </w:rPr>
              <w:instrText xml:space="preserve"> PAGEREF _Toc82496905 \h </w:instrText>
            </w:r>
            <w:r w:rsidR="00316421" w:rsidRPr="00316421">
              <w:rPr>
                <w:rStyle w:val="Hyperlink"/>
                <w:rFonts w:eastAsiaTheme="majorEastAsia"/>
                <w:b/>
                <w:bCs/>
                <w:webHidden/>
              </w:rPr>
            </w:r>
            <w:r w:rsidR="00316421" w:rsidRPr="00316421">
              <w:rPr>
                <w:rStyle w:val="Hyperlink"/>
                <w:rFonts w:eastAsiaTheme="majorEastAsia"/>
                <w:b/>
                <w:bCs/>
                <w:noProof/>
                <w:webHidden/>
              </w:rPr>
              <w:fldChar w:fldCharType="separate"/>
            </w:r>
            <w:r w:rsidR="00316421" w:rsidRPr="00316421">
              <w:rPr>
                <w:rStyle w:val="Hyperlink"/>
                <w:rFonts w:eastAsiaTheme="majorEastAsia"/>
                <w:b/>
                <w:bCs/>
                <w:webHidden/>
              </w:rPr>
              <w:t>8</w:t>
            </w:r>
            <w:r w:rsidR="00316421" w:rsidRPr="00316421">
              <w:rPr>
                <w:rStyle w:val="Hyperlink"/>
                <w:rFonts w:eastAsiaTheme="majorEastAsia"/>
                <w:b/>
                <w:bCs/>
                <w:webHidden/>
              </w:rPr>
              <w:fldChar w:fldCharType="end"/>
            </w:r>
          </w:hyperlink>
        </w:p>
        <w:p w14:paraId="0842E514" w14:textId="34ACA0B7" w:rsidR="00316421" w:rsidRPr="00316421" w:rsidRDefault="005E43FA" w:rsidP="00316421">
          <w:pPr>
            <w:pStyle w:val="TOC2"/>
            <w:tabs>
              <w:tab w:val="right" w:leader="dot" w:pos="9629"/>
            </w:tabs>
            <w:rPr>
              <w:rStyle w:val="Hyperlink"/>
              <w:rFonts w:eastAsiaTheme="majorEastAsia"/>
              <w:b/>
              <w:bCs/>
            </w:rPr>
          </w:pPr>
          <w:hyperlink w:anchor="_Toc82496906" w:history="1">
            <w:r w:rsidR="00316421" w:rsidRPr="00316421">
              <w:rPr>
                <w:rStyle w:val="Hyperlink"/>
                <w:rFonts w:eastAsiaTheme="majorEastAsia"/>
                <w:b/>
                <w:bCs/>
                <w:noProof/>
              </w:rPr>
              <w:t>GROUP RESEARCH &amp; DEVELOPMENT</w:t>
            </w:r>
            <w:r w:rsidR="00316421" w:rsidRPr="00316421">
              <w:rPr>
                <w:rStyle w:val="Hyperlink"/>
                <w:rFonts w:eastAsiaTheme="majorEastAsia"/>
                <w:b/>
                <w:bCs/>
                <w:webHidden/>
              </w:rPr>
              <w:tab/>
            </w:r>
            <w:r w:rsidR="00316421" w:rsidRPr="00316421">
              <w:rPr>
                <w:rStyle w:val="Hyperlink"/>
                <w:rFonts w:eastAsiaTheme="majorEastAsia"/>
                <w:b/>
                <w:bCs/>
                <w:webHidden/>
              </w:rPr>
              <w:fldChar w:fldCharType="begin"/>
            </w:r>
            <w:r w:rsidR="00316421" w:rsidRPr="00316421">
              <w:rPr>
                <w:rStyle w:val="Hyperlink"/>
                <w:rFonts w:eastAsiaTheme="majorEastAsia"/>
                <w:b/>
                <w:bCs/>
                <w:webHidden/>
              </w:rPr>
              <w:instrText xml:space="preserve"> PAGEREF _Toc82496906 \h </w:instrText>
            </w:r>
            <w:r w:rsidR="00316421" w:rsidRPr="00316421">
              <w:rPr>
                <w:rStyle w:val="Hyperlink"/>
                <w:rFonts w:eastAsiaTheme="majorEastAsia"/>
                <w:b/>
                <w:bCs/>
                <w:webHidden/>
              </w:rPr>
            </w:r>
            <w:r w:rsidR="00316421" w:rsidRPr="00316421">
              <w:rPr>
                <w:rStyle w:val="Hyperlink"/>
                <w:rFonts w:eastAsiaTheme="majorEastAsia"/>
                <w:b/>
                <w:bCs/>
                <w:noProof/>
                <w:webHidden/>
              </w:rPr>
              <w:fldChar w:fldCharType="separate"/>
            </w:r>
            <w:r w:rsidR="00316421" w:rsidRPr="00316421">
              <w:rPr>
                <w:rStyle w:val="Hyperlink"/>
                <w:rFonts w:eastAsiaTheme="majorEastAsia"/>
                <w:b/>
                <w:bCs/>
                <w:webHidden/>
              </w:rPr>
              <w:t>8</w:t>
            </w:r>
            <w:r w:rsidR="00316421" w:rsidRPr="00316421">
              <w:rPr>
                <w:rStyle w:val="Hyperlink"/>
                <w:rFonts w:eastAsiaTheme="majorEastAsia"/>
                <w:b/>
                <w:bCs/>
                <w:webHidden/>
              </w:rPr>
              <w:fldChar w:fldCharType="end"/>
            </w:r>
          </w:hyperlink>
        </w:p>
        <w:p w14:paraId="095AEBC3" w14:textId="550E478F" w:rsidR="00316421" w:rsidRPr="00316421" w:rsidRDefault="005E43FA" w:rsidP="00316421">
          <w:pPr>
            <w:pStyle w:val="TOC2"/>
            <w:tabs>
              <w:tab w:val="right" w:leader="dot" w:pos="9629"/>
            </w:tabs>
            <w:rPr>
              <w:rStyle w:val="Hyperlink"/>
              <w:rFonts w:eastAsiaTheme="majorEastAsia"/>
              <w:b/>
              <w:bCs/>
            </w:rPr>
          </w:pPr>
          <w:hyperlink w:anchor="_Toc82496907" w:history="1">
            <w:r w:rsidR="00316421" w:rsidRPr="00316421">
              <w:rPr>
                <w:rStyle w:val="Hyperlink"/>
                <w:rFonts w:eastAsiaTheme="majorEastAsia"/>
                <w:b/>
                <w:bCs/>
                <w:noProof/>
              </w:rPr>
              <w:t>GLOBAL BUSINESS SERVICES</w:t>
            </w:r>
            <w:r w:rsidR="00316421" w:rsidRPr="00316421">
              <w:rPr>
                <w:rStyle w:val="Hyperlink"/>
                <w:rFonts w:eastAsiaTheme="majorEastAsia"/>
                <w:b/>
                <w:bCs/>
                <w:webHidden/>
              </w:rPr>
              <w:tab/>
            </w:r>
            <w:r w:rsidR="00316421" w:rsidRPr="00316421">
              <w:rPr>
                <w:rStyle w:val="Hyperlink"/>
                <w:rFonts w:eastAsiaTheme="majorEastAsia"/>
                <w:b/>
                <w:bCs/>
                <w:webHidden/>
              </w:rPr>
              <w:fldChar w:fldCharType="begin"/>
            </w:r>
            <w:r w:rsidR="00316421" w:rsidRPr="00316421">
              <w:rPr>
                <w:rStyle w:val="Hyperlink"/>
                <w:rFonts w:eastAsiaTheme="majorEastAsia"/>
                <w:b/>
                <w:bCs/>
                <w:webHidden/>
              </w:rPr>
              <w:instrText xml:space="preserve"> PAGEREF _Toc82496907 \h </w:instrText>
            </w:r>
            <w:r w:rsidR="00316421" w:rsidRPr="00316421">
              <w:rPr>
                <w:rStyle w:val="Hyperlink"/>
                <w:rFonts w:eastAsiaTheme="majorEastAsia"/>
                <w:b/>
                <w:bCs/>
                <w:webHidden/>
              </w:rPr>
            </w:r>
            <w:r w:rsidR="00316421" w:rsidRPr="00316421">
              <w:rPr>
                <w:rStyle w:val="Hyperlink"/>
                <w:rFonts w:eastAsiaTheme="majorEastAsia"/>
                <w:b/>
                <w:bCs/>
                <w:noProof/>
                <w:webHidden/>
              </w:rPr>
              <w:fldChar w:fldCharType="separate"/>
            </w:r>
            <w:r w:rsidR="00316421" w:rsidRPr="00316421">
              <w:rPr>
                <w:rStyle w:val="Hyperlink"/>
                <w:rFonts w:eastAsiaTheme="majorEastAsia"/>
                <w:b/>
                <w:bCs/>
                <w:webHidden/>
              </w:rPr>
              <w:t>9</w:t>
            </w:r>
            <w:r w:rsidR="00316421" w:rsidRPr="00316421">
              <w:rPr>
                <w:rStyle w:val="Hyperlink"/>
                <w:rFonts w:eastAsiaTheme="majorEastAsia"/>
                <w:b/>
                <w:bCs/>
                <w:webHidden/>
              </w:rPr>
              <w:fldChar w:fldCharType="end"/>
            </w:r>
          </w:hyperlink>
        </w:p>
        <w:p w14:paraId="001353DD" w14:textId="3D49EF81" w:rsidR="00316421" w:rsidRPr="00316421" w:rsidRDefault="005E43FA" w:rsidP="00316421">
          <w:pPr>
            <w:pStyle w:val="TOC2"/>
            <w:tabs>
              <w:tab w:val="right" w:leader="dot" w:pos="9629"/>
            </w:tabs>
            <w:rPr>
              <w:rStyle w:val="Hyperlink"/>
              <w:rFonts w:eastAsiaTheme="majorEastAsia"/>
              <w:b/>
            </w:rPr>
          </w:pPr>
          <w:hyperlink w:anchor="_Toc82496908" w:history="1">
            <w:r w:rsidR="00316421" w:rsidRPr="00316421">
              <w:rPr>
                <w:rStyle w:val="Hyperlink"/>
                <w:rFonts w:eastAsiaTheme="majorEastAsia"/>
                <w:b/>
                <w:bCs/>
                <w:noProof/>
              </w:rPr>
              <w:t>COST CATEGORY</w:t>
            </w:r>
            <w:r w:rsidR="00316421" w:rsidRPr="00316421">
              <w:rPr>
                <w:rStyle w:val="Hyperlink"/>
                <w:rFonts w:eastAsiaTheme="majorEastAsia"/>
                <w:b/>
                <w:bCs/>
                <w:webHidden/>
              </w:rPr>
              <w:tab/>
            </w:r>
            <w:r w:rsidR="00316421" w:rsidRPr="00316421">
              <w:rPr>
                <w:rStyle w:val="Hyperlink"/>
                <w:rFonts w:eastAsiaTheme="majorEastAsia"/>
                <w:b/>
                <w:bCs/>
                <w:webHidden/>
              </w:rPr>
              <w:fldChar w:fldCharType="begin"/>
            </w:r>
            <w:r w:rsidR="00316421" w:rsidRPr="00316421">
              <w:rPr>
                <w:rStyle w:val="Hyperlink"/>
                <w:rFonts w:eastAsiaTheme="majorEastAsia"/>
                <w:b/>
                <w:bCs/>
                <w:webHidden/>
              </w:rPr>
              <w:instrText xml:space="preserve"> PAGEREF _Toc82496908 \h </w:instrText>
            </w:r>
            <w:r w:rsidR="00316421" w:rsidRPr="00316421">
              <w:rPr>
                <w:rStyle w:val="Hyperlink"/>
                <w:rFonts w:eastAsiaTheme="majorEastAsia"/>
                <w:b/>
                <w:bCs/>
                <w:webHidden/>
              </w:rPr>
            </w:r>
            <w:r w:rsidR="00316421" w:rsidRPr="00316421">
              <w:rPr>
                <w:rStyle w:val="Hyperlink"/>
                <w:rFonts w:eastAsiaTheme="majorEastAsia"/>
                <w:b/>
                <w:bCs/>
                <w:noProof/>
                <w:webHidden/>
              </w:rPr>
              <w:fldChar w:fldCharType="separate"/>
            </w:r>
            <w:r w:rsidR="00316421" w:rsidRPr="00316421">
              <w:rPr>
                <w:rStyle w:val="Hyperlink"/>
                <w:rFonts w:eastAsiaTheme="majorEastAsia"/>
                <w:b/>
                <w:bCs/>
                <w:webHidden/>
              </w:rPr>
              <w:t>12</w:t>
            </w:r>
            <w:r w:rsidR="00316421" w:rsidRPr="00316421">
              <w:rPr>
                <w:rStyle w:val="Hyperlink"/>
                <w:rFonts w:eastAsiaTheme="majorEastAsia"/>
                <w:b/>
                <w:bCs/>
                <w:webHidden/>
              </w:rPr>
              <w:fldChar w:fldCharType="end"/>
            </w:r>
          </w:hyperlink>
        </w:p>
        <w:p w14:paraId="08734E99" w14:textId="0084E55C" w:rsidR="0081660E" w:rsidRPr="00316421" w:rsidRDefault="0081660E" w:rsidP="00316421">
          <w:pPr>
            <w:pStyle w:val="TOC2"/>
            <w:tabs>
              <w:tab w:val="right" w:leader="dot" w:pos="9629"/>
            </w:tabs>
            <w:rPr>
              <w:rStyle w:val="Hyperlink"/>
              <w:rFonts w:eastAsiaTheme="majorEastAsia"/>
              <w:b/>
              <w:noProof/>
            </w:rPr>
          </w:pPr>
          <w:r w:rsidRPr="00316421">
            <w:rPr>
              <w:rStyle w:val="Hyperlink"/>
              <w:rFonts w:eastAsiaTheme="majorEastAsia"/>
              <w:b/>
            </w:rPr>
            <w:fldChar w:fldCharType="end"/>
          </w:r>
        </w:p>
      </w:sdtContent>
    </w:sdt>
    <w:p w14:paraId="1F9538F5" w14:textId="3AB6E459" w:rsidR="0081660E" w:rsidRDefault="0081660E" w:rsidP="00EE5948">
      <w:pPr>
        <w:rPr>
          <w:b/>
        </w:rPr>
      </w:pPr>
    </w:p>
    <w:p w14:paraId="1562FFE7" w14:textId="12000508" w:rsidR="0081660E" w:rsidRDefault="0081660E" w:rsidP="00EE5948">
      <w:pPr>
        <w:rPr>
          <w:b/>
        </w:rPr>
      </w:pPr>
    </w:p>
    <w:p w14:paraId="25CDBBA8" w14:textId="60A4D4E6" w:rsidR="0081660E" w:rsidRDefault="0081660E" w:rsidP="00EE5948">
      <w:pPr>
        <w:rPr>
          <w:b/>
        </w:rPr>
      </w:pPr>
    </w:p>
    <w:p w14:paraId="2E887697" w14:textId="443A3C12" w:rsidR="0081660E" w:rsidRDefault="0081660E" w:rsidP="00EE5948">
      <w:pPr>
        <w:rPr>
          <w:b/>
        </w:rPr>
      </w:pPr>
    </w:p>
    <w:p w14:paraId="4772599F" w14:textId="27868A10" w:rsidR="0081660E" w:rsidRDefault="0081660E" w:rsidP="00EE5948">
      <w:pPr>
        <w:rPr>
          <w:b/>
        </w:rPr>
      </w:pPr>
    </w:p>
    <w:p w14:paraId="6F6B46D3" w14:textId="018903A5" w:rsidR="0081660E" w:rsidRDefault="0081660E" w:rsidP="00EE5948">
      <w:pPr>
        <w:rPr>
          <w:b/>
        </w:rPr>
      </w:pPr>
    </w:p>
    <w:p w14:paraId="005D6F24" w14:textId="1B7D7346" w:rsidR="0081660E" w:rsidRDefault="0081660E" w:rsidP="00EE5948">
      <w:pPr>
        <w:rPr>
          <w:b/>
        </w:rPr>
      </w:pPr>
    </w:p>
    <w:p w14:paraId="36BC1670" w14:textId="68B59822" w:rsidR="0081660E" w:rsidRDefault="0081660E" w:rsidP="00EE5948">
      <w:pPr>
        <w:rPr>
          <w:b/>
        </w:rPr>
      </w:pPr>
    </w:p>
    <w:p w14:paraId="199A3B34" w14:textId="76946715" w:rsidR="0081660E" w:rsidRDefault="0081660E" w:rsidP="00EE5948">
      <w:pPr>
        <w:rPr>
          <w:b/>
        </w:rPr>
      </w:pPr>
    </w:p>
    <w:p w14:paraId="36437748" w14:textId="5543D94D" w:rsidR="00A158DD" w:rsidRDefault="00A158DD" w:rsidP="00EE5948">
      <w:pPr>
        <w:rPr>
          <w:b/>
        </w:rPr>
      </w:pPr>
    </w:p>
    <w:p w14:paraId="26F43824" w14:textId="021A7667" w:rsidR="00A158DD" w:rsidRDefault="00A158DD" w:rsidP="00EE5948">
      <w:pPr>
        <w:rPr>
          <w:b/>
        </w:rPr>
      </w:pPr>
    </w:p>
    <w:p w14:paraId="4C3CFF2C" w14:textId="5B1605D7" w:rsidR="00A158DD" w:rsidRDefault="00A158DD" w:rsidP="00EE5948">
      <w:pPr>
        <w:rPr>
          <w:b/>
        </w:rPr>
      </w:pPr>
    </w:p>
    <w:p w14:paraId="76EAE530" w14:textId="2C676BB5" w:rsidR="00A158DD" w:rsidRDefault="00A158DD" w:rsidP="00EE5948">
      <w:pPr>
        <w:rPr>
          <w:b/>
        </w:rPr>
      </w:pPr>
    </w:p>
    <w:p w14:paraId="169BCF9B" w14:textId="72782068" w:rsidR="00A158DD" w:rsidRDefault="00A158DD" w:rsidP="00EE5948">
      <w:pPr>
        <w:rPr>
          <w:b/>
        </w:rPr>
      </w:pPr>
    </w:p>
    <w:p w14:paraId="05803158" w14:textId="21F19E50" w:rsidR="00A158DD" w:rsidRDefault="00A158DD" w:rsidP="00EE5948">
      <w:pPr>
        <w:rPr>
          <w:b/>
        </w:rPr>
      </w:pPr>
    </w:p>
    <w:p w14:paraId="4D533662" w14:textId="0C5A26D8" w:rsidR="00A158DD" w:rsidRDefault="00A158DD" w:rsidP="00EE5948">
      <w:pPr>
        <w:rPr>
          <w:b/>
        </w:rPr>
      </w:pPr>
    </w:p>
    <w:p w14:paraId="7990ECC1" w14:textId="47D7A279" w:rsidR="00A158DD" w:rsidRDefault="00A158DD" w:rsidP="00EE5948">
      <w:pPr>
        <w:rPr>
          <w:b/>
        </w:rPr>
      </w:pPr>
    </w:p>
    <w:p w14:paraId="3680C743" w14:textId="05691DE0" w:rsidR="00A158DD" w:rsidRDefault="00A158DD" w:rsidP="00EE5948">
      <w:pPr>
        <w:rPr>
          <w:b/>
        </w:rPr>
      </w:pPr>
    </w:p>
    <w:p w14:paraId="2CABC742" w14:textId="5508013F" w:rsidR="00A158DD" w:rsidRDefault="00A158DD" w:rsidP="00EE5948">
      <w:pPr>
        <w:rPr>
          <w:b/>
        </w:rPr>
      </w:pPr>
    </w:p>
    <w:p w14:paraId="2F24B8A9" w14:textId="2ECCFF04" w:rsidR="00A158DD" w:rsidRDefault="00A158DD" w:rsidP="00EE5948">
      <w:pPr>
        <w:rPr>
          <w:b/>
        </w:rPr>
      </w:pPr>
    </w:p>
    <w:p w14:paraId="09600B35" w14:textId="449AA00F" w:rsidR="00A158DD" w:rsidRDefault="00A158DD" w:rsidP="00EE5948">
      <w:pPr>
        <w:rPr>
          <w:b/>
        </w:rPr>
      </w:pPr>
    </w:p>
    <w:p w14:paraId="7AFB34F0" w14:textId="122AE50F" w:rsidR="00A158DD" w:rsidRDefault="00A158DD" w:rsidP="00EE5948">
      <w:pPr>
        <w:rPr>
          <w:b/>
        </w:rPr>
      </w:pPr>
    </w:p>
    <w:p w14:paraId="12A22C52" w14:textId="728AFE48" w:rsidR="00A158DD" w:rsidRDefault="00A158DD" w:rsidP="00EE5948">
      <w:pPr>
        <w:rPr>
          <w:b/>
        </w:rPr>
      </w:pPr>
    </w:p>
    <w:p w14:paraId="594A0EB5" w14:textId="09232E04" w:rsidR="00A158DD" w:rsidRDefault="00A158DD" w:rsidP="00EE5948">
      <w:pPr>
        <w:rPr>
          <w:b/>
        </w:rPr>
      </w:pPr>
    </w:p>
    <w:p w14:paraId="17873695" w14:textId="77777777" w:rsidR="007F1288" w:rsidRDefault="007F1288" w:rsidP="00A158DD">
      <w:pPr>
        <w:rPr>
          <w:b/>
        </w:rPr>
      </w:pPr>
    </w:p>
    <w:p w14:paraId="60E71FF8" w14:textId="55396FEA" w:rsidR="00A158DD" w:rsidRPr="0081660E" w:rsidRDefault="00A158DD" w:rsidP="00A158DD">
      <w:pPr>
        <w:rPr>
          <w:rStyle w:val="IntenseReference"/>
        </w:rPr>
      </w:pPr>
      <w:r w:rsidRPr="0081660E">
        <w:rPr>
          <w:rStyle w:val="IntenseReference"/>
        </w:rPr>
        <w:lastRenderedPageBreak/>
        <w:t>Objective</w:t>
      </w:r>
    </w:p>
    <w:p w14:paraId="1DC25565" w14:textId="77777777" w:rsidR="00A158DD" w:rsidRPr="00A158DD" w:rsidRDefault="00A158DD" w:rsidP="00A158DD">
      <w:pPr>
        <w:jc w:val="both"/>
        <w:rPr>
          <w:b/>
          <w:sz w:val="10"/>
          <w:szCs w:val="10"/>
        </w:rPr>
      </w:pPr>
    </w:p>
    <w:p w14:paraId="4352D789" w14:textId="77777777" w:rsidR="00A158DD" w:rsidRPr="0081660E" w:rsidRDefault="00A158DD" w:rsidP="00A158DD">
      <w:pPr>
        <w:autoSpaceDE w:val="0"/>
        <w:autoSpaceDN w:val="0"/>
        <w:adjustRightInd w:val="0"/>
        <w:ind w:firstLine="567"/>
      </w:pPr>
      <w:r w:rsidRPr="0081660E">
        <w:rPr>
          <w:lang w:val="en-US" w:eastAsia="zh-TW"/>
        </w:rPr>
        <w:t>The ‘Black Book’ provides a framework for the reporting and classification across the Group of the “other overheads” category. It outlines principles and provides standards of how “other overheads” will be treated to ensure consistency and a transparent benchmark. These overheads reporting standardization will allow the Group to have accurate and reliable information about functional other overheads at all levels of the organization.</w:t>
      </w:r>
      <w:r w:rsidRPr="0081660E">
        <w:rPr>
          <w:rFonts w:ascii="StoneSans" w:hAnsi="StoneSans" w:cs="StoneSans"/>
          <w:sz w:val="30"/>
          <w:szCs w:val="30"/>
          <w:lang w:val="en-US" w:eastAsia="zh-TW"/>
        </w:rPr>
        <w:t xml:space="preserve"> </w:t>
      </w:r>
    </w:p>
    <w:p w14:paraId="5C23866C" w14:textId="77777777" w:rsidR="00A158DD" w:rsidRPr="0081660E" w:rsidRDefault="00A158DD" w:rsidP="00A158DD">
      <w:pPr>
        <w:jc w:val="both"/>
      </w:pPr>
      <w:r w:rsidRPr="0081660E">
        <w:t>It also includes the guidelines on the cost categories definitions.</w:t>
      </w:r>
    </w:p>
    <w:p w14:paraId="59E8CD67" w14:textId="77777777" w:rsidR="00A158DD" w:rsidRPr="00A158DD" w:rsidRDefault="00A158DD" w:rsidP="00A158DD">
      <w:pPr>
        <w:rPr>
          <w:sz w:val="10"/>
          <w:szCs w:val="10"/>
        </w:rPr>
      </w:pPr>
    </w:p>
    <w:p w14:paraId="531CBF09" w14:textId="77777777" w:rsidR="00A158DD" w:rsidRPr="00EB1FD7" w:rsidRDefault="00A158DD" w:rsidP="00A158DD">
      <w:pPr>
        <w:autoSpaceDE w:val="0"/>
        <w:autoSpaceDN w:val="0"/>
        <w:adjustRightInd w:val="0"/>
        <w:rPr>
          <w:i/>
          <w:iCs/>
          <w:color w:val="231F20"/>
          <w:sz w:val="22"/>
          <w:szCs w:val="22"/>
          <w:lang w:val="en-US" w:eastAsia="zh-TW"/>
        </w:rPr>
      </w:pPr>
      <w:r w:rsidRPr="00EB1FD7">
        <w:rPr>
          <w:i/>
          <w:iCs/>
          <w:color w:val="231F20"/>
          <w:sz w:val="22"/>
          <w:szCs w:val="22"/>
          <w:lang w:val="en-US" w:eastAsia="zh-TW"/>
        </w:rPr>
        <w:t>Please note</w:t>
      </w:r>
    </w:p>
    <w:p w14:paraId="063E0366" w14:textId="7BC7E9B1" w:rsidR="00A158DD" w:rsidRPr="00EB1FD7" w:rsidRDefault="00A158DD" w:rsidP="00BF5CF6">
      <w:pPr>
        <w:autoSpaceDE w:val="0"/>
        <w:autoSpaceDN w:val="0"/>
        <w:adjustRightInd w:val="0"/>
        <w:ind w:firstLine="567"/>
        <w:rPr>
          <w:sz w:val="22"/>
          <w:szCs w:val="22"/>
        </w:rPr>
      </w:pPr>
      <w:r w:rsidRPr="00EB1FD7">
        <w:rPr>
          <w:i/>
          <w:iCs/>
          <w:color w:val="231F20"/>
          <w:sz w:val="22"/>
          <w:szCs w:val="22"/>
          <w:lang w:val="en-US" w:eastAsia="zh-TW"/>
        </w:rPr>
        <w:t>The Black Book does not include definitions and determination of the total list</w:t>
      </w:r>
      <w:r>
        <w:rPr>
          <w:i/>
          <w:iCs/>
          <w:color w:val="231F20"/>
          <w:sz w:val="22"/>
          <w:szCs w:val="22"/>
          <w:lang w:val="en-US" w:eastAsia="zh-TW"/>
        </w:rPr>
        <w:t xml:space="preserve"> </w:t>
      </w:r>
      <w:r w:rsidRPr="00EB1FD7">
        <w:rPr>
          <w:i/>
          <w:iCs/>
          <w:color w:val="231F20"/>
          <w:sz w:val="22"/>
          <w:szCs w:val="22"/>
          <w:lang w:val="en-US" w:eastAsia="zh-TW"/>
        </w:rPr>
        <w:t>of cost elements which will be within the scope of the Chart of Accounts.</w:t>
      </w:r>
      <w:r>
        <w:rPr>
          <w:i/>
          <w:iCs/>
          <w:color w:val="231F20"/>
          <w:sz w:val="22"/>
          <w:szCs w:val="22"/>
          <w:lang w:val="en-US" w:eastAsia="zh-TW"/>
        </w:rPr>
        <w:t xml:space="preserve"> </w:t>
      </w:r>
      <w:r w:rsidRPr="00EB1FD7">
        <w:rPr>
          <w:i/>
          <w:iCs/>
          <w:color w:val="231F20"/>
          <w:sz w:val="22"/>
          <w:szCs w:val="22"/>
          <w:lang w:val="en-US" w:eastAsia="zh-TW"/>
        </w:rPr>
        <w:t>The Black book also does not include definitions around Marketing and</w:t>
      </w:r>
      <w:r>
        <w:rPr>
          <w:i/>
          <w:iCs/>
          <w:color w:val="231F20"/>
          <w:sz w:val="22"/>
          <w:szCs w:val="22"/>
          <w:lang w:val="en-US" w:eastAsia="zh-TW"/>
        </w:rPr>
        <w:t xml:space="preserve"> </w:t>
      </w:r>
      <w:r w:rsidRPr="00EB1FD7">
        <w:rPr>
          <w:i/>
          <w:iCs/>
          <w:color w:val="231F20"/>
          <w:sz w:val="22"/>
          <w:szCs w:val="22"/>
          <w:lang w:val="en-US" w:eastAsia="zh-TW"/>
        </w:rPr>
        <w:t xml:space="preserve">Operations cost </w:t>
      </w:r>
      <w:proofErr w:type="spellStart"/>
      <w:r w:rsidRPr="00EB1FD7">
        <w:rPr>
          <w:i/>
          <w:iCs/>
          <w:color w:val="231F20"/>
          <w:sz w:val="22"/>
          <w:szCs w:val="22"/>
          <w:lang w:val="en-US" w:eastAsia="zh-TW"/>
        </w:rPr>
        <w:t>centres</w:t>
      </w:r>
      <w:proofErr w:type="spellEnd"/>
      <w:r w:rsidRPr="00EB1FD7">
        <w:rPr>
          <w:i/>
          <w:iCs/>
          <w:color w:val="231F20"/>
          <w:sz w:val="22"/>
          <w:szCs w:val="22"/>
          <w:lang w:val="en-US" w:eastAsia="zh-TW"/>
        </w:rPr>
        <w:t xml:space="preserve"> and functional overheads which are to be included</w:t>
      </w:r>
      <w:r w:rsidR="00BF5CF6">
        <w:rPr>
          <w:i/>
          <w:iCs/>
          <w:color w:val="231F20"/>
          <w:sz w:val="22"/>
          <w:szCs w:val="22"/>
          <w:lang w:val="en-US" w:eastAsia="zh-TW"/>
        </w:rPr>
        <w:t xml:space="preserve"> </w:t>
      </w:r>
      <w:r w:rsidRPr="00EB1FD7">
        <w:rPr>
          <w:i/>
          <w:iCs/>
          <w:color w:val="231F20"/>
          <w:sz w:val="22"/>
          <w:szCs w:val="22"/>
          <w:lang w:val="en-US" w:eastAsia="zh-TW"/>
        </w:rPr>
        <w:t>within the Pink and Green Books respectively.</w:t>
      </w:r>
    </w:p>
    <w:p w14:paraId="66B0CF8F" w14:textId="42FF239E" w:rsidR="0081660E" w:rsidRDefault="0081660E" w:rsidP="00EE5948">
      <w:pPr>
        <w:rPr>
          <w:b/>
        </w:rPr>
      </w:pPr>
    </w:p>
    <w:p w14:paraId="1182185F" w14:textId="73330AFC" w:rsidR="00EB1FD7" w:rsidRPr="00A158DD" w:rsidRDefault="00EB1FD7" w:rsidP="00EB1FD7">
      <w:pPr>
        <w:rPr>
          <w:rStyle w:val="IntenseReference"/>
          <w:bCs w:val="0"/>
        </w:rPr>
      </w:pPr>
      <w:r w:rsidRPr="00A158DD">
        <w:rPr>
          <w:rStyle w:val="IntenseReference"/>
          <w:bCs w:val="0"/>
        </w:rPr>
        <w:t>Global Cost Centre Structure</w:t>
      </w:r>
    </w:p>
    <w:p w14:paraId="083953B2" w14:textId="77777777" w:rsidR="00A158DD" w:rsidRPr="00A158DD" w:rsidRDefault="00A158DD" w:rsidP="00A158DD">
      <w:pPr>
        <w:ind w:firstLine="567"/>
        <w:rPr>
          <w:rStyle w:val="IntenseReference"/>
          <w:b w:val="0"/>
          <w:sz w:val="10"/>
          <w:szCs w:val="10"/>
        </w:rPr>
      </w:pPr>
    </w:p>
    <w:p w14:paraId="6A997A82" w14:textId="1265B77A" w:rsidR="00EB1FD7" w:rsidRPr="00EB1FD7" w:rsidRDefault="00EB1FD7" w:rsidP="00A158DD">
      <w:pPr>
        <w:ind w:firstLine="567"/>
        <w:rPr>
          <w:bCs/>
        </w:rPr>
      </w:pPr>
      <w:r w:rsidRPr="00EB1FD7">
        <w:rPr>
          <w:bCs/>
        </w:rPr>
        <w:t>The cost centre structure presented in this document is based</w:t>
      </w:r>
      <w:r>
        <w:rPr>
          <w:bCs/>
        </w:rPr>
        <w:t xml:space="preserve"> </w:t>
      </w:r>
      <w:r w:rsidRPr="00EB1FD7">
        <w:rPr>
          <w:bCs/>
        </w:rPr>
        <w:t>on primary (function) and secondary (department) levels only.</w:t>
      </w:r>
      <w:r>
        <w:rPr>
          <w:bCs/>
        </w:rPr>
        <w:t xml:space="preserve"> </w:t>
      </w:r>
      <w:r w:rsidRPr="00EB1FD7">
        <w:rPr>
          <w:bCs/>
        </w:rPr>
        <w:t>Departments can be further split into other sub cost centres</w:t>
      </w:r>
      <w:r>
        <w:rPr>
          <w:bCs/>
        </w:rPr>
        <w:t xml:space="preserve"> </w:t>
      </w:r>
      <w:r w:rsidRPr="00EB1FD7">
        <w:rPr>
          <w:bCs/>
        </w:rPr>
        <w:t>as necessary to reflect business structures of the entity.</w:t>
      </w:r>
    </w:p>
    <w:p w14:paraId="2BF6470C" w14:textId="77777777" w:rsidR="00EB1FD7" w:rsidRPr="00A158DD" w:rsidRDefault="00EB1FD7" w:rsidP="00EE5948">
      <w:pPr>
        <w:rPr>
          <w:b/>
          <w:sz w:val="10"/>
          <w:szCs w:val="10"/>
        </w:rPr>
      </w:pPr>
    </w:p>
    <w:p w14:paraId="0AB252CD" w14:textId="15606A96" w:rsidR="00EB1FD7" w:rsidRPr="00EB1FD7" w:rsidRDefault="00EB1FD7" w:rsidP="00A158DD">
      <w:pPr>
        <w:ind w:firstLine="567"/>
        <w:rPr>
          <w:bCs/>
        </w:rPr>
      </w:pPr>
      <w:r w:rsidRPr="00EB1FD7">
        <w:rPr>
          <w:bCs/>
        </w:rPr>
        <w:t>This cost centre structure reflects</w:t>
      </w:r>
      <w:r>
        <w:rPr>
          <w:bCs/>
        </w:rPr>
        <w:t xml:space="preserve"> </w:t>
      </w:r>
      <w:r w:rsidRPr="00EB1FD7">
        <w:rPr>
          <w:bCs/>
        </w:rPr>
        <w:t>recent developments in the</w:t>
      </w:r>
      <w:r>
        <w:rPr>
          <w:bCs/>
        </w:rPr>
        <w:t xml:space="preserve"> </w:t>
      </w:r>
      <w:r w:rsidRPr="00EB1FD7">
        <w:rPr>
          <w:bCs/>
        </w:rPr>
        <w:t>Group and uses a functional</w:t>
      </w:r>
      <w:r>
        <w:rPr>
          <w:bCs/>
        </w:rPr>
        <w:t xml:space="preserve"> </w:t>
      </w:r>
      <w:r w:rsidRPr="00EB1FD7">
        <w:rPr>
          <w:bCs/>
        </w:rPr>
        <w:t>(not a process) approach to</w:t>
      </w:r>
      <w:r>
        <w:rPr>
          <w:bCs/>
        </w:rPr>
        <w:t xml:space="preserve"> </w:t>
      </w:r>
      <w:r w:rsidRPr="00EB1FD7">
        <w:rPr>
          <w:bCs/>
        </w:rPr>
        <w:t xml:space="preserve">the </w:t>
      </w:r>
      <w:proofErr w:type="gramStart"/>
      <w:r w:rsidRPr="00EB1FD7">
        <w:rPr>
          <w:bCs/>
        </w:rPr>
        <w:t>overheads</w:t>
      </w:r>
      <w:proofErr w:type="gramEnd"/>
      <w:r w:rsidRPr="00EB1FD7">
        <w:rPr>
          <w:bCs/>
        </w:rPr>
        <w:t xml:space="preserve"> classification.</w:t>
      </w:r>
      <w:r>
        <w:rPr>
          <w:bCs/>
        </w:rPr>
        <w:t xml:space="preserve"> </w:t>
      </w:r>
      <w:r w:rsidRPr="00EB1FD7">
        <w:rPr>
          <w:bCs/>
        </w:rPr>
        <w:t>This principle applies</w:t>
      </w:r>
      <w:r>
        <w:rPr>
          <w:bCs/>
        </w:rPr>
        <w:t xml:space="preserve"> </w:t>
      </w:r>
      <w:r w:rsidRPr="00EB1FD7">
        <w:rPr>
          <w:bCs/>
        </w:rPr>
        <w:t>irrespective of the reporting</w:t>
      </w:r>
      <w:r>
        <w:rPr>
          <w:bCs/>
        </w:rPr>
        <w:t xml:space="preserve"> </w:t>
      </w:r>
      <w:r w:rsidRPr="00EB1FD7">
        <w:rPr>
          <w:bCs/>
        </w:rPr>
        <w:t>line of a particular function or</w:t>
      </w:r>
      <w:r>
        <w:rPr>
          <w:bCs/>
        </w:rPr>
        <w:t xml:space="preserve"> </w:t>
      </w:r>
      <w:r w:rsidRPr="00EB1FD7">
        <w:rPr>
          <w:bCs/>
        </w:rPr>
        <w:t>department. That will enable</w:t>
      </w:r>
      <w:r>
        <w:rPr>
          <w:bCs/>
        </w:rPr>
        <w:t xml:space="preserve"> </w:t>
      </w:r>
      <w:r w:rsidRPr="00EB1FD7">
        <w:rPr>
          <w:bCs/>
        </w:rPr>
        <w:t>the Group to see and analyse</w:t>
      </w:r>
    </w:p>
    <w:p w14:paraId="4F518B8C" w14:textId="685EB910" w:rsidR="00EB1FD7" w:rsidRDefault="00EB1FD7" w:rsidP="00EB1FD7">
      <w:pPr>
        <w:rPr>
          <w:b/>
        </w:rPr>
      </w:pPr>
      <w:r w:rsidRPr="00EB1FD7">
        <w:rPr>
          <w:bCs/>
        </w:rPr>
        <w:t>the cost of each function.</w:t>
      </w:r>
      <w:r>
        <w:rPr>
          <w:bCs/>
        </w:rPr>
        <w:t xml:space="preserve"> </w:t>
      </w:r>
      <w:r w:rsidRPr="00EB1FD7">
        <w:rPr>
          <w:bCs/>
        </w:rPr>
        <w:t>As you have noticed, there is</w:t>
      </w:r>
      <w:r>
        <w:rPr>
          <w:bCs/>
        </w:rPr>
        <w:t xml:space="preserve"> </w:t>
      </w:r>
      <w:r w:rsidRPr="00EB1FD7">
        <w:rPr>
          <w:bCs/>
        </w:rPr>
        <w:t>no cost centre named ‘Other’</w:t>
      </w:r>
      <w:r>
        <w:rPr>
          <w:bCs/>
        </w:rPr>
        <w:t xml:space="preserve"> </w:t>
      </w:r>
      <w:r w:rsidRPr="00EB1FD7">
        <w:rPr>
          <w:bCs/>
        </w:rPr>
        <w:t xml:space="preserve">in this </w:t>
      </w:r>
      <w:proofErr w:type="gramStart"/>
      <w:r w:rsidRPr="00EB1FD7">
        <w:rPr>
          <w:bCs/>
        </w:rPr>
        <w:t>top level</w:t>
      </w:r>
      <w:proofErr w:type="gramEnd"/>
      <w:r w:rsidRPr="00EB1FD7">
        <w:rPr>
          <w:bCs/>
        </w:rPr>
        <w:t xml:space="preserve"> hierarchy in</w:t>
      </w:r>
      <w:r>
        <w:rPr>
          <w:bCs/>
        </w:rPr>
        <w:t xml:space="preserve"> </w:t>
      </w:r>
      <w:r w:rsidRPr="00EB1FD7">
        <w:rPr>
          <w:bCs/>
        </w:rPr>
        <w:t>order to avoid ambiguity</w:t>
      </w:r>
      <w:r w:rsidRPr="00EB1FD7">
        <w:rPr>
          <w:b/>
        </w:rPr>
        <w:t>.</w:t>
      </w:r>
    </w:p>
    <w:p w14:paraId="21D9FF75" w14:textId="14EE7986" w:rsidR="00EB1FD7" w:rsidRDefault="00EB1FD7" w:rsidP="00EE5948">
      <w:pPr>
        <w:rPr>
          <w:b/>
        </w:rPr>
      </w:pPr>
    </w:p>
    <w:p w14:paraId="6315F6DA" w14:textId="459EDE3A" w:rsidR="00EB1FD7" w:rsidRPr="00A158DD" w:rsidRDefault="00EB1FD7" w:rsidP="00EB1FD7">
      <w:pPr>
        <w:rPr>
          <w:rStyle w:val="IntenseReference"/>
          <w:bCs w:val="0"/>
        </w:rPr>
      </w:pPr>
      <w:r w:rsidRPr="00A158DD">
        <w:rPr>
          <w:rStyle w:val="IntenseReference"/>
          <w:bCs w:val="0"/>
        </w:rPr>
        <w:t>Principles</w:t>
      </w:r>
    </w:p>
    <w:p w14:paraId="7AC03B2C" w14:textId="77777777" w:rsidR="00A158DD" w:rsidRPr="00A158DD" w:rsidRDefault="00A158DD" w:rsidP="00EB1FD7">
      <w:pPr>
        <w:rPr>
          <w:rStyle w:val="IntenseReference"/>
          <w:sz w:val="10"/>
          <w:szCs w:val="10"/>
        </w:rPr>
      </w:pPr>
    </w:p>
    <w:p w14:paraId="1BB8D3F0" w14:textId="561F6486" w:rsidR="00EB1FD7" w:rsidRPr="00EB1FD7" w:rsidRDefault="00EB1FD7" w:rsidP="00EB1FD7">
      <w:pPr>
        <w:rPr>
          <w:bCs/>
        </w:rPr>
      </w:pPr>
      <w:r w:rsidRPr="00EB1FD7">
        <w:rPr>
          <w:bCs/>
        </w:rPr>
        <w:t>The following principles</w:t>
      </w:r>
      <w:r>
        <w:rPr>
          <w:bCs/>
        </w:rPr>
        <w:t xml:space="preserve"> </w:t>
      </w:r>
      <w:r w:rsidRPr="00EB1FD7">
        <w:rPr>
          <w:bCs/>
        </w:rPr>
        <w:t>should be applied to the cost</w:t>
      </w:r>
      <w:r>
        <w:rPr>
          <w:bCs/>
        </w:rPr>
        <w:t xml:space="preserve"> </w:t>
      </w:r>
      <w:r w:rsidRPr="00EB1FD7">
        <w:rPr>
          <w:bCs/>
        </w:rPr>
        <w:t>centres where practical:</w:t>
      </w:r>
    </w:p>
    <w:p w14:paraId="43DE77B8" w14:textId="77777777" w:rsidR="00EB1FD7" w:rsidRPr="00A158DD" w:rsidRDefault="00EB1FD7" w:rsidP="00EE5948">
      <w:pPr>
        <w:rPr>
          <w:bCs/>
          <w:sz w:val="10"/>
          <w:szCs w:val="10"/>
        </w:rPr>
      </w:pPr>
    </w:p>
    <w:p w14:paraId="335BA9F7" w14:textId="77777777" w:rsidR="00EB1FD7" w:rsidRPr="00A158DD" w:rsidRDefault="00EB1FD7" w:rsidP="00EB1FD7">
      <w:pPr>
        <w:pStyle w:val="ListParagraph"/>
        <w:numPr>
          <w:ilvl w:val="0"/>
          <w:numId w:val="31"/>
        </w:numPr>
        <w:autoSpaceDE w:val="0"/>
        <w:autoSpaceDN w:val="0"/>
        <w:adjustRightInd w:val="0"/>
        <w:rPr>
          <w:lang w:val="en-US" w:eastAsia="zh-TW"/>
        </w:rPr>
      </w:pPr>
      <w:r w:rsidRPr="00A158DD">
        <w:rPr>
          <w:lang w:val="en-US" w:eastAsia="zh-TW"/>
        </w:rPr>
        <w:t xml:space="preserve">Please avoid the creation of one person cost </w:t>
      </w:r>
      <w:proofErr w:type="spellStart"/>
      <w:r w:rsidRPr="00A158DD">
        <w:rPr>
          <w:lang w:val="en-US" w:eastAsia="zh-TW"/>
        </w:rPr>
        <w:t>centres</w:t>
      </w:r>
      <w:proofErr w:type="spellEnd"/>
      <w:r w:rsidRPr="00A158DD">
        <w:rPr>
          <w:lang w:val="en-US" w:eastAsia="zh-TW"/>
        </w:rPr>
        <w:t xml:space="preserve">, </w:t>
      </w:r>
      <w:proofErr w:type="gramStart"/>
      <w:r w:rsidRPr="00A158DD">
        <w:rPr>
          <w:lang w:val="en-US" w:eastAsia="zh-TW"/>
        </w:rPr>
        <w:t>i.e.</w:t>
      </w:r>
      <w:proofErr w:type="gramEnd"/>
      <w:r w:rsidRPr="00A158DD">
        <w:rPr>
          <w:lang w:val="en-US" w:eastAsia="zh-TW"/>
        </w:rPr>
        <w:t xml:space="preserve"> the ones that would contain only one person’s costs as this may cause confidentiality issues.</w:t>
      </w:r>
    </w:p>
    <w:p w14:paraId="503DB0E2" w14:textId="77777777" w:rsidR="00D54187" w:rsidRPr="00A158DD" w:rsidRDefault="00EB1FD7" w:rsidP="00EB1FD7">
      <w:pPr>
        <w:pStyle w:val="ListParagraph"/>
        <w:numPr>
          <w:ilvl w:val="0"/>
          <w:numId w:val="31"/>
        </w:numPr>
        <w:autoSpaceDE w:val="0"/>
        <w:autoSpaceDN w:val="0"/>
        <w:adjustRightInd w:val="0"/>
        <w:rPr>
          <w:lang w:val="en-US" w:eastAsia="zh-TW"/>
        </w:rPr>
      </w:pPr>
      <w:r w:rsidRPr="00A158DD">
        <w:rPr>
          <w:lang w:val="en-US" w:eastAsia="zh-TW"/>
        </w:rPr>
        <w:t xml:space="preserve">If any function is small and has a headcount of only 1 or 2 people and their work or expenses cannot be directly or easily allocated to various departments within that function, then their overheads should be captured in one cost </w:t>
      </w:r>
      <w:proofErr w:type="spellStart"/>
      <w:r w:rsidRPr="00A158DD">
        <w:rPr>
          <w:lang w:val="en-US" w:eastAsia="zh-TW"/>
        </w:rPr>
        <w:t>centre</w:t>
      </w:r>
      <w:proofErr w:type="spellEnd"/>
      <w:r w:rsidRPr="00A158DD">
        <w:rPr>
          <w:lang w:val="en-US" w:eastAsia="zh-TW"/>
        </w:rPr>
        <w:t xml:space="preserve"> - ‘Function management’.</w:t>
      </w:r>
    </w:p>
    <w:p w14:paraId="40A43F3A" w14:textId="77777777" w:rsidR="00D54187" w:rsidRPr="00A158DD" w:rsidRDefault="00EB1FD7" w:rsidP="00EB1FD7">
      <w:pPr>
        <w:pStyle w:val="ListParagraph"/>
        <w:numPr>
          <w:ilvl w:val="0"/>
          <w:numId w:val="31"/>
        </w:numPr>
        <w:autoSpaceDE w:val="0"/>
        <w:autoSpaceDN w:val="0"/>
        <w:adjustRightInd w:val="0"/>
        <w:rPr>
          <w:lang w:val="en-US" w:eastAsia="zh-TW"/>
        </w:rPr>
      </w:pPr>
      <w:r w:rsidRPr="00A158DD">
        <w:rPr>
          <w:lang w:val="en-US" w:eastAsia="zh-TW"/>
        </w:rPr>
        <w:t>In the case of one person</w:t>
      </w:r>
      <w:r w:rsidR="00D54187" w:rsidRPr="00A158DD">
        <w:rPr>
          <w:lang w:val="en-US" w:eastAsia="zh-TW"/>
        </w:rPr>
        <w:t xml:space="preserve"> </w:t>
      </w:r>
      <w:r w:rsidRPr="00A158DD">
        <w:rPr>
          <w:lang w:val="en-US" w:eastAsia="zh-TW"/>
        </w:rPr>
        <w:t>responsible for more than one</w:t>
      </w:r>
      <w:r w:rsidR="00D54187" w:rsidRPr="00A158DD">
        <w:rPr>
          <w:lang w:val="en-US" w:eastAsia="zh-TW"/>
        </w:rPr>
        <w:t xml:space="preserve"> </w:t>
      </w:r>
      <w:r w:rsidRPr="00A158DD">
        <w:rPr>
          <w:lang w:val="en-US" w:eastAsia="zh-TW"/>
        </w:rPr>
        <w:t>area of responsibility, for</w:t>
      </w:r>
      <w:r w:rsidR="00D54187" w:rsidRPr="00A158DD">
        <w:rPr>
          <w:lang w:val="en-US" w:eastAsia="zh-TW"/>
        </w:rPr>
        <w:t xml:space="preserve"> </w:t>
      </w:r>
      <w:r w:rsidRPr="00A158DD">
        <w:rPr>
          <w:lang w:val="en-US" w:eastAsia="zh-TW"/>
        </w:rPr>
        <w:t>instance, the Finance Director</w:t>
      </w:r>
      <w:r w:rsidR="00D54187" w:rsidRPr="00A158DD">
        <w:rPr>
          <w:lang w:val="en-US" w:eastAsia="zh-TW"/>
        </w:rPr>
        <w:t xml:space="preserve"> </w:t>
      </w:r>
      <w:r w:rsidRPr="00A158DD">
        <w:rPr>
          <w:lang w:val="en-US" w:eastAsia="zh-TW"/>
        </w:rPr>
        <w:t>being the head of Finance and</w:t>
      </w:r>
      <w:r w:rsidR="00D54187" w:rsidRPr="00A158DD">
        <w:rPr>
          <w:lang w:val="en-US" w:eastAsia="zh-TW"/>
        </w:rPr>
        <w:t xml:space="preserve"> </w:t>
      </w:r>
      <w:r w:rsidRPr="00A158DD">
        <w:rPr>
          <w:lang w:val="en-US" w:eastAsia="zh-TW"/>
        </w:rPr>
        <w:t>IT, the costs should be recorded</w:t>
      </w:r>
      <w:r w:rsidR="00D54187" w:rsidRPr="00A158DD">
        <w:rPr>
          <w:lang w:val="en-US" w:eastAsia="zh-TW"/>
        </w:rPr>
        <w:t xml:space="preserve"> </w:t>
      </w:r>
      <w:r w:rsidRPr="00A158DD">
        <w:rPr>
          <w:lang w:val="en-US" w:eastAsia="zh-TW"/>
        </w:rPr>
        <w:t>in one place based on their</w:t>
      </w:r>
      <w:r w:rsidR="00D54187" w:rsidRPr="00A158DD">
        <w:rPr>
          <w:lang w:val="en-US" w:eastAsia="zh-TW"/>
        </w:rPr>
        <w:t xml:space="preserve"> </w:t>
      </w:r>
      <w:r w:rsidRPr="00A158DD">
        <w:rPr>
          <w:lang w:val="en-US" w:eastAsia="zh-TW"/>
        </w:rPr>
        <w:t xml:space="preserve">predominant responsibility, </w:t>
      </w:r>
      <w:proofErr w:type="gramStart"/>
      <w:r w:rsidRPr="00A158DD">
        <w:rPr>
          <w:lang w:val="en-US" w:eastAsia="zh-TW"/>
        </w:rPr>
        <w:t>i.e.</w:t>
      </w:r>
      <w:proofErr w:type="gramEnd"/>
      <w:r w:rsidR="00D54187" w:rsidRPr="00A158DD">
        <w:rPr>
          <w:lang w:val="en-US" w:eastAsia="zh-TW"/>
        </w:rPr>
        <w:t xml:space="preserve"> </w:t>
      </w:r>
      <w:r w:rsidRPr="00A158DD">
        <w:rPr>
          <w:lang w:val="en-US" w:eastAsia="zh-TW"/>
        </w:rPr>
        <w:t>in this case the expenses of the</w:t>
      </w:r>
      <w:r w:rsidR="00D54187" w:rsidRPr="00A158DD">
        <w:rPr>
          <w:lang w:val="en-US" w:eastAsia="zh-TW"/>
        </w:rPr>
        <w:t xml:space="preserve"> </w:t>
      </w:r>
      <w:r w:rsidRPr="00A158DD">
        <w:rPr>
          <w:lang w:val="en-US" w:eastAsia="zh-TW"/>
        </w:rPr>
        <w:t>Finance and IT Director will be</w:t>
      </w:r>
      <w:r w:rsidR="00D54187" w:rsidRPr="00A158DD">
        <w:rPr>
          <w:lang w:val="en-US" w:eastAsia="zh-TW"/>
        </w:rPr>
        <w:t xml:space="preserve"> </w:t>
      </w:r>
      <w:r w:rsidRPr="00A158DD">
        <w:rPr>
          <w:lang w:val="en-US" w:eastAsia="zh-TW"/>
        </w:rPr>
        <w:t>wholly captured within the</w:t>
      </w:r>
      <w:r w:rsidR="00D54187" w:rsidRPr="00A158DD">
        <w:rPr>
          <w:lang w:val="en-US" w:eastAsia="zh-TW"/>
        </w:rPr>
        <w:t xml:space="preserve"> </w:t>
      </w:r>
      <w:r w:rsidRPr="00A158DD">
        <w:rPr>
          <w:lang w:val="en-US" w:eastAsia="zh-TW"/>
        </w:rPr>
        <w:t xml:space="preserve">Finance cost </w:t>
      </w:r>
      <w:proofErr w:type="spellStart"/>
      <w:r w:rsidRPr="00A158DD">
        <w:rPr>
          <w:lang w:val="en-US" w:eastAsia="zh-TW"/>
        </w:rPr>
        <w:t>centre</w:t>
      </w:r>
      <w:proofErr w:type="spellEnd"/>
      <w:r w:rsidRPr="00A158DD">
        <w:rPr>
          <w:lang w:val="en-US" w:eastAsia="zh-TW"/>
        </w:rPr>
        <w:t>.</w:t>
      </w:r>
    </w:p>
    <w:p w14:paraId="51E3DCF3" w14:textId="73D7DF0A" w:rsidR="00EB1FD7" w:rsidRPr="00A158DD" w:rsidRDefault="00EB1FD7" w:rsidP="0081660E">
      <w:pPr>
        <w:pStyle w:val="ListParagraph"/>
        <w:numPr>
          <w:ilvl w:val="0"/>
          <w:numId w:val="31"/>
        </w:numPr>
        <w:autoSpaceDE w:val="0"/>
        <w:autoSpaceDN w:val="0"/>
        <w:adjustRightInd w:val="0"/>
        <w:rPr>
          <w:lang w:val="en-US" w:eastAsia="zh-TW"/>
        </w:rPr>
      </w:pPr>
      <w:r w:rsidRPr="00A158DD">
        <w:rPr>
          <w:lang w:val="en-US" w:eastAsia="zh-TW"/>
        </w:rPr>
        <w:t>Business partner support costs</w:t>
      </w:r>
      <w:r w:rsidR="00D54187" w:rsidRPr="00A158DD">
        <w:rPr>
          <w:lang w:val="en-US" w:eastAsia="zh-TW"/>
        </w:rPr>
        <w:t xml:space="preserve"> </w:t>
      </w:r>
      <w:r w:rsidRPr="00A158DD">
        <w:rPr>
          <w:lang w:val="en-US" w:eastAsia="zh-TW"/>
        </w:rPr>
        <w:t>include two types of costs:</w:t>
      </w:r>
    </w:p>
    <w:p w14:paraId="51EBAD26" w14:textId="601115B8" w:rsidR="00EB1FD7" w:rsidRPr="00A158DD" w:rsidRDefault="00EB1FD7" w:rsidP="00D54187">
      <w:pPr>
        <w:autoSpaceDE w:val="0"/>
        <w:autoSpaceDN w:val="0"/>
        <w:adjustRightInd w:val="0"/>
        <w:ind w:firstLine="720"/>
        <w:rPr>
          <w:lang w:val="en-US" w:eastAsia="zh-TW"/>
        </w:rPr>
      </w:pPr>
      <w:r w:rsidRPr="00A158DD">
        <w:rPr>
          <w:lang w:val="en-US" w:eastAsia="zh-TW"/>
        </w:rPr>
        <w:t>a) Overheads of personnel</w:t>
      </w:r>
      <w:r w:rsidR="00D54187" w:rsidRPr="00A158DD">
        <w:rPr>
          <w:lang w:val="en-US" w:eastAsia="zh-TW"/>
        </w:rPr>
        <w:t xml:space="preserve"> </w:t>
      </w:r>
      <w:r w:rsidRPr="00A158DD">
        <w:rPr>
          <w:lang w:val="en-US" w:eastAsia="zh-TW"/>
        </w:rPr>
        <w:t>providing services to that</w:t>
      </w:r>
      <w:r w:rsidR="00D54187" w:rsidRPr="00A158DD">
        <w:rPr>
          <w:lang w:val="en-US" w:eastAsia="zh-TW"/>
        </w:rPr>
        <w:t xml:space="preserve"> </w:t>
      </w:r>
      <w:r w:rsidRPr="00A158DD">
        <w:rPr>
          <w:lang w:val="en-US" w:eastAsia="zh-TW"/>
        </w:rPr>
        <w:t xml:space="preserve">particular function, </w:t>
      </w:r>
      <w:proofErr w:type="gramStart"/>
      <w:r w:rsidRPr="00A158DD">
        <w:rPr>
          <w:lang w:val="en-US" w:eastAsia="zh-TW"/>
        </w:rPr>
        <w:t>e.g.</w:t>
      </w:r>
      <w:proofErr w:type="gramEnd"/>
      <w:r w:rsidRPr="00A158DD">
        <w:rPr>
          <w:lang w:val="en-US" w:eastAsia="zh-TW"/>
        </w:rPr>
        <w:t xml:space="preserve"> cost</w:t>
      </w:r>
      <w:r w:rsidR="00D54187" w:rsidRPr="00A158DD">
        <w:rPr>
          <w:lang w:val="en-US" w:eastAsia="zh-TW"/>
        </w:rPr>
        <w:t xml:space="preserve"> </w:t>
      </w:r>
      <w:r w:rsidRPr="00A158DD">
        <w:rPr>
          <w:lang w:val="en-US" w:eastAsia="zh-TW"/>
        </w:rPr>
        <w:t>of finance consultants who</w:t>
      </w:r>
      <w:r w:rsidR="00D54187" w:rsidRPr="00A158DD">
        <w:rPr>
          <w:lang w:val="en-US" w:eastAsia="zh-TW"/>
        </w:rPr>
        <w:t xml:space="preserve"> </w:t>
      </w:r>
      <w:r w:rsidRPr="00A158DD">
        <w:rPr>
          <w:lang w:val="en-US" w:eastAsia="zh-TW"/>
        </w:rPr>
        <w:t>report to and form part of</w:t>
      </w:r>
      <w:r w:rsidR="00D54187" w:rsidRPr="00A158DD">
        <w:rPr>
          <w:lang w:val="en-US" w:eastAsia="zh-TW"/>
        </w:rPr>
        <w:t xml:space="preserve"> </w:t>
      </w:r>
      <w:r w:rsidRPr="00A158DD">
        <w:rPr>
          <w:lang w:val="en-US" w:eastAsia="zh-TW"/>
        </w:rPr>
        <w:t>the HR function.</w:t>
      </w:r>
    </w:p>
    <w:p w14:paraId="496C3D60" w14:textId="2951A6DF" w:rsidR="00EB1FD7" w:rsidRPr="00A158DD" w:rsidRDefault="00EB1FD7" w:rsidP="00D54187">
      <w:pPr>
        <w:autoSpaceDE w:val="0"/>
        <w:autoSpaceDN w:val="0"/>
        <w:adjustRightInd w:val="0"/>
        <w:ind w:firstLine="720"/>
        <w:rPr>
          <w:lang w:val="en-US" w:eastAsia="zh-TW"/>
        </w:rPr>
      </w:pPr>
      <w:r w:rsidRPr="00A158DD">
        <w:rPr>
          <w:lang w:val="en-US" w:eastAsia="zh-TW"/>
        </w:rPr>
        <w:t>b) Specialist support costs to</w:t>
      </w:r>
      <w:r w:rsidR="00D54187" w:rsidRPr="00A158DD">
        <w:rPr>
          <w:lang w:val="en-US" w:eastAsia="zh-TW"/>
        </w:rPr>
        <w:t xml:space="preserve"> </w:t>
      </w:r>
      <w:r w:rsidRPr="00A158DD">
        <w:rPr>
          <w:lang w:val="en-US" w:eastAsia="zh-TW"/>
        </w:rPr>
        <w:t xml:space="preserve">other functions, </w:t>
      </w:r>
      <w:proofErr w:type="gramStart"/>
      <w:r w:rsidRPr="00A158DD">
        <w:rPr>
          <w:lang w:val="en-US" w:eastAsia="zh-TW"/>
        </w:rPr>
        <w:t>e.g.</w:t>
      </w:r>
      <w:proofErr w:type="gramEnd"/>
      <w:r w:rsidRPr="00A158DD">
        <w:rPr>
          <w:lang w:val="en-US" w:eastAsia="zh-TW"/>
        </w:rPr>
        <w:t xml:space="preserve"> the</w:t>
      </w:r>
      <w:r w:rsidR="00D54187" w:rsidRPr="00A158DD">
        <w:rPr>
          <w:lang w:val="en-US" w:eastAsia="zh-TW"/>
        </w:rPr>
        <w:t xml:space="preserve"> </w:t>
      </w:r>
      <w:r w:rsidRPr="00A158DD">
        <w:rPr>
          <w:lang w:val="en-US" w:eastAsia="zh-TW"/>
        </w:rPr>
        <w:t>overheads of the HR Finance</w:t>
      </w:r>
      <w:r w:rsidR="00D54187" w:rsidRPr="00A158DD">
        <w:rPr>
          <w:lang w:val="en-US" w:eastAsia="zh-TW"/>
        </w:rPr>
        <w:t xml:space="preserve"> </w:t>
      </w:r>
      <w:r w:rsidRPr="00A158DD">
        <w:rPr>
          <w:lang w:val="en-US" w:eastAsia="zh-TW"/>
        </w:rPr>
        <w:t>manager who provides</w:t>
      </w:r>
      <w:r w:rsidR="00D54187" w:rsidRPr="00A158DD">
        <w:rPr>
          <w:lang w:val="en-US" w:eastAsia="zh-TW"/>
        </w:rPr>
        <w:t xml:space="preserve"> </w:t>
      </w:r>
      <w:r w:rsidRPr="00A158DD">
        <w:rPr>
          <w:lang w:val="en-US" w:eastAsia="zh-TW"/>
        </w:rPr>
        <w:t>support to Finance.</w:t>
      </w:r>
    </w:p>
    <w:p w14:paraId="5CFCFA01" w14:textId="77777777" w:rsidR="00D54187" w:rsidRPr="00A158DD" w:rsidRDefault="00EB1FD7" w:rsidP="00EB1FD7">
      <w:pPr>
        <w:pStyle w:val="ListParagraph"/>
        <w:numPr>
          <w:ilvl w:val="0"/>
          <w:numId w:val="32"/>
        </w:numPr>
        <w:autoSpaceDE w:val="0"/>
        <w:autoSpaceDN w:val="0"/>
        <w:adjustRightInd w:val="0"/>
        <w:rPr>
          <w:lang w:val="en-US" w:eastAsia="zh-TW"/>
        </w:rPr>
      </w:pPr>
      <w:r w:rsidRPr="00A158DD">
        <w:rPr>
          <w:lang w:val="en-US" w:eastAsia="zh-TW"/>
        </w:rPr>
        <w:t>The allocation of the personnel</w:t>
      </w:r>
      <w:r w:rsidR="00D54187" w:rsidRPr="00A158DD">
        <w:rPr>
          <w:lang w:val="en-US" w:eastAsia="zh-TW"/>
        </w:rPr>
        <w:t xml:space="preserve"> </w:t>
      </w:r>
      <w:r w:rsidRPr="00A158DD">
        <w:rPr>
          <w:lang w:val="en-US" w:eastAsia="zh-TW"/>
        </w:rPr>
        <w:t>within this structure should</w:t>
      </w:r>
      <w:r w:rsidR="00D54187" w:rsidRPr="00A158DD">
        <w:rPr>
          <w:lang w:val="en-US" w:eastAsia="zh-TW"/>
        </w:rPr>
        <w:t xml:space="preserve"> </w:t>
      </w:r>
      <w:r w:rsidRPr="00A158DD">
        <w:rPr>
          <w:lang w:val="en-US" w:eastAsia="zh-TW"/>
        </w:rPr>
        <w:t>be based upon their direct</w:t>
      </w:r>
      <w:r w:rsidR="00D54187" w:rsidRPr="00A158DD">
        <w:rPr>
          <w:lang w:val="en-US" w:eastAsia="zh-TW"/>
        </w:rPr>
        <w:t xml:space="preserve"> </w:t>
      </w:r>
      <w:r w:rsidRPr="00A158DD">
        <w:rPr>
          <w:lang w:val="en-US" w:eastAsia="zh-TW"/>
        </w:rPr>
        <w:t>reporting line.</w:t>
      </w:r>
    </w:p>
    <w:p w14:paraId="6B670FA5" w14:textId="287AB8C0" w:rsidR="00EB1FD7" w:rsidRPr="00A158DD" w:rsidRDefault="00EB1FD7" w:rsidP="0081660E">
      <w:pPr>
        <w:pStyle w:val="ListParagraph"/>
        <w:numPr>
          <w:ilvl w:val="0"/>
          <w:numId w:val="32"/>
        </w:numPr>
        <w:autoSpaceDE w:val="0"/>
        <w:autoSpaceDN w:val="0"/>
        <w:adjustRightInd w:val="0"/>
        <w:rPr>
          <w:lang w:val="en-US" w:eastAsia="zh-TW"/>
        </w:rPr>
      </w:pPr>
      <w:r w:rsidRPr="00A158DD">
        <w:rPr>
          <w:lang w:val="en-US" w:eastAsia="zh-TW"/>
        </w:rPr>
        <w:t>Business partner support</w:t>
      </w:r>
      <w:r w:rsidR="00D54187" w:rsidRPr="00A158DD">
        <w:rPr>
          <w:lang w:val="en-US" w:eastAsia="zh-TW"/>
        </w:rPr>
        <w:t xml:space="preserve"> </w:t>
      </w:r>
      <w:r w:rsidRPr="00A158DD">
        <w:rPr>
          <w:lang w:val="en-US" w:eastAsia="zh-TW"/>
        </w:rPr>
        <w:t>excludes the costs of Marketing</w:t>
      </w:r>
      <w:r w:rsidR="00D54187" w:rsidRPr="00A158DD">
        <w:rPr>
          <w:lang w:val="en-US" w:eastAsia="zh-TW"/>
        </w:rPr>
        <w:t xml:space="preserve"> </w:t>
      </w:r>
      <w:r w:rsidRPr="00A158DD">
        <w:rPr>
          <w:lang w:val="en-US" w:eastAsia="zh-TW"/>
        </w:rPr>
        <w:t>and Operations Finance. These</w:t>
      </w:r>
    </w:p>
    <w:p w14:paraId="661F710D" w14:textId="79498A79" w:rsidR="00EB1FD7" w:rsidRPr="00A158DD" w:rsidRDefault="00EB1FD7" w:rsidP="00EB1FD7">
      <w:pPr>
        <w:autoSpaceDE w:val="0"/>
        <w:autoSpaceDN w:val="0"/>
        <w:adjustRightInd w:val="0"/>
        <w:rPr>
          <w:lang w:val="en-US" w:eastAsia="zh-TW"/>
        </w:rPr>
      </w:pPr>
      <w:r w:rsidRPr="00A158DD">
        <w:rPr>
          <w:lang w:val="en-US" w:eastAsia="zh-TW"/>
        </w:rPr>
        <w:t xml:space="preserve">are captured under </w:t>
      </w:r>
      <w:proofErr w:type="gramStart"/>
      <w:r w:rsidRPr="00A158DD">
        <w:rPr>
          <w:lang w:val="en-US" w:eastAsia="zh-TW"/>
        </w:rPr>
        <w:t>Non BSE</w:t>
      </w:r>
      <w:proofErr w:type="gramEnd"/>
      <w:r w:rsidR="00D54187" w:rsidRPr="00A158DD">
        <w:rPr>
          <w:lang w:val="en-US" w:eastAsia="zh-TW"/>
        </w:rPr>
        <w:t xml:space="preserve"> </w:t>
      </w:r>
      <w:r w:rsidRPr="00A158DD">
        <w:rPr>
          <w:lang w:val="en-US" w:eastAsia="zh-TW"/>
        </w:rPr>
        <w:t>and Production overheads</w:t>
      </w:r>
      <w:r w:rsidR="00D54187" w:rsidRPr="00A158DD">
        <w:rPr>
          <w:lang w:val="en-US" w:eastAsia="zh-TW"/>
        </w:rPr>
        <w:t xml:space="preserve"> </w:t>
      </w:r>
      <w:r w:rsidRPr="00A158DD">
        <w:rPr>
          <w:lang w:val="en-US" w:eastAsia="zh-TW"/>
        </w:rPr>
        <w:t>respectively.</w:t>
      </w:r>
    </w:p>
    <w:p w14:paraId="109555CF" w14:textId="017F3F93" w:rsidR="00EB1FD7" w:rsidRPr="00A158DD" w:rsidRDefault="00EB1FD7" w:rsidP="00D54187">
      <w:pPr>
        <w:pStyle w:val="ListParagraph"/>
        <w:numPr>
          <w:ilvl w:val="0"/>
          <w:numId w:val="33"/>
        </w:numPr>
        <w:autoSpaceDE w:val="0"/>
        <w:autoSpaceDN w:val="0"/>
        <w:adjustRightInd w:val="0"/>
      </w:pPr>
      <w:r w:rsidRPr="00A158DD">
        <w:rPr>
          <w:lang w:val="en-US" w:eastAsia="zh-TW"/>
        </w:rPr>
        <w:t>Individual projects should not</w:t>
      </w:r>
      <w:r w:rsidR="00D54187" w:rsidRPr="00A158DD">
        <w:rPr>
          <w:lang w:val="en-US" w:eastAsia="zh-TW"/>
        </w:rPr>
        <w:t xml:space="preserve"> </w:t>
      </w:r>
      <w:r w:rsidRPr="00A158DD">
        <w:rPr>
          <w:lang w:val="en-US" w:eastAsia="zh-TW"/>
        </w:rPr>
        <w:t>have a separate dedicated cost</w:t>
      </w:r>
      <w:r w:rsidR="00D54187" w:rsidRPr="00A158DD">
        <w:rPr>
          <w:lang w:val="en-US" w:eastAsia="zh-TW"/>
        </w:rPr>
        <w:t xml:space="preserve"> </w:t>
      </w:r>
      <w:proofErr w:type="spellStart"/>
      <w:r w:rsidRPr="00A158DD">
        <w:rPr>
          <w:lang w:val="en-US" w:eastAsia="zh-TW"/>
        </w:rPr>
        <w:t>centre</w:t>
      </w:r>
      <w:proofErr w:type="spellEnd"/>
      <w:r w:rsidRPr="00A158DD">
        <w:rPr>
          <w:lang w:val="en-US" w:eastAsia="zh-TW"/>
        </w:rPr>
        <w:t xml:space="preserve">. </w:t>
      </w:r>
      <w:proofErr w:type="gramStart"/>
      <w:r w:rsidRPr="00A158DD">
        <w:rPr>
          <w:lang w:val="en-US" w:eastAsia="zh-TW"/>
        </w:rPr>
        <w:t>Instead</w:t>
      </w:r>
      <w:proofErr w:type="gramEnd"/>
      <w:r w:rsidRPr="00A158DD">
        <w:rPr>
          <w:lang w:val="en-US" w:eastAsia="zh-TW"/>
        </w:rPr>
        <w:t xml:space="preserve"> the project</w:t>
      </w:r>
      <w:r w:rsidR="00D54187" w:rsidRPr="00A158DD">
        <w:rPr>
          <w:lang w:val="en-US" w:eastAsia="zh-TW"/>
        </w:rPr>
        <w:t xml:space="preserve"> </w:t>
      </w:r>
      <w:r w:rsidRPr="00A158DD">
        <w:rPr>
          <w:lang w:val="en-US" w:eastAsia="zh-TW"/>
        </w:rPr>
        <w:t>related costs are captured on</w:t>
      </w:r>
      <w:r w:rsidR="00D54187" w:rsidRPr="00A158DD">
        <w:rPr>
          <w:lang w:val="en-US" w:eastAsia="zh-TW"/>
        </w:rPr>
        <w:t xml:space="preserve"> </w:t>
      </w:r>
      <w:r w:rsidRPr="00A158DD">
        <w:rPr>
          <w:lang w:val="en-US" w:eastAsia="zh-TW"/>
        </w:rPr>
        <w:t>WBS (workgroup breakdown</w:t>
      </w:r>
      <w:r w:rsidR="00D54187" w:rsidRPr="00A158DD">
        <w:rPr>
          <w:lang w:val="en-US" w:eastAsia="zh-TW"/>
        </w:rPr>
        <w:t xml:space="preserve"> </w:t>
      </w:r>
      <w:r w:rsidRPr="00A158DD">
        <w:rPr>
          <w:lang w:val="en-US" w:eastAsia="zh-TW"/>
        </w:rPr>
        <w:t>structure) or Internal orders</w:t>
      </w:r>
      <w:r w:rsidR="00D54187" w:rsidRPr="00A158DD">
        <w:rPr>
          <w:lang w:val="en-US" w:eastAsia="zh-TW"/>
        </w:rPr>
        <w:t xml:space="preserve"> </w:t>
      </w:r>
      <w:r w:rsidRPr="00A158DD">
        <w:rPr>
          <w:lang w:val="en-US" w:eastAsia="zh-TW"/>
        </w:rPr>
        <w:t>or a project code with the</w:t>
      </w:r>
      <w:r w:rsidR="00D54187" w:rsidRPr="00A158DD">
        <w:rPr>
          <w:lang w:val="en-US" w:eastAsia="zh-TW"/>
        </w:rPr>
        <w:t xml:space="preserve"> </w:t>
      </w:r>
      <w:r w:rsidRPr="00A158DD">
        <w:rPr>
          <w:lang w:val="en-US" w:eastAsia="zh-TW"/>
        </w:rPr>
        <w:t>function(s).</w:t>
      </w:r>
    </w:p>
    <w:p w14:paraId="5935A3F2" w14:textId="77777777" w:rsidR="00E702F6" w:rsidRPr="0081660E" w:rsidRDefault="0064150E" w:rsidP="0081660E">
      <w:pPr>
        <w:pStyle w:val="Heading2"/>
        <w:rPr>
          <w:b/>
          <w:u w:val="single"/>
        </w:rPr>
      </w:pPr>
      <w:bookmarkStart w:id="0" w:name="_Toc82496899"/>
      <w:r w:rsidRPr="0081660E">
        <w:rPr>
          <w:b/>
          <w:u w:val="single"/>
        </w:rPr>
        <w:lastRenderedPageBreak/>
        <w:t>LEGAL AND EXTERNAL AFFAIRS</w:t>
      </w:r>
      <w:bookmarkEnd w:id="0"/>
      <w:r w:rsidRPr="0081660E">
        <w:rPr>
          <w:b/>
          <w:u w:val="single"/>
        </w:rPr>
        <w:t xml:space="preserve"> </w:t>
      </w:r>
    </w:p>
    <w:p w14:paraId="79DF52BA" w14:textId="77777777" w:rsidR="0064150E" w:rsidRPr="0064150E" w:rsidRDefault="0064150E" w:rsidP="0064150E">
      <w:pPr>
        <w:jc w:val="both"/>
        <w:rPr>
          <w:b/>
          <w:color w:val="0033CC"/>
        </w:rPr>
      </w:pPr>
    </w:p>
    <w:p w14:paraId="31BE5E5C" w14:textId="5FE9C02E" w:rsidR="00D54187" w:rsidRPr="00316421" w:rsidRDefault="0064150E" w:rsidP="00D54187">
      <w:pPr>
        <w:numPr>
          <w:ilvl w:val="0"/>
          <w:numId w:val="18"/>
        </w:numPr>
        <w:autoSpaceDE w:val="0"/>
        <w:autoSpaceDN w:val="0"/>
        <w:adjustRightInd w:val="0"/>
      </w:pPr>
      <w:r w:rsidRPr="00316421">
        <w:rPr>
          <w:b/>
          <w:i/>
        </w:rPr>
        <w:t>Function Management</w:t>
      </w:r>
      <w:r w:rsidRPr="00316421">
        <w:t xml:space="preserve"> – costs of the Head of Function, functional strategy and</w:t>
      </w:r>
      <w:r w:rsidR="00D54187" w:rsidRPr="00316421">
        <w:t xml:space="preserve"> functional talent</w:t>
      </w:r>
    </w:p>
    <w:p w14:paraId="47526A70" w14:textId="44649AD0" w:rsidR="0064150E" w:rsidRPr="00316421" w:rsidRDefault="00D54187" w:rsidP="00D54187">
      <w:pPr>
        <w:autoSpaceDE w:val="0"/>
        <w:autoSpaceDN w:val="0"/>
        <w:adjustRightInd w:val="0"/>
        <w:rPr>
          <w:b/>
        </w:rPr>
      </w:pPr>
      <w:r w:rsidRPr="00316421">
        <w:t>management, including costs of Management Trainees</w:t>
      </w:r>
    </w:p>
    <w:p w14:paraId="3FCA15C4" w14:textId="77777777" w:rsidR="0064150E" w:rsidRPr="00316421" w:rsidRDefault="0064150E" w:rsidP="0064150E">
      <w:pPr>
        <w:numPr>
          <w:ilvl w:val="0"/>
          <w:numId w:val="18"/>
        </w:numPr>
        <w:autoSpaceDE w:val="0"/>
        <w:autoSpaceDN w:val="0"/>
        <w:adjustRightInd w:val="0"/>
        <w:ind w:left="720" w:hanging="360"/>
      </w:pPr>
      <w:r w:rsidRPr="00316421">
        <w:rPr>
          <w:b/>
          <w:i/>
        </w:rPr>
        <w:t>Corporate Affairs</w:t>
      </w:r>
      <w:r w:rsidRPr="00316421">
        <w:t xml:space="preserve"> – expenses related to internal and external communications; corporate publications; media spend in-market and above-market; charitable, NGO and political donations; corporate memberships; and any sustainability-related spend.</w:t>
      </w:r>
    </w:p>
    <w:p w14:paraId="46B1DA31" w14:textId="77777777" w:rsidR="0064150E" w:rsidRPr="00316421" w:rsidRDefault="0064150E" w:rsidP="0064150E">
      <w:pPr>
        <w:rPr>
          <w:b/>
        </w:rPr>
      </w:pPr>
    </w:p>
    <w:p w14:paraId="300C6969" w14:textId="2DD8296D" w:rsidR="0064150E" w:rsidRPr="00316421" w:rsidRDefault="00D54187" w:rsidP="0064150E">
      <w:pPr>
        <w:numPr>
          <w:ilvl w:val="0"/>
          <w:numId w:val="18"/>
        </w:numPr>
        <w:autoSpaceDE w:val="0"/>
        <w:autoSpaceDN w:val="0"/>
        <w:adjustRightInd w:val="0"/>
        <w:ind w:left="720" w:hanging="360"/>
      </w:pPr>
      <w:r w:rsidRPr="00316421">
        <w:rPr>
          <w:b/>
          <w:i/>
        </w:rPr>
        <w:t>Government Affairs &amp; External Engagement</w:t>
      </w:r>
      <w:r w:rsidR="0064150E" w:rsidRPr="00316421">
        <w:rPr>
          <w:i/>
        </w:rPr>
        <w:t xml:space="preserve"> </w:t>
      </w:r>
      <w:r w:rsidR="0064150E" w:rsidRPr="00316421">
        <w:t>– expenses related to advocacy development and deployment, and campaigning activities in the tobacco control regulatory space (</w:t>
      </w:r>
      <w:proofErr w:type="gramStart"/>
      <w:r w:rsidR="0064150E" w:rsidRPr="00316421">
        <w:t>e.g.</w:t>
      </w:r>
      <w:proofErr w:type="gramEnd"/>
      <w:r w:rsidR="0064150E" w:rsidRPr="00316421">
        <w:t xml:space="preserve"> against plain packaging and retail display bans) as well as expenses related in-market and above-market engagement on trade and excise and AIT engagement, including advocacy development.</w:t>
      </w:r>
    </w:p>
    <w:p w14:paraId="6734B24A" w14:textId="77777777" w:rsidR="0064150E" w:rsidRPr="00316421" w:rsidRDefault="0064150E" w:rsidP="0064150E">
      <w:pPr>
        <w:pStyle w:val="Default"/>
      </w:pPr>
    </w:p>
    <w:p w14:paraId="6BA8B638" w14:textId="77777777" w:rsidR="0064150E" w:rsidRPr="00316421" w:rsidRDefault="0064150E" w:rsidP="0064150E">
      <w:pPr>
        <w:numPr>
          <w:ilvl w:val="0"/>
          <w:numId w:val="21"/>
        </w:numPr>
        <w:jc w:val="both"/>
      </w:pPr>
      <w:r w:rsidRPr="00316421">
        <w:rPr>
          <w:b/>
          <w:i/>
        </w:rPr>
        <w:t>Security</w:t>
      </w:r>
      <w:r w:rsidRPr="00316421">
        <w:t xml:space="preserve"> – the costs of safeguarding of the companies’ assets and ensuring information security.</w:t>
      </w:r>
    </w:p>
    <w:p w14:paraId="42636D6B" w14:textId="77777777" w:rsidR="0064150E" w:rsidRPr="00316421" w:rsidRDefault="0064150E" w:rsidP="0064150E">
      <w:pPr>
        <w:pStyle w:val="ListParagraph"/>
        <w:rPr>
          <w:b/>
        </w:rPr>
      </w:pPr>
    </w:p>
    <w:p w14:paraId="7B696B13" w14:textId="700FAE16" w:rsidR="0064150E" w:rsidRPr="00316421" w:rsidRDefault="00957E4D" w:rsidP="005671FB">
      <w:pPr>
        <w:numPr>
          <w:ilvl w:val="0"/>
          <w:numId w:val="4"/>
        </w:numPr>
      </w:pPr>
      <w:r w:rsidRPr="00316421">
        <w:rPr>
          <w:b/>
          <w:i/>
        </w:rPr>
        <w:t>Marketing, Regulation &amp; Litigation</w:t>
      </w:r>
      <w:r w:rsidR="0064150E" w:rsidRPr="00316421">
        <w:rPr>
          <w:i/>
        </w:rPr>
        <w:t xml:space="preserve">- </w:t>
      </w:r>
      <w:proofErr w:type="gramStart"/>
      <w:r w:rsidR="0064150E" w:rsidRPr="00316421">
        <w:t>Overheads  relating</w:t>
      </w:r>
      <w:proofErr w:type="gramEnd"/>
      <w:r w:rsidR="0064150E" w:rsidRPr="00316421">
        <w:t xml:space="preserve"> to department(s) responsible for providing:</w:t>
      </w:r>
      <w:r w:rsidR="0064150E" w:rsidRPr="00316421">
        <w:br/>
        <w:t xml:space="preserve">(1) Legal counselling on legislative and regulatory matters, research &amp; development and harm reduction to regions and markets, and </w:t>
      </w:r>
      <w:r w:rsidR="0064150E" w:rsidRPr="00316421">
        <w:br/>
        <w:t>(2) Deals with various litigation cases brought against BAT companies, such as product liability litigation, trade litigation etc.</w:t>
      </w:r>
    </w:p>
    <w:p w14:paraId="163DA381" w14:textId="77777777" w:rsidR="0064150E" w:rsidRPr="00316421" w:rsidRDefault="0064150E" w:rsidP="00804430">
      <w:pPr>
        <w:pStyle w:val="ListParagraph"/>
        <w:rPr>
          <w:b/>
        </w:rPr>
      </w:pPr>
    </w:p>
    <w:p w14:paraId="55B6390B" w14:textId="0535E5C6" w:rsidR="0064150E" w:rsidRPr="00316421" w:rsidRDefault="00957E4D" w:rsidP="0064150E">
      <w:pPr>
        <w:numPr>
          <w:ilvl w:val="0"/>
          <w:numId w:val="21"/>
        </w:numPr>
        <w:autoSpaceDE w:val="0"/>
        <w:autoSpaceDN w:val="0"/>
        <w:adjustRightInd w:val="0"/>
        <w:jc w:val="both"/>
        <w:rPr>
          <w:rFonts w:ascii="Helv" w:hAnsi="Helv" w:cs="Helv"/>
          <w:color w:val="000000"/>
          <w:sz w:val="20"/>
          <w:szCs w:val="20"/>
          <w:lang w:eastAsia="zh-TW"/>
        </w:rPr>
      </w:pPr>
      <w:r w:rsidRPr="00316421">
        <w:rPr>
          <w:b/>
          <w:i/>
        </w:rPr>
        <w:t>Company Secretary &amp; Corporate</w:t>
      </w:r>
      <w:r w:rsidR="0064150E" w:rsidRPr="00316421">
        <w:t xml:space="preserve">– expenses to facilitate board meetings, Group's stock listing compliance, corporate governance, etc. </w:t>
      </w:r>
    </w:p>
    <w:p w14:paraId="4AB74924" w14:textId="77777777" w:rsidR="0064150E" w:rsidRPr="00316421" w:rsidRDefault="0064150E" w:rsidP="0064150E">
      <w:pPr>
        <w:autoSpaceDE w:val="0"/>
        <w:autoSpaceDN w:val="0"/>
        <w:adjustRightInd w:val="0"/>
        <w:ind w:left="360"/>
        <w:jc w:val="both"/>
        <w:rPr>
          <w:rFonts w:ascii="Helv" w:hAnsi="Helv" w:cs="Helv"/>
          <w:color w:val="000000"/>
          <w:sz w:val="20"/>
          <w:szCs w:val="20"/>
          <w:lang w:eastAsia="zh-TW"/>
        </w:rPr>
      </w:pPr>
    </w:p>
    <w:p w14:paraId="747DC45D" w14:textId="77777777" w:rsidR="0064150E" w:rsidRPr="00316421" w:rsidRDefault="0064150E" w:rsidP="0064150E">
      <w:pPr>
        <w:pStyle w:val="ListParagraph"/>
        <w:numPr>
          <w:ilvl w:val="0"/>
          <w:numId w:val="21"/>
        </w:numPr>
        <w:jc w:val="both"/>
      </w:pPr>
      <w:r w:rsidRPr="00316421">
        <w:rPr>
          <w:b/>
          <w:i/>
        </w:rPr>
        <w:t>Commercial Legal</w:t>
      </w:r>
      <w:r w:rsidRPr="00316421">
        <w:rPr>
          <w:i/>
        </w:rPr>
        <w:t xml:space="preserve"> - </w:t>
      </w:r>
      <w:r w:rsidRPr="00316421">
        <w:t>Overheads relating to department(s) responsible for providing: Legal counselling on brands, on Operations related issues e.g. equipment purchases, contracts etc. and other projects.</w:t>
      </w:r>
    </w:p>
    <w:p w14:paraId="17E31F45" w14:textId="77777777" w:rsidR="0064150E" w:rsidRPr="00316421" w:rsidRDefault="0064150E" w:rsidP="0064150E">
      <w:pPr>
        <w:ind w:left="360"/>
        <w:rPr>
          <w:i/>
        </w:rPr>
      </w:pPr>
    </w:p>
    <w:p w14:paraId="7F335ABA" w14:textId="77777777" w:rsidR="0064150E" w:rsidRPr="00316421" w:rsidRDefault="00BB30E5" w:rsidP="0064150E">
      <w:pPr>
        <w:pStyle w:val="ListParagraph"/>
        <w:numPr>
          <w:ilvl w:val="0"/>
          <w:numId w:val="21"/>
        </w:numPr>
        <w:rPr>
          <w:i/>
        </w:rPr>
      </w:pPr>
      <w:r w:rsidRPr="00316421">
        <w:rPr>
          <w:b/>
          <w:i/>
        </w:rPr>
        <w:t>Corporate Lega</w:t>
      </w:r>
      <w:r w:rsidR="0064150E" w:rsidRPr="00316421">
        <w:rPr>
          <w:b/>
          <w:i/>
        </w:rPr>
        <w:t>l</w:t>
      </w:r>
      <w:r w:rsidR="0064150E" w:rsidRPr="00316421">
        <w:rPr>
          <w:i/>
        </w:rPr>
        <w:t xml:space="preserve"> - </w:t>
      </w:r>
      <w:r w:rsidR="0064150E" w:rsidRPr="00316421">
        <w:t>Overheads relating to department(s) responsible for providing: Legal advice on matters relating to financing, relations with affiliates, tax issues, employment etc.</w:t>
      </w:r>
    </w:p>
    <w:p w14:paraId="702C8867" w14:textId="77777777" w:rsidR="0064150E" w:rsidRPr="00316421" w:rsidRDefault="0064150E" w:rsidP="00E22712">
      <w:pPr>
        <w:rPr>
          <w:i/>
        </w:rPr>
      </w:pPr>
    </w:p>
    <w:p w14:paraId="7779DAEA" w14:textId="77777777" w:rsidR="0064150E" w:rsidRDefault="0064150E" w:rsidP="0064150E">
      <w:pPr>
        <w:numPr>
          <w:ilvl w:val="0"/>
          <w:numId w:val="4"/>
        </w:numPr>
        <w:jc w:val="both"/>
      </w:pPr>
      <w:r w:rsidRPr="00316421">
        <w:rPr>
          <w:b/>
          <w:i/>
        </w:rPr>
        <w:t>Intellectual property</w:t>
      </w:r>
      <w:r w:rsidRPr="00316421">
        <w:rPr>
          <w:i/>
        </w:rPr>
        <w:t xml:space="preserve"> </w:t>
      </w:r>
      <w:r w:rsidRPr="00316421">
        <w:t xml:space="preserve">– overheads of the </w:t>
      </w:r>
      <w:r w:rsidRPr="00316421">
        <w:rPr>
          <w:b/>
        </w:rPr>
        <w:t>Trademarks</w:t>
      </w:r>
      <w:r w:rsidRPr="009E7157">
        <w:rPr>
          <w:b/>
        </w:rPr>
        <w:t xml:space="preserve"> and Patents</w:t>
      </w:r>
      <w:r w:rsidRPr="009E7157">
        <w:t xml:space="preserve"> departments who deal with such activities as renewal, searches, filing and the protection of the Group's intellectual properties globally. Intellectual property cost centre also includes </w:t>
      </w:r>
      <w:r w:rsidRPr="009E7157">
        <w:rPr>
          <w:b/>
        </w:rPr>
        <w:t>Brand Enforcement Group</w:t>
      </w:r>
      <w:r w:rsidRPr="009E7157">
        <w:t xml:space="preserve"> overheads that relate to implementation of the AIT strategy and intelligence gathering, preparation of analysis, target prioritisation and oversight of the laboratory to support its activities.</w:t>
      </w:r>
    </w:p>
    <w:p w14:paraId="18D03AD2" w14:textId="77777777" w:rsidR="00E22712" w:rsidRDefault="00E22712" w:rsidP="00E22712">
      <w:pPr>
        <w:ind w:left="720"/>
        <w:jc w:val="both"/>
      </w:pPr>
    </w:p>
    <w:p w14:paraId="076D4EDA" w14:textId="77777777" w:rsidR="007E5989" w:rsidRPr="007E5989" w:rsidRDefault="00E22712" w:rsidP="00E22712">
      <w:pPr>
        <w:pStyle w:val="ListParagraph"/>
        <w:numPr>
          <w:ilvl w:val="0"/>
          <w:numId w:val="4"/>
        </w:numPr>
        <w:rPr>
          <w:i/>
        </w:rPr>
      </w:pPr>
      <w:r w:rsidRPr="00316421">
        <w:rPr>
          <w:b/>
          <w:bCs/>
          <w:i/>
          <w:iCs/>
        </w:rPr>
        <w:t>Business Conduct and Compliance</w:t>
      </w:r>
      <w:r w:rsidRPr="008D0C05">
        <w:rPr>
          <w:b/>
          <w:bCs/>
          <w:i/>
          <w:iCs/>
        </w:rPr>
        <w:t xml:space="preserve"> – </w:t>
      </w:r>
      <w:r w:rsidRPr="00E22712">
        <w:rPr>
          <w:iCs/>
        </w:rPr>
        <w:t>Overheads related to department(s) responsible for Business Conduct and Compliance; the costs should only be reported in this sub-function by the central Business Conduct and Compliance team, i.e. no regional costs are expected</w:t>
      </w:r>
      <w:r w:rsidRPr="008D0C05">
        <w:rPr>
          <w:i/>
          <w:iCs/>
        </w:rPr>
        <w:t>.</w:t>
      </w:r>
    </w:p>
    <w:p w14:paraId="0776BC64" w14:textId="77777777" w:rsidR="007E5989" w:rsidRDefault="007E5989" w:rsidP="007E5989">
      <w:pPr>
        <w:rPr>
          <w:i/>
          <w:iCs/>
        </w:rPr>
      </w:pPr>
    </w:p>
    <w:p w14:paraId="71260ED5" w14:textId="77777777" w:rsidR="00E22712" w:rsidRPr="007E5989" w:rsidRDefault="007E5989" w:rsidP="007E5989">
      <w:pPr>
        <w:rPr>
          <w:i/>
        </w:rPr>
      </w:pPr>
      <w:r>
        <w:rPr>
          <w:i/>
          <w:iCs/>
        </w:rPr>
        <w:t xml:space="preserve">Note: For the secondary view </w:t>
      </w:r>
      <w:r w:rsidR="00266DD5">
        <w:rPr>
          <w:i/>
          <w:iCs/>
        </w:rPr>
        <w:t>Ops</w:t>
      </w:r>
      <w:r w:rsidR="00E22712" w:rsidRPr="007E5989">
        <w:rPr>
          <w:i/>
          <w:iCs/>
        </w:rPr>
        <w:t xml:space="preserve"> </w:t>
      </w:r>
      <w:r>
        <w:rPr>
          <w:i/>
          <w:iCs/>
        </w:rPr>
        <w:t>LEX and Marketing LEX</w:t>
      </w:r>
      <w:r w:rsidR="00266DD5">
        <w:rPr>
          <w:i/>
          <w:iCs/>
        </w:rPr>
        <w:t xml:space="preserve"> overheads</w:t>
      </w:r>
      <w:r>
        <w:rPr>
          <w:i/>
          <w:iCs/>
        </w:rPr>
        <w:t xml:space="preserve"> will be added to the LEX </w:t>
      </w:r>
      <w:r w:rsidR="00266DD5">
        <w:rPr>
          <w:i/>
          <w:iCs/>
        </w:rPr>
        <w:t>functional</w:t>
      </w:r>
      <w:r w:rsidR="0085681E">
        <w:rPr>
          <w:i/>
          <w:iCs/>
        </w:rPr>
        <w:t xml:space="preserve"> overheads; Operations and Marketing Security overheads are also added to LEX total overheads for the secondary view.   </w:t>
      </w:r>
    </w:p>
    <w:p w14:paraId="1BBB07EC" w14:textId="77777777" w:rsidR="0081660E" w:rsidRDefault="0049225B" w:rsidP="0081660E">
      <w:pPr>
        <w:pStyle w:val="Heading2"/>
        <w:rPr>
          <w:b/>
          <w:u w:val="single"/>
        </w:rPr>
      </w:pPr>
      <w:bookmarkStart w:id="1" w:name="_Toc82496900"/>
      <w:r w:rsidRPr="0081660E">
        <w:rPr>
          <w:b/>
          <w:u w:val="single"/>
        </w:rPr>
        <w:lastRenderedPageBreak/>
        <w:t>FINANCE</w:t>
      </w:r>
      <w:bookmarkEnd w:id="1"/>
      <w:r w:rsidR="007E69F9" w:rsidRPr="0081660E">
        <w:rPr>
          <w:b/>
          <w:u w:val="single"/>
        </w:rPr>
        <w:t xml:space="preserve"> </w:t>
      </w:r>
    </w:p>
    <w:p w14:paraId="44FAFE97" w14:textId="77777777" w:rsidR="0081660E" w:rsidRDefault="0081660E" w:rsidP="0081660E">
      <w:pPr>
        <w:rPr>
          <w:bCs/>
          <w:u w:val="single"/>
        </w:rPr>
      </w:pPr>
    </w:p>
    <w:p w14:paraId="3125AA21" w14:textId="6235CCB4" w:rsidR="0049225B" w:rsidRPr="007F1288" w:rsidRDefault="007E69F9" w:rsidP="007F1288">
      <w:pPr>
        <w:rPr>
          <w:bCs/>
          <w:u w:val="single"/>
        </w:rPr>
      </w:pPr>
      <w:bookmarkStart w:id="2" w:name="_Toc82449785"/>
      <w:r w:rsidRPr="007F1288">
        <w:rPr>
          <w:rFonts w:asciiTheme="majorHAnsi" w:eastAsiaTheme="majorEastAsia" w:hAnsiTheme="majorHAnsi" w:cstheme="majorBidi"/>
          <w:bCs/>
          <w:color w:val="365F91" w:themeColor="accent1" w:themeShade="BF"/>
          <w:u w:val="single"/>
        </w:rPr>
        <w:t>Primary Costs</w:t>
      </w:r>
      <w:bookmarkEnd w:id="2"/>
    </w:p>
    <w:p w14:paraId="0CFC739B" w14:textId="77777777" w:rsidR="0049225B" w:rsidRPr="003179A9" w:rsidRDefault="0049225B" w:rsidP="0049225B">
      <w:pPr>
        <w:jc w:val="both"/>
        <w:rPr>
          <w:highlight w:val="yellow"/>
        </w:rPr>
      </w:pPr>
    </w:p>
    <w:p w14:paraId="4BEBBCF3" w14:textId="2B98C2D8" w:rsidR="0049225B" w:rsidRPr="00316421" w:rsidRDefault="0049225B" w:rsidP="009A393C">
      <w:pPr>
        <w:numPr>
          <w:ilvl w:val="0"/>
          <w:numId w:val="4"/>
        </w:numPr>
        <w:jc w:val="both"/>
      </w:pPr>
      <w:r w:rsidRPr="00316421">
        <w:rPr>
          <w:b/>
          <w:i/>
        </w:rPr>
        <w:t>Function management</w:t>
      </w:r>
      <w:r w:rsidRPr="00316421">
        <w:t xml:space="preserve"> –</w:t>
      </w:r>
      <w:r w:rsidR="005034CF" w:rsidRPr="00316421">
        <w:t xml:space="preserve"> the </w:t>
      </w:r>
      <w:r w:rsidR="00841B05" w:rsidRPr="00316421">
        <w:t>cost of FDs</w:t>
      </w:r>
      <w:r w:rsidR="009A393C" w:rsidRPr="00316421">
        <w:t xml:space="preserve"> (including Heads of Finance for non-Direct Reporting Areas or Markets reporting to a GM)</w:t>
      </w:r>
      <w:r w:rsidR="00841B05" w:rsidRPr="00316421">
        <w:t xml:space="preserve">, RFCs, Finance EAs (follow manager) and Finance </w:t>
      </w:r>
      <w:r w:rsidRPr="00316421">
        <w:t>Management trainees.</w:t>
      </w:r>
    </w:p>
    <w:p w14:paraId="1E77A08D" w14:textId="77777777" w:rsidR="00957E4D" w:rsidRPr="00316421" w:rsidRDefault="00957E4D" w:rsidP="00957E4D">
      <w:pPr>
        <w:ind w:left="720"/>
        <w:jc w:val="both"/>
      </w:pPr>
    </w:p>
    <w:p w14:paraId="5ECAD258" w14:textId="77777777" w:rsidR="00957E4D" w:rsidRPr="00316421" w:rsidRDefault="00957E4D" w:rsidP="00957E4D">
      <w:pPr>
        <w:pStyle w:val="ListParagraph"/>
        <w:numPr>
          <w:ilvl w:val="0"/>
          <w:numId w:val="4"/>
        </w:numPr>
        <w:autoSpaceDE w:val="0"/>
        <w:autoSpaceDN w:val="0"/>
        <w:adjustRightInd w:val="0"/>
        <w:jc w:val="both"/>
        <w:rPr>
          <w:i/>
        </w:rPr>
      </w:pPr>
      <w:r w:rsidRPr="00316421">
        <w:rPr>
          <w:b/>
          <w:i/>
        </w:rPr>
        <w:t>Corporate Finance</w:t>
      </w:r>
      <w:r w:rsidRPr="00316421">
        <w:rPr>
          <w:i/>
        </w:rPr>
        <w:t xml:space="preserve"> </w:t>
      </w:r>
      <w:r w:rsidRPr="00316421">
        <w:t>– the costs captured under this cost centre should comprise the costs of activities to comply with quarterly announcements, Financial Management Information (Planning &amp; Forecast) and compliance/control activities.</w:t>
      </w:r>
      <w:r w:rsidRPr="00316421">
        <w:rPr>
          <w:i/>
        </w:rPr>
        <w:t xml:space="preserve"> </w:t>
      </w:r>
    </w:p>
    <w:p w14:paraId="25F46378" w14:textId="77777777" w:rsidR="00957E4D" w:rsidRPr="00316421" w:rsidRDefault="00957E4D" w:rsidP="00957E4D">
      <w:pPr>
        <w:pStyle w:val="ListParagraph"/>
        <w:autoSpaceDE w:val="0"/>
        <w:autoSpaceDN w:val="0"/>
        <w:adjustRightInd w:val="0"/>
        <w:jc w:val="both"/>
        <w:rPr>
          <w:i/>
        </w:rPr>
      </w:pPr>
      <w:r w:rsidRPr="00316421">
        <w:rPr>
          <w:i/>
        </w:rPr>
        <w:t>Including the following; Group Financial Control and End Market; FC’s, Planning &amp; Reporting, Compliance, Corporate Finance and Centre Finance Corporate Business Partners (this excludes Marketing Finance and Operations Finance costs that should be recorded within NBSE and Production overheads respectively).</w:t>
      </w:r>
    </w:p>
    <w:p w14:paraId="2DBCA699" w14:textId="0F482F17" w:rsidR="001F79B1" w:rsidRPr="00316421" w:rsidRDefault="001F79B1" w:rsidP="00957E4D">
      <w:pPr>
        <w:jc w:val="both"/>
      </w:pPr>
    </w:p>
    <w:p w14:paraId="33241B51" w14:textId="77777777" w:rsidR="00957E4D" w:rsidRPr="00316421" w:rsidRDefault="00957E4D" w:rsidP="00957E4D">
      <w:pPr>
        <w:numPr>
          <w:ilvl w:val="0"/>
          <w:numId w:val="4"/>
        </w:numPr>
        <w:jc w:val="both"/>
      </w:pPr>
      <w:r w:rsidRPr="00316421">
        <w:rPr>
          <w:b/>
          <w:i/>
        </w:rPr>
        <w:t>Treasury</w:t>
      </w:r>
      <w:r w:rsidRPr="00316421">
        <w:rPr>
          <w:i/>
        </w:rPr>
        <w:t xml:space="preserve"> </w:t>
      </w:r>
      <w:r w:rsidRPr="00316421">
        <w:t xml:space="preserve">- the costs of the treasury department which is responsible for managing the funding requirement of the business, financial risk and cash assets. The costs of the insurance department are to be included in Treasury. </w:t>
      </w:r>
    </w:p>
    <w:p w14:paraId="0B38BD5C" w14:textId="77777777" w:rsidR="00957E4D" w:rsidRPr="00B23FDE" w:rsidRDefault="00957E4D" w:rsidP="00957E4D">
      <w:pPr>
        <w:tabs>
          <w:tab w:val="left" w:pos="720"/>
        </w:tabs>
        <w:autoSpaceDE w:val="0"/>
        <w:autoSpaceDN w:val="0"/>
        <w:adjustRightInd w:val="0"/>
        <w:ind w:left="720"/>
        <w:jc w:val="both"/>
      </w:pPr>
      <w:r w:rsidRPr="00316421">
        <w:t>For clarification the costs of preparing forecasts (</w:t>
      </w:r>
      <w:proofErr w:type="gramStart"/>
      <w:r w:rsidRPr="00316421">
        <w:t>i.e.</w:t>
      </w:r>
      <w:proofErr w:type="gramEnd"/>
      <w:r w:rsidRPr="00316421">
        <w:t xml:space="preserve"> direct cash flow forecasts) used for managing financial risks, administrating compliance with financial regulation/currency controls, running operational</w:t>
      </w:r>
      <w:r w:rsidRPr="00B23FDE">
        <w:t xml:space="preserve"> banking infrastructure and data gathering for insurance purposes are not Treasury expenses and are to be classified under</w:t>
      </w:r>
      <w:r w:rsidRPr="006237EA">
        <w:t xml:space="preserve"> </w:t>
      </w:r>
      <w:r w:rsidRPr="00B23FDE">
        <w:t>Finance Accounting Services with the exception of long term cash flow forecasting which should be classified under Corporate Finance.</w:t>
      </w:r>
    </w:p>
    <w:p w14:paraId="5F4347BE" w14:textId="77777777" w:rsidR="00957E4D" w:rsidRPr="00B23FDE" w:rsidRDefault="00957E4D" w:rsidP="00957E4D">
      <w:pPr>
        <w:jc w:val="both"/>
      </w:pPr>
    </w:p>
    <w:p w14:paraId="394FF9C6" w14:textId="77777777" w:rsidR="001F79B1" w:rsidRPr="00316421" w:rsidRDefault="001F79B1" w:rsidP="00B23FDE">
      <w:pPr>
        <w:pStyle w:val="ListParagraph"/>
        <w:numPr>
          <w:ilvl w:val="0"/>
          <w:numId w:val="4"/>
        </w:numPr>
        <w:jc w:val="both"/>
      </w:pPr>
      <w:r w:rsidRPr="00316421">
        <w:rPr>
          <w:b/>
          <w:i/>
        </w:rPr>
        <w:t>Corporate Tax</w:t>
      </w:r>
      <w:r w:rsidRPr="00316421">
        <w:t xml:space="preserve"> - captures Corporate Tax </w:t>
      </w:r>
      <w:proofErr w:type="spellStart"/>
      <w:r w:rsidRPr="00316421">
        <w:t>roles</w:t>
      </w:r>
      <w:proofErr w:type="spellEnd"/>
      <w:r w:rsidRPr="00316421">
        <w:t xml:space="preserve"> and expenditure.  Includes the costs of activities required to comply with local country corporate tax legislation as well as consideration of corporate tax planning.</w:t>
      </w:r>
      <w:r w:rsidR="009A393C" w:rsidRPr="00316421">
        <w:t xml:space="preserve"> Note: junior tax compliance or reporting roles should be reported under Finance Accounting Services.</w:t>
      </w:r>
    </w:p>
    <w:p w14:paraId="4C2DF1A1" w14:textId="77777777" w:rsidR="0049225B" w:rsidRPr="00316421" w:rsidRDefault="0049225B" w:rsidP="0049225B">
      <w:pPr>
        <w:ind w:left="360"/>
        <w:jc w:val="both"/>
      </w:pPr>
    </w:p>
    <w:p w14:paraId="199B7905" w14:textId="77777777" w:rsidR="0049225B" w:rsidRPr="00316421" w:rsidRDefault="0049225B" w:rsidP="00B23FDE">
      <w:pPr>
        <w:pStyle w:val="ListParagraph"/>
        <w:numPr>
          <w:ilvl w:val="0"/>
          <w:numId w:val="4"/>
        </w:numPr>
        <w:jc w:val="both"/>
      </w:pPr>
      <w:r w:rsidRPr="00316421">
        <w:rPr>
          <w:b/>
          <w:i/>
        </w:rPr>
        <w:t>Accounting services</w:t>
      </w:r>
      <w:r w:rsidRPr="00316421">
        <w:rPr>
          <w:i/>
        </w:rPr>
        <w:t xml:space="preserve"> </w:t>
      </w:r>
      <w:bookmarkStart w:id="3" w:name="_Hlk82448929"/>
      <w:r w:rsidRPr="00316421">
        <w:t>–</w:t>
      </w:r>
      <w:r w:rsidR="005034CF" w:rsidRPr="00316421">
        <w:t xml:space="preserve"> the </w:t>
      </w:r>
      <w:r w:rsidR="009A393C" w:rsidRPr="00316421">
        <w:t>cost of administering transactional finance activities which have not (yet) been transferred to Shared Services. This will include activities retained for LFR/business case reasons, tax compliance, banking/cash management or statutory accounting.</w:t>
      </w:r>
    </w:p>
    <w:bookmarkEnd w:id="3"/>
    <w:p w14:paraId="7C7E6BE3" w14:textId="77777777" w:rsidR="0049225B" w:rsidRPr="00316421" w:rsidRDefault="0049225B" w:rsidP="0049225B">
      <w:pPr>
        <w:jc w:val="both"/>
      </w:pPr>
    </w:p>
    <w:p w14:paraId="1E45A68B" w14:textId="77777777" w:rsidR="0049225B" w:rsidRPr="00316421" w:rsidRDefault="0049225B" w:rsidP="007E69F9">
      <w:pPr>
        <w:jc w:val="both"/>
      </w:pPr>
    </w:p>
    <w:p w14:paraId="7112D66B" w14:textId="77777777" w:rsidR="0049225B" w:rsidRDefault="0049225B" w:rsidP="0049225B">
      <w:pPr>
        <w:numPr>
          <w:ilvl w:val="0"/>
          <w:numId w:val="4"/>
        </w:numPr>
        <w:jc w:val="both"/>
      </w:pPr>
      <w:r w:rsidRPr="00316421">
        <w:rPr>
          <w:b/>
          <w:i/>
        </w:rPr>
        <w:t xml:space="preserve">Audit </w:t>
      </w:r>
      <w:r w:rsidRPr="00316421">
        <w:t>– costs of the internal audit department (including International) should be classified under this cost centre</w:t>
      </w:r>
      <w:r>
        <w:t xml:space="preserve">. In addition </w:t>
      </w:r>
      <w:r w:rsidR="007E69F9" w:rsidRPr="00B23FDE">
        <w:t>all</w:t>
      </w:r>
      <w:r w:rsidR="007E69F9" w:rsidRPr="007E69F9">
        <w:rPr>
          <w:color w:val="0000FF"/>
        </w:rPr>
        <w:t xml:space="preserve"> </w:t>
      </w:r>
      <w:r>
        <w:t>external audit costs should be recorded under this cost centre.</w:t>
      </w:r>
    </w:p>
    <w:p w14:paraId="7AB8C25A" w14:textId="77777777" w:rsidR="0049225B" w:rsidRPr="004C4FE2" w:rsidRDefault="0049225B" w:rsidP="00B23FDE">
      <w:pPr>
        <w:jc w:val="both"/>
      </w:pPr>
    </w:p>
    <w:p w14:paraId="1D04DDB9" w14:textId="77777777" w:rsidR="0049225B" w:rsidRPr="00BE76BB" w:rsidRDefault="0049225B" w:rsidP="0049225B">
      <w:pPr>
        <w:numPr>
          <w:ilvl w:val="0"/>
          <w:numId w:val="4"/>
        </w:numPr>
        <w:jc w:val="both"/>
      </w:pPr>
      <w:r w:rsidRPr="00B23FDE">
        <w:rPr>
          <w:b/>
          <w:i/>
        </w:rPr>
        <w:t xml:space="preserve">Investor </w:t>
      </w:r>
      <w:r w:rsidR="005671FB">
        <w:rPr>
          <w:b/>
          <w:i/>
        </w:rPr>
        <w:t>R</w:t>
      </w:r>
      <w:r w:rsidRPr="00B23FDE">
        <w:rPr>
          <w:b/>
          <w:i/>
        </w:rPr>
        <w:t>elations</w:t>
      </w:r>
      <w:r w:rsidRPr="00BE76BB">
        <w:t xml:space="preserve">– </w:t>
      </w:r>
      <w:r w:rsidR="00A26F51" w:rsidRPr="00BE76BB">
        <w:t>cost</w:t>
      </w:r>
      <w:r w:rsidRPr="00BE76BB">
        <w:t xml:space="preserve"> of promoting a greater understanding of the Group through dialogue with shareholders and the financial community.</w:t>
      </w:r>
    </w:p>
    <w:p w14:paraId="5EBAD2C1" w14:textId="77777777" w:rsidR="005732A0" w:rsidRDefault="005732A0" w:rsidP="00BE76BB">
      <w:pPr>
        <w:ind w:left="720"/>
        <w:jc w:val="both"/>
      </w:pPr>
    </w:p>
    <w:p w14:paraId="00AA0EB2" w14:textId="77777777" w:rsidR="008D0C05" w:rsidRPr="008D0C05" w:rsidRDefault="008D0C05" w:rsidP="005671FB">
      <w:pPr>
        <w:autoSpaceDE w:val="0"/>
        <w:autoSpaceDN w:val="0"/>
        <w:adjustRightInd w:val="0"/>
        <w:ind w:left="720"/>
        <w:jc w:val="both"/>
      </w:pPr>
    </w:p>
    <w:p w14:paraId="170276BE" w14:textId="77777777" w:rsidR="008D0C05" w:rsidRPr="005671FB" w:rsidRDefault="008D0C05" w:rsidP="008D0C05">
      <w:pPr>
        <w:numPr>
          <w:ilvl w:val="0"/>
          <w:numId w:val="18"/>
        </w:numPr>
        <w:autoSpaceDE w:val="0"/>
        <w:autoSpaceDN w:val="0"/>
        <w:adjustRightInd w:val="0"/>
        <w:ind w:left="720" w:hanging="360"/>
        <w:jc w:val="both"/>
      </w:pPr>
      <w:r w:rsidRPr="008D0C05">
        <w:rPr>
          <w:b/>
          <w:bCs/>
          <w:i/>
          <w:iCs/>
        </w:rPr>
        <w:t xml:space="preserve">Mergers &amp; Acquisition – </w:t>
      </w:r>
      <w:r w:rsidRPr="005671FB">
        <w:rPr>
          <w:iCs/>
        </w:rPr>
        <w:t xml:space="preserve">expenses of the mergers and acquisitions department whose goal is to seek opportunities for group expansion, either via new acquisitions or </w:t>
      </w:r>
      <w:proofErr w:type="gramStart"/>
      <w:r w:rsidRPr="005671FB">
        <w:rPr>
          <w:iCs/>
        </w:rPr>
        <w:t>third party</w:t>
      </w:r>
      <w:proofErr w:type="gramEnd"/>
      <w:r w:rsidRPr="005671FB">
        <w:rPr>
          <w:iCs/>
        </w:rPr>
        <w:t xml:space="preserve"> </w:t>
      </w:r>
      <w:r w:rsidRPr="005671FB">
        <w:rPr>
          <w:iCs/>
        </w:rPr>
        <w:lastRenderedPageBreak/>
        <w:t xml:space="preserve">agreements. Applicable to </w:t>
      </w:r>
      <w:r w:rsidR="001457C5">
        <w:rPr>
          <w:iCs/>
        </w:rPr>
        <w:t>H</w:t>
      </w:r>
      <w:r w:rsidRPr="005671FB">
        <w:rPr>
          <w:iCs/>
        </w:rPr>
        <w:t>ead Office;  may exist in Regions in exceptional circumstances only (should be confirmed with the Global Function)</w:t>
      </w:r>
    </w:p>
    <w:p w14:paraId="549213B7" w14:textId="77777777" w:rsidR="008D0C05" w:rsidRPr="008D0C05" w:rsidRDefault="008D0C05" w:rsidP="008D0C05">
      <w:pPr>
        <w:autoSpaceDE w:val="0"/>
        <w:autoSpaceDN w:val="0"/>
        <w:adjustRightInd w:val="0"/>
        <w:ind w:left="720"/>
        <w:jc w:val="both"/>
      </w:pPr>
    </w:p>
    <w:p w14:paraId="030B3DC5" w14:textId="77777777" w:rsidR="008D0C05" w:rsidRPr="00EA5CAF" w:rsidRDefault="008D0C05" w:rsidP="008D0C05">
      <w:pPr>
        <w:numPr>
          <w:ilvl w:val="0"/>
          <w:numId w:val="18"/>
        </w:numPr>
        <w:autoSpaceDE w:val="0"/>
        <w:autoSpaceDN w:val="0"/>
        <w:adjustRightInd w:val="0"/>
        <w:ind w:left="720" w:hanging="360"/>
        <w:jc w:val="both"/>
        <w:rPr>
          <w:iCs/>
        </w:rPr>
      </w:pPr>
      <w:r w:rsidRPr="008D0C05">
        <w:rPr>
          <w:b/>
          <w:bCs/>
          <w:i/>
          <w:iCs/>
        </w:rPr>
        <w:t xml:space="preserve">Business Controls – </w:t>
      </w:r>
      <w:r w:rsidR="00EA5CAF" w:rsidRPr="00EA5CAF">
        <w:rPr>
          <w:iCs/>
        </w:rPr>
        <w:t>cost of advising, reviewing and improving controls which enable the Group to protect its investments and contribute to its strategic objectives</w:t>
      </w:r>
      <w:r w:rsidR="0085681E">
        <w:rPr>
          <w:iCs/>
        </w:rPr>
        <w:t>. (</w:t>
      </w:r>
      <w:r w:rsidR="00A31D38">
        <w:rPr>
          <w:iCs/>
        </w:rPr>
        <w:t xml:space="preserve">Global function costs only, no markets’ costs are expected). </w:t>
      </w:r>
    </w:p>
    <w:p w14:paraId="614D681C" w14:textId="77777777" w:rsidR="00D45B8B" w:rsidRPr="006237EA" w:rsidRDefault="00D45B8B" w:rsidP="0085681E">
      <w:pPr>
        <w:autoSpaceDE w:val="0"/>
        <w:autoSpaceDN w:val="0"/>
        <w:adjustRightInd w:val="0"/>
      </w:pPr>
    </w:p>
    <w:p w14:paraId="719FE731" w14:textId="77777777" w:rsidR="007E69F9" w:rsidRPr="00B472ED" w:rsidRDefault="007E69F9" w:rsidP="007E69F9">
      <w:pPr>
        <w:ind w:left="360"/>
        <w:rPr>
          <w:i/>
        </w:rPr>
      </w:pPr>
      <w:r w:rsidRPr="00B472ED">
        <w:rPr>
          <w:i/>
        </w:rPr>
        <w:t>Note: Operations, Marketing (Commercial) and IT finance are not included above but within Marketing, Operations and IT functions.</w:t>
      </w:r>
    </w:p>
    <w:p w14:paraId="1E753EA9" w14:textId="77777777" w:rsidR="009A393C" w:rsidRPr="0080546A" w:rsidRDefault="009A393C" w:rsidP="007E69F9">
      <w:pPr>
        <w:ind w:left="360"/>
        <w:rPr>
          <w:b/>
          <w:i/>
          <w:color w:val="0000FF"/>
        </w:rPr>
      </w:pPr>
    </w:p>
    <w:p w14:paraId="12F1969D" w14:textId="77777777" w:rsidR="009A393C" w:rsidRPr="007F1288" w:rsidRDefault="009A393C" w:rsidP="007F1288">
      <w:pPr>
        <w:rPr>
          <w:rFonts w:asciiTheme="majorHAnsi" w:eastAsiaTheme="majorEastAsia" w:hAnsiTheme="majorHAnsi" w:cstheme="majorBidi"/>
          <w:bCs/>
          <w:color w:val="365F91" w:themeColor="accent1" w:themeShade="BF"/>
          <w:u w:val="single"/>
        </w:rPr>
      </w:pPr>
      <w:bookmarkStart w:id="4" w:name="_Toc82449786"/>
      <w:r w:rsidRPr="007F1288">
        <w:rPr>
          <w:rFonts w:asciiTheme="majorHAnsi" w:eastAsiaTheme="majorEastAsia" w:hAnsiTheme="majorHAnsi" w:cstheme="majorBidi"/>
          <w:bCs/>
          <w:color w:val="365F91" w:themeColor="accent1" w:themeShade="BF"/>
          <w:u w:val="single"/>
        </w:rPr>
        <w:t>Secondary Finance Cost</w:t>
      </w:r>
      <w:bookmarkEnd w:id="4"/>
      <w:r w:rsidRPr="007F1288">
        <w:rPr>
          <w:rFonts w:asciiTheme="majorHAnsi" w:eastAsiaTheme="majorEastAsia" w:hAnsiTheme="majorHAnsi" w:cstheme="majorBidi"/>
          <w:bCs/>
          <w:color w:val="365F91" w:themeColor="accent1" w:themeShade="BF"/>
          <w:u w:val="single"/>
        </w:rPr>
        <w:t xml:space="preserve"> </w:t>
      </w:r>
    </w:p>
    <w:p w14:paraId="592BC7DF" w14:textId="77777777" w:rsidR="009A393C" w:rsidRPr="00B42E66" w:rsidRDefault="009A393C" w:rsidP="009A393C">
      <w:pPr>
        <w:rPr>
          <w:i/>
        </w:rPr>
      </w:pPr>
    </w:p>
    <w:p w14:paraId="7F9F90BF" w14:textId="77777777" w:rsidR="009A393C" w:rsidRPr="00B42E66" w:rsidRDefault="009A393C" w:rsidP="009A393C">
      <w:pPr>
        <w:rPr>
          <w:b/>
          <w:i/>
          <w:u w:val="single"/>
        </w:rPr>
      </w:pPr>
      <w:r w:rsidRPr="00B42E66">
        <w:rPr>
          <w:b/>
          <w:i/>
          <w:u w:val="single"/>
        </w:rPr>
        <w:t>Commercial Finance</w:t>
      </w:r>
    </w:p>
    <w:p w14:paraId="2780EE51" w14:textId="77777777" w:rsidR="009A393C" w:rsidRPr="00B42E66" w:rsidRDefault="009A393C" w:rsidP="009A393C">
      <w:pPr>
        <w:autoSpaceDE w:val="0"/>
        <w:autoSpaceDN w:val="0"/>
        <w:adjustRightInd w:val="0"/>
        <w:rPr>
          <w:rFonts w:eastAsiaTheme="minorHAnsi"/>
          <w:b/>
          <w:lang w:eastAsia="en-US"/>
        </w:rPr>
      </w:pPr>
    </w:p>
    <w:p w14:paraId="184367E1" w14:textId="51B0F388" w:rsidR="009A393C" w:rsidRPr="00316421" w:rsidRDefault="009A393C" w:rsidP="00316421">
      <w:pPr>
        <w:pStyle w:val="ListParagraph"/>
        <w:numPr>
          <w:ilvl w:val="0"/>
          <w:numId w:val="34"/>
        </w:numPr>
        <w:autoSpaceDE w:val="0"/>
        <w:autoSpaceDN w:val="0"/>
        <w:adjustRightInd w:val="0"/>
        <w:rPr>
          <w:b/>
          <w:i/>
          <w:u w:val="single"/>
        </w:rPr>
      </w:pPr>
      <w:r w:rsidRPr="00316421">
        <w:rPr>
          <w:b/>
          <w:i/>
          <w:u w:val="single"/>
        </w:rPr>
        <w:t>Part of COS (Production Overheads):</w:t>
      </w:r>
    </w:p>
    <w:p w14:paraId="6CF4DD08" w14:textId="77777777" w:rsidR="009A393C" w:rsidRPr="00B42E66" w:rsidRDefault="009A393C" w:rsidP="009A393C">
      <w:pPr>
        <w:autoSpaceDE w:val="0"/>
        <w:autoSpaceDN w:val="0"/>
        <w:adjustRightInd w:val="0"/>
        <w:rPr>
          <w:rFonts w:eastAsiaTheme="minorHAnsi"/>
          <w:lang w:eastAsia="en-US"/>
        </w:rPr>
      </w:pPr>
    </w:p>
    <w:p w14:paraId="08D061E3" w14:textId="0EB1B789" w:rsidR="009A393C" w:rsidRPr="00316421" w:rsidRDefault="009A393C" w:rsidP="00316421">
      <w:pPr>
        <w:pStyle w:val="ListParagraph"/>
        <w:numPr>
          <w:ilvl w:val="0"/>
          <w:numId w:val="33"/>
        </w:numPr>
        <w:autoSpaceDE w:val="0"/>
        <w:autoSpaceDN w:val="0"/>
        <w:adjustRightInd w:val="0"/>
        <w:rPr>
          <w:rFonts w:eastAsiaTheme="minorHAnsi"/>
          <w:b/>
          <w:bCs/>
          <w:lang w:eastAsia="en-US"/>
        </w:rPr>
      </w:pPr>
      <w:r w:rsidRPr="00316421">
        <w:rPr>
          <w:rFonts w:eastAsiaTheme="minorHAnsi"/>
          <w:b/>
          <w:bCs/>
          <w:lang w:eastAsia="en-US"/>
        </w:rPr>
        <w:t>Operations - Commercial Finance Business Partnering</w:t>
      </w:r>
    </w:p>
    <w:p w14:paraId="3D47FD2F" w14:textId="77777777" w:rsidR="009A393C" w:rsidRPr="00B42E66" w:rsidRDefault="009A393C" w:rsidP="009A393C">
      <w:pPr>
        <w:autoSpaceDE w:val="0"/>
        <w:autoSpaceDN w:val="0"/>
        <w:adjustRightInd w:val="0"/>
        <w:rPr>
          <w:rFonts w:eastAsiaTheme="minorHAnsi"/>
          <w:lang w:eastAsia="en-US"/>
        </w:rPr>
      </w:pPr>
      <w:r w:rsidRPr="00B42E66">
        <w:rPr>
          <w:rFonts w:eastAsiaTheme="minorHAnsi"/>
          <w:lang w:eastAsia="en-US"/>
        </w:rPr>
        <w:t>All departmental costs related to finance employees carrying out business partnering activities within operations. Includes costs related to finance personnel carrying out analysis and providing insights to support the supply chain functions: R&amp;D, leaf, product, planning, procurement, manufacturing, logistics and service and indirect taxation.</w:t>
      </w:r>
    </w:p>
    <w:p w14:paraId="0DC8C500" w14:textId="77777777" w:rsidR="009A393C" w:rsidRPr="00B42E66" w:rsidRDefault="009A393C" w:rsidP="009A393C">
      <w:pPr>
        <w:autoSpaceDE w:val="0"/>
        <w:autoSpaceDN w:val="0"/>
        <w:adjustRightInd w:val="0"/>
        <w:rPr>
          <w:rFonts w:eastAsiaTheme="minorHAnsi"/>
          <w:lang w:eastAsia="en-US"/>
        </w:rPr>
      </w:pPr>
    </w:p>
    <w:p w14:paraId="6A3A4B11" w14:textId="29642413" w:rsidR="009A393C" w:rsidRPr="00316421" w:rsidRDefault="009A393C" w:rsidP="00316421">
      <w:pPr>
        <w:pStyle w:val="ListParagraph"/>
        <w:numPr>
          <w:ilvl w:val="0"/>
          <w:numId w:val="33"/>
        </w:numPr>
        <w:autoSpaceDE w:val="0"/>
        <w:autoSpaceDN w:val="0"/>
        <w:adjustRightInd w:val="0"/>
        <w:rPr>
          <w:rFonts w:eastAsiaTheme="minorHAnsi"/>
          <w:b/>
          <w:bCs/>
          <w:lang w:eastAsia="en-US"/>
        </w:rPr>
      </w:pPr>
      <w:r w:rsidRPr="00316421">
        <w:rPr>
          <w:rFonts w:eastAsiaTheme="minorHAnsi"/>
          <w:b/>
          <w:bCs/>
          <w:lang w:eastAsia="en-US"/>
        </w:rPr>
        <w:t>Operations - Accounting Services</w:t>
      </w:r>
    </w:p>
    <w:p w14:paraId="595EC29C" w14:textId="77777777" w:rsidR="009A393C" w:rsidRPr="00B42E66" w:rsidRDefault="009A393C" w:rsidP="009A393C">
      <w:pPr>
        <w:autoSpaceDE w:val="0"/>
        <w:autoSpaceDN w:val="0"/>
        <w:adjustRightInd w:val="0"/>
        <w:rPr>
          <w:rFonts w:eastAsiaTheme="minorHAnsi"/>
          <w:lang w:eastAsia="en-US"/>
        </w:rPr>
      </w:pPr>
      <w:r w:rsidRPr="00B42E66">
        <w:rPr>
          <w:rFonts w:eastAsiaTheme="minorHAnsi"/>
          <w:lang w:eastAsia="en-US"/>
        </w:rPr>
        <w:t xml:space="preserve">All departmental costs related to finance employees carrying out </w:t>
      </w:r>
      <w:proofErr w:type="gramStart"/>
      <w:r w:rsidRPr="00B42E66">
        <w:rPr>
          <w:rFonts w:eastAsiaTheme="minorHAnsi"/>
          <w:lang w:eastAsia="en-US"/>
        </w:rPr>
        <w:t>back office</w:t>
      </w:r>
      <w:proofErr w:type="gramEnd"/>
      <w:r w:rsidRPr="00B42E66">
        <w:rPr>
          <w:rFonts w:eastAsiaTheme="minorHAnsi"/>
          <w:lang w:eastAsia="en-US"/>
        </w:rPr>
        <w:t xml:space="preserve"> activities such as: accounting (statutory and managerial), product costing, transfer pricing, cash flow forecasting and any compliance activities.</w:t>
      </w:r>
    </w:p>
    <w:p w14:paraId="235CC90B" w14:textId="77777777" w:rsidR="009A393C" w:rsidRPr="00B42E66" w:rsidRDefault="009A393C" w:rsidP="009A393C">
      <w:pPr>
        <w:autoSpaceDE w:val="0"/>
        <w:autoSpaceDN w:val="0"/>
        <w:adjustRightInd w:val="0"/>
        <w:rPr>
          <w:rFonts w:eastAsiaTheme="minorHAnsi"/>
          <w:lang w:eastAsia="en-US"/>
        </w:rPr>
      </w:pPr>
    </w:p>
    <w:p w14:paraId="399973D4" w14:textId="10379DE1" w:rsidR="009A393C" w:rsidRPr="00316421" w:rsidRDefault="009A393C" w:rsidP="00316421">
      <w:pPr>
        <w:pStyle w:val="ListParagraph"/>
        <w:numPr>
          <w:ilvl w:val="0"/>
          <w:numId w:val="34"/>
        </w:numPr>
        <w:autoSpaceDE w:val="0"/>
        <w:autoSpaceDN w:val="0"/>
        <w:adjustRightInd w:val="0"/>
        <w:rPr>
          <w:b/>
          <w:i/>
          <w:u w:val="single"/>
        </w:rPr>
      </w:pPr>
      <w:r w:rsidRPr="00316421">
        <w:rPr>
          <w:b/>
          <w:i/>
          <w:u w:val="single"/>
        </w:rPr>
        <w:t>Part of NBSE (Marketing Overheads)</w:t>
      </w:r>
    </w:p>
    <w:p w14:paraId="4EFD54C5" w14:textId="77777777" w:rsidR="009A393C" w:rsidRPr="00B42E66" w:rsidRDefault="009A393C" w:rsidP="009A393C">
      <w:pPr>
        <w:autoSpaceDE w:val="0"/>
        <w:autoSpaceDN w:val="0"/>
        <w:adjustRightInd w:val="0"/>
        <w:rPr>
          <w:rFonts w:eastAsiaTheme="minorHAnsi"/>
          <w:lang w:eastAsia="en-US"/>
        </w:rPr>
      </w:pPr>
    </w:p>
    <w:p w14:paraId="67A9F1B7" w14:textId="5A94CE59" w:rsidR="009A393C" w:rsidRPr="00316421" w:rsidRDefault="009A393C" w:rsidP="00316421">
      <w:pPr>
        <w:pStyle w:val="ListParagraph"/>
        <w:numPr>
          <w:ilvl w:val="0"/>
          <w:numId w:val="33"/>
        </w:numPr>
        <w:autoSpaceDE w:val="0"/>
        <w:autoSpaceDN w:val="0"/>
        <w:adjustRightInd w:val="0"/>
        <w:rPr>
          <w:rFonts w:eastAsiaTheme="minorHAnsi"/>
          <w:b/>
          <w:bCs/>
          <w:lang w:eastAsia="en-US"/>
        </w:rPr>
      </w:pPr>
      <w:r w:rsidRPr="00316421">
        <w:rPr>
          <w:rFonts w:eastAsiaTheme="minorHAnsi"/>
          <w:b/>
          <w:bCs/>
          <w:lang w:eastAsia="en-US"/>
        </w:rPr>
        <w:t>Marketing - Commercial Finance Business Partnering</w:t>
      </w:r>
    </w:p>
    <w:p w14:paraId="7DAAE5C0" w14:textId="77777777" w:rsidR="009A393C" w:rsidRPr="00B42E66" w:rsidRDefault="009A393C" w:rsidP="009A393C">
      <w:pPr>
        <w:autoSpaceDE w:val="0"/>
        <w:autoSpaceDN w:val="0"/>
        <w:adjustRightInd w:val="0"/>
        <w:rPr>
          <w:rFonts w:eastAsiaTheme="minorHAnsi"/>
          <w:lang w:eastAsia="en-US"/>
        </w:rPr>
      </w:pPr>
      <w:r w:rsidRPr="00B42E66">
        <w:rPr>
          <w:rFonts w:eastAsiaTheme="minorHAnsi"/>
          <w:lang w:eastAsia="en-US"/>
        </w:rPr>
        <w:t>All departmental costs related to employees providing financial insight &amp; analysis in Marketing to drive decision making. Includes costs related to finance personnel giving support on pricing and excise management, trade margin management and resource allocation.</w:t>
      </w:r>
    </w:p>
    <w:p w14:paraId="203CE2A6" w14:textId="77777777" w:rsidR="009A393C" w:rsidRPr="00B42E66" w:rsidRDefault="009A393C" w:rsidP="009A393C">
      <w:pPr>
        <w:autoSpaceDE w:val="0"/>
        <w:autoSpaceDN w:val="0"/>
        <w:adjustRightInd w:val="0"/>
        <w:rPr>
          <w:rFonts w:eastAsiaTheme="minorHAnsi"/>
          <w:lang w:eastAsia="en-US"/>
        </w:rPr>
      </w:pPr>
    </w:p>
    <w:p w14:paraId="5ACFC35C" w14:textId="1400B268" w:rsidR="009A393C" w:rsidRPr="00316421" w:rsidRDefault="009A393C" w:rsidP="00316421">
      <w:pPr>
        <w:pStyle w:val="ListParagraph"/>
        <w:numPr>
          <w:ilvl w:val="0"/>
          <w:numId w:val="33"/>
        </w:numPr>
        <w:autoSpaceDE w:val="0"/>
        <w:autoSpaceDN w:val="0"/>
        <w:adjustRightInd w:val="0"/>
        <w:rPr>
          <w:rFonts w:eastAsiaTheme="minorHAnsi"/>
          <w:b/>
          <w:bCs/>
          <w:lang w:eastAsia="en-US"/>
        </w:rPr>
      </w:pPr>
      <w:r w:rsidRPr="00316421">
        <w:rPr>
          <w:rFonts w:eastAsiaTheme="minorHAnsi"/>
          <w:b/>
          <w:bCs/>
          <w:lang w:eastAsia="en-US"/>
        </w:rPr>
        <w:t>Marketing - Accounting Services</w:t>
      </w:r>
    </w:p>
    <w:p w14:paraId="6F867E14" w14:textId="77777777" w:rsidR="00DF506B" w:rsidRDefault="009A393C" w:rsidP="0085681E">
      <w:pPr>
        <w:autoSpaceDE w:val="0"/>
        <w:autoSpaceDN w:val="0"/>
        <w:adjustRightInd w:val="0"/>
        <w:rPr>
          <w:rFonts w:eastAsiaTheme="minorHAnsi"/>
          <w:lang w:eastAsia="en-US"/>
        </w:rPr>
      </w:pPr>
      <w:r w:rsidRPr="00B42E66">
        <w:rPr>
          <w:rFonts w:eastAsiaTheme="minorHAnsi"/>
          <w:lang w:eastAsia="en-US"/>
        </w:rPr>
        <w:t xml:space="preserve">All departmental costs related to finance employees carrying out </w:t>
      </w:r>
      <w:proofErr w:type="gramStart"/>
      <w:r w:rsidRPr="00B42E66">
        <w:rPr>
          <w:rFonts w:eastAsiaTheme="minorHAnsi"/>
          <w:lang w:eastAsia="en-US"/>
        </w:rPr>
        <w:t>back office</w:t>
      </w:r>
      <w:proofErr w:type="gramEnd"/>
      <w:r w:rsidRPr="00B42E66">
        <w:rPr>
          <w:rFonts w:eastAsiaTheme="minorHAnsi"/>
          <w:lang w:eastAsia="en-US"/>
        </w:rPr>
        <w:t xml:space="preserve"> activities such as: accounting services (invoice/sales processing, receivables collection and accounting support of sales/DSD/DSS offices), compliance activities in trade.</w:t>
      </w:r>
    </w:p>
    <w:p w14:paraId="159FC76B" w14:textId="77777777" w:rsidR="001A037F" w:rsidRDefault="001A037F" w:rsidP="0085681E">
      <w:pPr>
        <w:autoSpaceDE w:val="0"/>
        <w:autoSpaceDN w:val="0"/>
        <w:adjustRightInd w:val="0"/>
        <w:rPr>
          <w:rFonts w:eastAsiaTheme="minorHAnsi"/>
          <w:lang w:eastAsia="en-US"/>
        </w:rPr>
      </w:pPr>
    </w:p>
    <w:p w14:paraId="2DB21AFB" w14:textId="77777777" w:rsidR="001A037F" w:rsidRPr="0085681E" w:rsidRDefault="001A037F" w:rsidP="0085681E">
      <w:pPr>
        <w:autoSpaceDE w:val="0"/>
        <w:autoSpaceDN w:val="0"/>
        <w:adjustRightInd w:val="0"/>
        <w:rPr>
          <w:rFonts w:eastAsiaTheme="minorHAnsi"/>
          <w:lang w:eastAsia="en-US"/>
        </w:rPr>
      </w:pPr>
    </w:p>
    <w:p w14:paraId="24C1D11F" w14:textId="77777777" w:rsidR="00DC59BE" w:rsidRPr="00C877CA" w:rsidRDefault="00DC59BE" w:rsidP="00657712">
      <w:pPr>
        <w:jc w:val="both"/>
        <w:rPr>
          <w:b/>
        </w:rPr>
      </w:pPr>
    </w:p>
    <w:p w14:paraId="3A80661B" w14:textId="77777777" w:rsidR="00C343B1" w:rsidRPr="0081660E" w:rsidRDefault="00C343B1" w:rsidP="0081660E">
      <w:pPr>
        <w:pStyle w:val="Heading2"/>
        <w:rPr>
          <w:b/>
          <w:u w:val="single"/>
        </w:rPr>
      </w:pPr>
      <w:bookmarkStart w:id="5" w:name="_Toc82496901"/>
      <w:r w:rsidRPr="0081660E">
        <w:rPr>
          <w:b/>
          <w:u w:val="single"/>
        </w:rPr>
        <w:t>HR</w:t>
      </w:r>
      <w:bookmarkEnd w:id="5"/>
    </w:p>
    <w:p w14:paraId="6AD9FD76" w14:textId="77777777" w:rsidR="00C343B1" w:rsidRPr="009E7157" w:rsidRDefault="00C343B1" w:rsidP="00657712">
      <w:pPr>
        <w:jc w:val="both"/>
        <w:rPr>
          <w:highlight w:val="yellow"/>
        </w:rPr>
      </w:pPr>
    </w:p>
    <w:p w14:paraId="47DD8809" w14:textId="77777777" w:rsidR="00AB4AAC" w:rsidRPr="009E7157" w:rsidRDefault="00AB4AAC" w:rsidP="00657712">
      <w:pPr>
        <w:numPr>
          <w:ilvl w:val="0"/>
          <w:numId w:val="4"/>
        </w:numPr>
        <w:jc w:val="both"/>
      </w:pPr>
      <w:r w:rsidRPr="00B23FDE">
        <w:rPr>
          <w:b/>
          <w:i/>
        </w:rPr>
        <w:t>Function management</w:t>
      </w:r>
      <w:r w:rsidRPr="009E7157">
        <w:t xml:space="preserve"> – </w:t>
      </w:r>
      <w:r w:rsidR="00150652" w:rsidRPr="009E7157">
        <w:t>costs of the head of function, functional strategy and costs of Management trainees.</w:t>
      </w:r>
    </w:p>
    <w:p w14:paraId="18B897F7" w14:textId="77777777" w:rsidR="00AB4AAC" w:rsidRPr="009E7157" w:rsidRDefault="00AB4AAC" w:rsidP="00657712">
      <w:pPr>
        <w:ind w:left="360"/>
        <w:jc w:val="both"/>
      </w:pPr>
    </w:p>
    <w:p w14:paraId="7CAA9846" w14:textId="77777777" w:rsidR="00AB4AAC" w:rsidRDefault="0089013F" w:rsidP="00657712">
      <w:pPr>
        <w:numPr>
          <w:ilvl w:val="0"/>
          <w:numId w:val="4"/>
        </w:numPr>
        <w:jc w:val="both"/>
      </w:pPr>
      <w:r w:rsidRPr="00B23FDE">
        <w:rPr>
          <w:b/>
          <w:i/>
        </w:rPr>
        <w:t>Administration &amp; systems</w:t>
      </w:r>
      <w:r w:rsidR="00AB4AAC" w:rsidRPr="009E7157">
        <w:t xml:space="preserve"> – </w:t>
      </w:r>
      <w:r w:rsidR="002C67D3" w:rsidRPr="009E7157">
        <w:t>costs of a</w:t>
      </w:r>
      <w:r w:rsidRPr="009E7157">
        <w:t>ll transactional activities including administrative shared services and HR systems</w:t>
      </w:r>
      <w:r w:rsidR="00AB4AAC" w:rsidRPr="009E7157">
        <w:t>.</w:t>
      </w:r>
    </w:p>
    <w:p w14:paraId="2884FAB5" w14:textId="77777777" w:rsidR="00427FB3" w:rsidRPr="00F135EE" w:rsidRDefault="00415FAC" w:rsidP="000C59EA">
      <w:pPr>
        <w:numPr>
          <w:ilvl w:val="0"/>
          <w:numId w:val="4"/>
        </w:numPr>
        <w:jc w:val="both"/>
      </w:pPr>
      <w:r w:rsidRPr="00B23FDE">
        <w:rPr>
          <w:b/>
          <w:i/>
        </w:rPr>
        <w:lastRenderedPageBreak/>
        <w:t>Talent</w:t>
      </w:r>
      <w:r w:rsidR="00AF5082" w:rsidRPr="00B23FDE">
        <w:rPr>
          <w:b/>
          <w:i/>
        </w:rPr>
        <w:t xml:space="preserve"> </w:t>
      </w:r>
      <w:r w:rsidR="000C59EA" w:rsidRPr="00B23FDE">
        <w:rPr>
          <w:b/>
          <w:i/>
        </w:rPr>
        <w:t xml:space="preserve">&amp; </w:t>
      </w:r>
      <w:r w:rsidR="00427FB3" w:rsidRPr="00B23FDE">
        <w:rPr>
          <w:b/>
          <w:i/>
        </w:rPr>
        <w:t>Organisational Effectiveness</w:t>
      </w:r>
      <w:r w:rsidR="001F141E">
        <w:rPr>
          <w:i/>
        </w:rPr>
        <w:t xml:space="preserve"> </w:t>
      </w:r>
      <w:r w:rsidR="00F135EE">
        <w:rPr>
          <w:i/>
        </w:rPr>
        <w:t>-</w:t>
      </w:r>
      <w:r w:rsidR="001F141E">
        <w:rPr>
          <w:i/>
        </w:rPr>
        <w:t xml:space="preserve"> </w:t>
      </w:r>
      <w:r w:rsidR="00427FB3" w:rsidRPr="00F135EE">
        <w:t>expenses related to Talent Development and expenses related to Organisational Effectiveness and Organisational Design.</w:t>
      </w:r>
    </w:p>
    <w:p w14:paraId="1092BEEF" w14:textId="77777777" w:rsidR="00427FB3" w:rsidRDefault="00427FB3" w:rsidP="00427FB3">
      <w:pPr>
        <w:pStyle w:val="ListParagraph"/>
        <w:rPr>
          <w:color w:val="0000FF"/>
        </w:rPr>
      </w:pPr>
    </w:p>
    <w:p w14:paraId="68B38DBF" w14:textId="77777777" w:rsidR="000C59EA" w:rsidRPr="00427FB3" w:rsidRDefault="000C59EA" w:rsidP="000C59EA">
      <w:pPr>
        <w:numPr>
          <w:ilvl w:val="0"/>
          <w:numId w:val="4"/>
        </w:numPr>
        <w:jc w:val="both"/>
      </w:pPr>
      <w:r w:rsidRPr="00B23FDE">
        <w:rPr>
          <w:b/>
          <w:i/>
        </w:rPr>
        <w:t>Reward</w:t>
      </w:r>
      <w:r w:rsidRPr="00427FB3">
        <w:t xml:space="preserve"> </w:t>
      </w:r>
      <w:r w:rsidR="00AF5082" w:rsidRPr="00427FB3">
        <w:t>–</w:t>
      </w:r>
      <w:r w:rsidR="00427FB3" w:rsidRPr="00427FB3">
        <w:t xml:space="preserve"> O</w:t>
      </w:r>
      <w:r w:rsidRPr="00427FB3">
        <w:t>verheads of the department with activities related to all aspects of reward, e.g. pensions, salary management, job evaluation, incentives, etc.</w:t>
      </w:r>
    </w:p>
    <w:p w14:paraId="4B51B7B2" w14:textId="77777777" w:rsidR="00226BA6" w:rsidRPr="00427FB3" w:rsidRDefault="00226BA6" w:rsidP="00657712">
      <w:pPr>
        <w:jc w:val="both"/>
      </w:pPr>
    </w:p>
    <w:p w14:paraId="1901034E" w14:textId="77777777" w:rsidR="005732A0" w:rsidRDefault="005E1914" w:rsidP="000C59EA">
      <w:pPr>
        <w:numPr>
          <w:ilvl w:val="0"/>
          <w:numId w:val="4"/>
        </w:numPr>
        <w:jc w:val="both"/>
      </w:pPr>
      <w:r w:rsidRPr="00B23FDE">
        <w:rPr>
          <w:b/>
          <w:i/>
        </w:rPr>
        <w:t>Business partner support</w:t>
      </w:r>
      <w:r w:rsidR="00226BA6" w:rsidRPr="00427FB3">
        <w:rPr>
          <w:i/>
        </w:rPr>
        <w:t xml:space="preserve"> </w:t>
      </w:r>
      <w:r w:rsidRPr="00427FB3">
        <w:t>–</w:t>
      </w:r>
      <w:r w:rsidR="00226BA6" w:rsidRPr="00427FB3">
        <w:t xml:space="preserve"> </w:t>
      </w:r>
      <w:r w:rsidR="000C59EA" w:rsidRPr="00427FB3">
        <w:t xml:space="preserve">Expenses of HRBP personnel that are </w:t>
      </w:r>
      <w:r w:rsidR="000C59EA" w:rsidRPr="000C59EA">
        <w:t>part of HR (i.e. direct line reports) and provide HR support to other functions. This excludes Marketing HR and Operations HR costs that should be recorded within NBSE and Production</w:t>
      </w:r>
    </w:p>
    <w:p w14:paraId="56E8806E" w14:textId="77777777" w:rsidR="000C59EA" w:rsidRDefault="000C59EA" w:rsidP="000C59EA">
      <w:pPr>
        <w:pStyle w:val="ListParagraph"/>
      </w:pPr>
    </w:p>
    <w:p w14:paraId="3093E589" w14:textId="77777777" w:rsidR="007E5989" w:rsidRPr="007E5989" w:rsidRDefault="007E5989" w:rsidP="007E5989">
      <w:pPr>
        <w:pStyle w:val="ListParagraph"/>
        <w:rPr>
          <w:i/>
        </w:rPr>
      </w:pPr>
      <w:r w:rsidRPr="007E5989">
        <w:rPr>
          <w:i/>
          <w:iCs/>
        </w:rPr>
        <w:t xml:space="preserve">Note: For the secondary view Ops </w:t>
      </w:r>
      <w:r>
        <w:rPr>
          <w:i/>
          <w:iCs/>
        </w:rPr>
        <w:t xml:space="preserve">HR </w:t>
      </w:r>
      <w:r w:rsidRPr="007E5989">
        <w:rPr>
          <w:i/>
          <w:iCs/>
        </w:rPr>
        <w:t xml:space="preserve">and Marketing </w:t>
      </w:r>
      <w:r>
        <w:rPr>
          <w:i/>
          <w:iCs/>
        </w:rPr>
        <w:t>HR</w:t>
      </w:r>
      <w:r w:rsidRPr="007E5989">
        <w:rPr>
          <w:i/>
          <w:iCs/>
        </w:rPr>
        <w:t xml:space="preserve"> will be added to the </w:t>
      </w:r>
      <w:r w:rsidR="00266DD5">
        <w:rPr>
          <w:i/>
          <w:iCs/>
        </w:rPr>
        <w:t xml:space="preserve">HR </w:t>
      </w:r>
      <w:r w:rsidR="00266DD5" w:rsidRPr="007E5989">
        <w:rPr>
          <w:i/>
          <w:iCs/>
        </w:rPr>
        <w:t>function</w:t>
      </w:r>
      <w:r w:rsidR="00266DD5">
        <w:rPr>
          <w:i/>
          <w:iCs/>
        </w:rPr>
        <w:t xml:space="preserve">al </w:t>
      </w:r>
      <w:r w:rsidRPr="007E5989">
        <w:rPr>
          <w:i/>
          <w:iCs/>
        </w:rPr>
        <w:t>overheads.</w:t>
      </w:r>
    </w:p>
    <w:p w14:paraId="34D98FFD" w14:textId="77777777" w:rsidR="00415FAC" w:rsidRPr="007A4313" w:rsidRDefault="00415FAC" w:rsidP="00657712">
      <w:pPr>
        <w:jc w:val="both"/>
      </w:pPr>
    </w:p>
    <w:p w14:paraId="1975A0DF" w14:textId="77777777" w:rsidR="00B2752C" w:rsidRDefault="00B2752C" w:rsidP="00657712">
      <w:pPr>
        <w:jc w:val="both"/>
        <w:rPr>
          <w:b/>
        </w:rPr>
      </w:pPr>
    </w:p>
    <w:p w14:paraId="50A95B2F" w14:textId="2226C3BC" w:rsidR="00C343B1" w:rsidRPr="0081660E" w:rsidRDefault="00FE2C5E" w:rsidP="0081660E">
      <w:pPr>
        <w:pStyle w:val="Heading2"/>
        <w:rPr>
          <w:b/>
          <w:u w:val="single"/>
        </w:rPr>
      </w:pPr>
      <w:bookmarkStart w:id="6" w:name="_Toc82496902"/>
      <w:r w:rsidRPr="0081660E">
        <w:rPr>
          <w:b/>
          <w:u w:val="single"/>
        </w:rPr>
        <w:t>DBS (IDT)</w:t>
      </w:r>
      <w:bookmarkEnd w:id="6"/>
    </w:p>
    <w:p w14:paraId="0C1C018E" w14:textId="77777777" w:rsidR="00C343B1" w:rsidRPr="007A4313" w:rsidRDefault="00C343B1" w:rsidP="00657712">
      <w:pPr>
        <w:jc w:val="both"/>
        <w:rPr>
          <w:highlight w:val="yellow"/>
        </w:rPr>
      </w:pPr>
    </w:p>
    <w:p w14:paraId="6E8019B3" w14:textId="50B3AEC9" w:rsidR="00AC2CA2" w:rsidRDefault="00AC2CA2" w:rsidP="0081660E">
      <w:pPr>
        <w:numPr>
          <w:ilvl w:val="0"/>
          <w:numId w:val="4"/>
        </w:numPr>
        <w:jc w:val="both"/>
      </w:pPr>
      <w:r w:rsidRPr="00356EF5">
        <w:rPr>
          <w:b/>
          <w:i/>
        </w:rPr>
        <w:t xml:space="preserve">Functional </w:t>
      </w:r>
      <w:proofErr w:type="gramStart"/>
      <w:r w:rsidRPr="00356EF5">
        <w:rPr>
          <w:b/>
          <w:i/>
        </w:rPr>
        <w:t>Management</w:t>
      </w:r>
      <w:r w:rsidRPr="00453A16">
        <w:t xml:space="preserve">  -</w:t>
      </w:r>
      <w:proofErr w:type="gramEnd"/>
      <w:r w:rsidRPr="00453A16">
        <w:t xml:space="preserve"> </w:t>
      </w:r>
      <w:r w:rsidR="00356EF5" w:rsidRPr="00356EF5">
        <w:t xml:space="preserve">Costs associated with supporting the Global </w:t>
      </w:r>
      <w:r w:rsidR="002635E9">
        <w:t>DBS</w:t>
      </w:r>
      <w:r w:rsidR="00356EF5" w:rsidRPr="00356EF5">
        <w:t xml:space="preserve"> business needs driven by Finance and Corporate Services </w:t>
      </w:r>
      <w:r w:rsidR="002635E9">
        <w:t>DBS</w:t>
      </w:r>
      <w:r w:rsidR="00356EF5" w:rsidRPr="00356EF5">
        <w:t xml:space="preserve"> function.</w:t>
      </w:r>
    </w:p>
    <w:p w14:paraId="32CC68CF" w14:textId="77777777" w:rsidR="00356EF5" w:rsidRPr="00453A16" w:rsidRDefault="00356EF5" w:rsidP="00356EF5">
      <w:pPr>
        <w:ind w:left="720"/>
        <w:jc w:val="both"/>
      </w:pPr>
    </w:p>
    <w:p w14:paraId="1E058F63" w14:textId="442FBBB8" w:rsidR="002635E9" w:rsidRDefault="00AC2CA2" w:rsidP="002635E9">
      <w:pPr>
        <w:numPr>
          <w:ilvl w:val="0"/>
          <w:numId w:val="4"/>
        </w:numPr>
        <w:jc w:val="both"/>
      </w:pPr>
      <w:r w:rsidRPr="002635E9">
        <w:rPr>
          <w:b/>
          <w:i/>
        </w:rPr>
        <w:t>I</w:t>
      </w:r>
      <w:r w:rsidR="00FE2C5E">
        <w:rPr>
          <w:b/>
          <w:i/>
        </w:rPr>
        <w:t>D</w:t>
      </w:r>
      <w:r w:rsidRPr="002635E9">
        <w:rPr>
          <w:b/>
          <w:i/>
        </w:rPr>
        <w:t>T Services Global</w:t>
      </w:r>
      <w:r w:rsidRPr="000A0D86">
        <w:t xml:space="preserve"> - </w:t>
      </w:r>
      <w:r w:rsidR="002635E9">
        <w:t xml:space="preserve">Costs of all centrally managed IDT Services costs, including: Technology Services Management, Application Services Management, Global Infrastructure and Operations Management, End User Experience and End Market Operations and IDT Services Functional Management. </w:t>
      </w:r>
    </w:p>
    <w:p w14:paraId="5AE2B40B" w14:textId="7BF64470" w:rsidR="00AC2CA2" w:rsidRPr="002635E9" w:rsidRDefault="00AC2CA2" w:rsidP="002635E9">
      <w:pPr>
        <w:ind w:left="720"/>
        <w:jc w:val="both"/>
        <w:rPr>
          <w:i/>
        </w:rPr>
      </w:pPr>
      <w:r w:rsidRPr="000A0D86">
        <w:t>(</w:t>
      </w:r>
      <w:r w:rsidRPr="002635E9">
        <w:rPr>
          <w:i/>
        </w:rPr>
        <w:t>Note:</w:t>
      </w:r>
      <w:r w:rsidRPr="000A0D86">
        <w:t xml:space="preserve"> </w:t>
      </w:r>
      <w:r w:rsidRPr="002635E9">
        <w:rPr>
          <w:i/>
        </w:rPr>
        <w:t>No regional/end market local IT costs are expected in this sub-function).</w:t>
      </w:r>
    </w:p>
    <w:p w14:paraId="4621ED5A" w14:textId="77777777" w:rsidR="00AC2CA2" w:rsidRPr="000A0D86" w:rsidRDefault="00AC2CA2" w:rsidP="00AC2CA2">
      <w:pPr>
        <w:ind w:left="720"/>
        <w:jc w:val="both"/>
        <w:rPr>
          <w:i/>
        </w:rPr>
      </w:pPr>
    </w:p>
    <w:p w14:paraId="0550BA3E" w14:textId="76415310" w:rsidR="002635E9" w:rsidRDefault="00AC2CA2" w:rsidP="002635E9">
      <w:pPr>
        <w:numPr>
          <w:ilvl w:val="0"/>
          <w:numId w:val="4"/>
        </w:numPr>
        <w:jc w:val="both"/>
      </w:pPr>
      <w:r w:rsidRPr="000A0D86">
        <w:rPr>
          <w:b/>
          <w:i/>
        </w:rPr>
        <w:t>I</w:t>
      </w:r>
      <w:r w:rsidR="00FE2C5E">
        <w:rPr>
          <w:b/>
          <w:i/>
        </w:rPr>
        <w:t>D</w:t>
      </w:r>
      <w:r w:rsidRPr="000A0D86">
        <w:rPr>
          <w:b/>
          <w:i/>
        </w:rPr>
        <w:t>T Services Regional</w:t>
      </w:r>
      <w:r w:rsidRPr="000A0D86">
        <w:t xml:space="preserve"> - </w:t>
      </w:r>
      <w:r w:rsidR="002635E9">
        <w:t xml:space="preserve">Costs of all regionally managed IDT Services costs, including: Technology Services Management, Application Services Management, and End User Services and Service Operations. </w:t>
      </w:r>
    </w:p>
    <w:p w14:paraId="1E9B69FE" w14:textId="4097AB80" w:rsidR="00AC2CA2" w:rsidRPr="002635E9" w:rsidRDefault="002635E9" w:rsidP="002635E9">
      <w:pPr>
        <w:ind w:left="720"/>
        <w:jc w:val="both"/>
        <w:rPr>
          <w:i/>
          <w:iCs/>
        </w:rPr>
      </w:pPr>
      <w:r w:rsidRPr="002635E9">
        <w:rPr>
          <w:i/>
          <w:iCs/>
        </w:rPr>
        <w:t>(Note: This sub-function is not related to Operations, Marketing and Corporate services. IDT services costs for those functions (global and regional) are allocated to the respective sub-functions and can be added to total IDT spend using Secondary (Management) View)</w:t>
      </w:r>
      <w:r>
        <w:rPr>
          <w:i/>
          <w:iCs/>
        </w:rPr>
        <w:t>.</w:t>
      </w:r>
    </w:p>
    <w:p w14:paraId="2313A889" w14:textId="77777777" w:rsidR="00AC2CA2" w:rsidRPr="00453A16" w:rsidRDefault="00AC2CA2" w:rsidP="00AC2CA2">
      <w:pPr>
        <w:ind w:left="720"/>
        <w:jc w:val="both"/>
      </w:pPr>
    </w:p>
    <w:p w14:paraId="44354245" w14:textId="35132F9D" w:rsidR="00AC2CA2" w:rsidRPr="000A0D86" w:rsidRDefault="00FE2C5E" w:rsidP="00AC2CA2">
      <w:pPr>
        <w:numPr>
          <w:ilvl w:val="0"/>
          <w:numId w:val="4"/>
        </w:numPr>
        <w:jc w:val="both"/>
      </w:pPr>
      <w:r w:rsidRPr="00FE2C5E">
        <w:rPr>
          <w:b/>
          <w:i/>
        </w:rPr>
        <w:t>DBS Corporate Functions</w:t>
      </w:r>
      <w:r>
        <w:rPr>
          <w:b/>
          <w:i/>
        </w:rPr>
        <w:t xml:space="preserve"> </w:t>
      </w:r>
      <w:r w:rsidR="00AC2CA2" w:rsidRPr="000A0D86">
        <w:t xml:space="preserve">- </w:t>
      </w:r>
      <w:r w:rsidR="002635E9" w:rsidRPr="002635E9">
        <w:t>Costs associated with supporting the Global IDT business needs driven by HR, LEX, Finance, GBS IDT and IDT functions. IDT services related to the applications supporting the above functions are also captured in this sub-function</w:t>
      </w:r>
    </w:p>
    <w:p w14:paraId="4A3C3B3D" w14:textId="77777777" w:rsidR="00AC2CA2" w:rsidRPr="00B87C7C" w:rsidRDefault="00AC2CA2" w:rsidP="00AC2CA2">
      <w:pPr>
        <w:ind w:left="720"/>
        <w:jc w:val="both"/>
      </w:pPr>
    </w:p>
    <w:p w14:paraId="03B97BC4" w14:textId="2E98C22E" w:rsidR="00AC2CA2" w:rsidRPr="00B87C7C" w:rsidRDefault="00FE2C5E" w:rsidP="00AC2CA2">
      <w:pPr>
        <w:numPr>
          <w:ilvl w:val="0"/>
          <w:numId w:val="4"/>
        </w:numPr>
        <w:jc w:val="both"/>
        <w:rPr>
          <w:b/>
        </w:rPr>
      </w:pPr>
      <w:r w:rsidRPr="00FE2C5E">
        <w:rPr>
          <w:b/>
          <w:i/>
        </w:rPr>
        <w:t>Technology Solutions</w:t>
      </w:r>
      <w:r w:rsidR="00AC2CA2" w:rsidRPr="00B87C7C">
        <w:rPr>
          <w:b/>
          <w:i/>
        </w:rPr>
        <w:t xml:space="preserve">– </w:t>
      </w:r>
      <w:r w:rsidR="002635E9" w:rsidRPr="002635E9">
        <w:t xml:space="preserve">Consists of costs of various sub- functions including: Enterprise Data &amp; Architecture, EPMO, Digital Platform </w:t>
      </w:r>
      <w:proofErr w:type="spellStart"/>
      <w:r w:rsidR="002635E9" w:rsidRPr="002635E9">
        <w:t>CoE</w:t>
      </w:r>
      <w:proofErr w:type="spellEnd"/>
      <w:r w:rsidR="002635E9" w:rsidRPr="002635E9">
        <w:t>, Data &amp; Reporting Analytics (D&amp;A), Infrastructure and Services Engineering, and other costs related for the management, control &amp; provisioning of digital services, to achieve A Better Tomorrow with Technology and Data for the Group</w:t>
      </w:r>
    </w:p>
    <w:p w14:paraId="709CCDEB" w14:textId="662BFACC" w:rsidR="002635E9" w:rsidRPr="002635E9" w:rsidRDefault="00FE2C5E" w:rsidP="00AC2CA2">
      <w:pPr>
        <w:pStyle w:val="ListParagraph"/>
        <w:numPr>
          <w:ilvl w:val="0"/>
          <w:numId w:val="28"/>
        </w:numPr>
        <w:jc w:val="both"/>
        <w:rPr>
          <w:i/>
        </w:rPr>
      </w:pPr>
      <w:r w:rsidRPr="00FE2C5E">
        <w:rPr>
          <w:b/>
          <w:i/>
        </w:rPr>
        <w:t>Cyber Security</w:t>
      </w:r>
      <w:r>
        <w:rPr>
          <w:b/>
          <w:i/>
        </w:rPr>
        <w:t xml:space="preserve"> </w:t>
      </w:r>
      <w:r w:rsidR="00AC2CA2" w:rsidRPr="00904F38">
        <w:rPr>
          <w:i/>
        </w:rPr>
        <w:t>-</w:t>
      </w:r>
      <w:r w:rsidR="00AC2CA2" w:rsidRPr="00904F38">
        <w:rPr>
          <w:b/>
          <w:i/>
        </w:rPr>
        <w:t xml:space="preserve"> </w:t>
      </w:r>
      <w:r w:rsidR="002635E9" w:rsidRPr="002635E9">
        <w:t xml:space="preserve">Costs related to BAT Group's IDT Cyber Security &amp; Compliance technology &amp; services </w:t>
      </w:r>
    </w:p>
    <w:p w14:paraId="57139E55" w14:textId="635C8D12" w:rsidR="00AC2CA2" w:rsidRPr="002635E9" w:rsidRDefault="002635E9" w:rsidP="002635E9">
      <w:pPr>
        <w:pStyle w:val="ListParagraph"/>
        <w:jc w:val="both"/>
        <w:rPr>
          <w:i/>
          <w:iCs/>
        </w:rPr>
      </w:pPr>
      <w:r w:rsidRPr="002635E9">
        <w:rPr>
          <w:i/>
          <w:iCs/>
        </w:rPr>
        <w:t>(Note: No Regional/End Market local IDT costs are expected in this sub-function except for US IDT Centre of Execution (COEs) team, newly incorporated in 2020, the costs are managed centrally)</w:t>
      </w:r>
    </w:p>
    <w:p w14:paraId="26AE14B2" w14:textId="77777777" w:rsidR="00AC2CA2" w:rsidRPr="00C5333B" w:rsidRDefault="00AC2CA2" w:rsidP="00AC2CA2">
      <w:pPr>
        <w:ind w:left="720"/>
        <w:jc w:val="both"/>
        <w:rPr>
          <w:b/>
          <w:i/>
          <w:highlight w:val="lightGray"/>
        </w:rPr>
      </w:pPr>
    </w:p>
    <w:p w14:paraId="25502E5B" w14:textId="77777777" w:rsidR="00AC2CA2" w:rsidRPr="00316421" w:rsidRDefault="00AC2CA2" w:rsidP="00AC2CA2">
      <w:pPr>
        <w:pStyle w:val="ListParagraph"/>
        <w:jc w:val="both"/>
        <w:rPr>
          <w:bCs/>
          <w:i/>
        </w:rPr>
      </w:pPr>
      <w:r w:rsidRPr="00316421">
        <w:rPr>
          <w:bCs/>
          <w:i/>
        </w:rPr>
        <w:lastRenderedPageBreak/>
        <w:t xml:space="preserve">Note: For the secondary (management) view only, Ops IT and Marketing IT overheads will be added to IT functional overheads. P&amp;L view will </w:t>
      </w:r>
      <w:proofErr w:type="gramStart"/>
      <w:r w:rsidRPr="00316421">
        <w:rPr>
          <w:bCs/>
          <w:i/>
        </w:rPr>
        <w:t>captures</w:t>
      </w:r>
      <w:proofErr w:type="gramEnd"/>
      <w:r w:rsidRPr="00316421">
        <w:rPr>
          <w:bCs/>
          <w:i/>
        </w:rPr>
        <w:t xml:space="preserve"> those costs under Production overheads and NBSE respectively.</w:t>
      </w:r>
    </w:p>
    <w:p w14:paraId="100F2C28" w14:textId="77777777" w:rsidR="00AC2CA2" w:rsidRDefault="00AC2CA2" w:rsidP="00AC2CA2">
      <w:pPr>
        <w:pStyle w:val="ListParagraph"/>
        <w:jc w:val="both"/>
        <w:rPr>
          <w:i/>
          <w:iCs/>
        </w:rPr>
      </w:pPr>
    </w:p>
    <w:p w14:paraId="311DBEDE" w14:textId="5442759E" w:rsidR="00AC2CA2" w:rsidRPr="00904F38" w:rsidRDefault="00AC2CA2" w:rsidP="00AC2CA2">
      <w:pPr>
        <w:pStyle w:val="ListParagraph"/>
        <w:numPr>
          <w:ilvl w:val="0"/>
          <w:numId w:val="28"/>
        </w:numPr>
        <w:jc w:val="both"/>
        <w:rPr>
          <w:b/>
          <w:i/>
        </w:rPr>
      </w:pPr>
      <w:r w:rsidRPr="00904F38">
        <w:rPr>
          <w:b/>
          <w:i/>
        </w:rPr>
        <w:t xml:space="preserve">Marketing IT </w:t>
      </w:r>
      <w:r>
        <w:rPr>
          <w:b/>
          <w:i/>
        </w:rPr>
        <w:t xml:space="preserve">– </w:t>
      </w:r>
      <w:r w:rsidRPr="00904F38">
        <w:t>costs for all Marketing I</w:t>
      </w:r>
      <w:r w:rsidR="00A13266">
        <w:t>D</w:t>
      </w:r>
      <w:r w:rsidRPr="00904F38">
        <w:t xml:space="preserve">T projects (global and regional), as well as IT Services </w:t>
      </w:r>
      <w:r>
        <w:t xml:space="preserve">costs </w:t>
      </w:r>
      <w:r w:rsidRPr="00904F38">
        <w:t>related to the marketing applications/projects</w:t>
      </w:r>
      <w:r>
        <w:t xml:space="preserve"> (</w:t>
      </w:r>
      <w:proofErr w:type="spellStart"/>
      <w:r>
        <w:t>eg.</w:t>
      </w:r>
      <w:proofErr w:type="spellEnd"/>
      <w:r>
        <w:t xml:space="preserve"> Petra)</w:t>
      </w:r>
      <w:r w:rsidRPr="00904F38">
        <w:t>.</w:t>
      </w:r>
    </w:p>
    <w:p w14:paraId="5D30174C" w14:textId="77777777" w:rsidR="00AC2CA2" w:rsidRPr="00904F38" w:rsidRDefault="00AC2CA2" w:rsidP="00AC2CA2">
      <w:pPr>
        <w:pStyle w:val="ListParagraph"/>
        <w:jc w:val="both"/>
        <w:rPr>
          <w:b/>
          <w:i/>
        </w:rPr>
      </w:pPr>
    </w:p>
    <w:p w14:paraId="18FAB7D9" w14:textId="40414EBC" w:rsidR="00AC2CA2" w:rsidRPr="00FE2C5E" w:rsidRDefault="00AC2CA2" w:rsidP="00AC2CA2">
      <w:pPr>
        <w:pStyle w:val="ListParagraph"/>
        <w:numPr>
          <w:ilvl w:val="0"/>
          <w:numId w:val="28"/>
        </w:numPr>
        <w:jc w:val="both"/>
        <w:rPr>
          <w:b/>
          <w:i/>
        </w:rPr>
      </w:pPr>
      <w:r>
        <w:rPr>
          <w:b/>
          <w:i/>
        </w:rPr>
        <w:t xml:space="preserve">Operations </w:t>
      </w:r>
      <w:r w:rsidRPr="00904F38">
        <w:rPr>
          <w:b/>
          <w:i/>
        </w:rPr>
        <w:t xml:space="preserve">IT </w:t>
      </w:r>
      <w:r>
        <w:rPr>
          <w:b/>
          <w:i/>
        </w:rPr>
        <w:t xml:space="preserve">– </w:t>
      </w:r>
      <w:r w:rsidRPr="00904F38">
        <w:t xml:space="preserve">costs for all </w:t>
      </w:r>
      <w:r>
        <w:t>Operations</w:t>
      </w:r>
      <w:r w:rsidRPr="00904F38">
        <w:t xml:space="preserve"> I</w:t>
      </w:r>
      <w:r w:rsidR="00A13266">
        <w:t>D</w:t>
      </w:r>
      <w:r w:rsidRPr="00904F38">
        <w:t xml:space="preserve">T projects (global and regional), as well as IT Services </w:t>
      </w:r>
      <w:r>
        <w:t xml:space="preserve">costs </w:t>
      </w:r>
      <w:r w:rsidRPr="00904F38">
        <w:t xml:space="preserve">related to the </w:t>
      </w:r>
      <w:r>
        <w:t xml:space="preserve">Operations </w:t>
      </w:r>
      <w:r w:rsidRPr="00904F38">
        <w:t>applications/projects</w:t>
      </w:r>
      <w:r>
        <w:t xml:space="preserve"> (</w:t>
      </w:r>
      <w:proofErr w:type="spellStart"/>
      <w:r>
        <w:t>eg.</w:t>
      </w:r>
      <w:proofErr w:type="spellEnd"/>
      <w:r>
        <w:t xml:space="preserve"> TPD)</w:t>
      </w:r>
      <w:r w:rsidRPr="00904F38">
        <w:t>.</w:t>
      </w:r>
    </w:p>
    <w:p w14:paraId="68B43F2C" w14:textId="77777777" w:rsidR="00FE2C5E" w:rsidRPr="00FE2C5E" w:rsidRDefault="00FE2C5E" w:rsidP="00FE2C5E">
      <w:pPr>
        <w:pStyle w:val="ListParagraph"/>
        <w:rPr>
          <w:b/>
          <w:i/>
        </w:rPr>
      </w:pPr>
    </w:p>
    <w:p w14:paraId="247647FB" w14:textId="12312257" w:rsidR="00FE2C5E" w:rsidRPr="00316421" w:rsidRDefault="00FE2C5E" w:rsidP="00FE2C5E">
      <w:pPr>
        <w:jc w:val="both"/>
        <w:rPr>
          <w:bCs/>
          <w:i/>
        </w:rPr>
      </w:pPr>
      <w:r w:rsidRPr="00316421">
        <w:rPr>
          <w:bCs/>
          <w:i/>
        </w:rPr>
        <w:t>Additional Corporate IDT subfunctions have been added to LEX, Finance, HR, GBS and GR&amp;D</w:t>
      </w:r>
    </w:p>
    <w:p w14:paraId="656BAF42" w14:textId="77777777" w:rsidR="00AC2CA2" w:rsidRPr="00904F38" w:rsidRDefault="00AC2CA2" w:rsidP="00AC2CA2">
      <w:pPr>
        <w:pStyle w:val="ListParagraph"/>
        <w:rPr>
          <w:b/>
          <w:i/>
        </w:rPr>
      </w:pPr>
    </w:p>
    <w:p w14:paraId="3594EABA" w14:textId="77777777" w:rsidR="00FE2C5E" w:rsidRDefault="00FE2C5E" w:rsidP="00657712">
      <w:pPr>
        <w:jc w:val="both"/>
        <w:rPr>
          <w:b/>
        </w:rPr>
      </w:pPr>
    </w:p>
    <w:p w14:paraId="6F2F765A" w14:textId="01FF2E03" w:rsidR="0039599A" w:rsidRPr="0081660E" w:rsidRDefault="00C343B1" w:rsidP="0081660E">
      <w:pPr>
        <w:pStyle w:val="Heading2"/>
        <w:rPr>
          <w:b/>
          <w:u w:val="single"/>
        </w:rPr>
      </w:pPr>
      <w:bookmarkStart w:id="7" w:name="_Toc82496903"/>
      <w:r w:rsidRPr="0081660E">
        <w:rPr>
          <w:b/>
          <w:u w:val="single"/>
        </w:rPr>
        <w:t>EXECUTIVE &amp; CORPORATE SERVICES</w:t>
      </w:r>
      <w:bookmarkEnd w:id="7"/>
    </w:p>
    <w:p w14:paraId="0ADC52CF" w14:textId="77777777" w:rsidR="0039599A" w:rsidRPr="007A4313" w:rsidRDefault="0039599A" w:rsidP="00657712">
      <w:pPr>
        <w:jc w:val="both"/>
      </w:pPr>
    </w:p>
    <w:p w14:paraId="41618945" w14:textId="77777777" w:rsidR="0039599A" w:rsidRPr="007A4313" w:rsidRDefault="007A1D34" w:rsidP="00657712">
      <w:pPr>
        <w:numPr>
          <w:ilvl w:val="0"/>
          <w:numId w:val="4"/>
        </w:numPr>
        <w:jc w:val="both"/>
      </w:pPr>
      <w:r w:rsidRPr="00B23FDE">
        <w:rPr>
          <w:b/>
          <w:i/>
        </w:rPr>
        <w:t>General Management</w:t>
      </w:r>
      <w:r w:rsidR="003F6013">
        <w:rPr>
          <w:i/>
        </w:rPr>
        <w:t xml:space="preserve"> </w:t>
      </w:r>
      <w:r w:rsidR="0039599A" w:rsidRPr="007A4313">
        <w:t xml:space="preserve">– costs of </w:t>
      </w:r>
      <w:r w:rsidRPr="007A4313">
        <w:t>Top regional teams, directors and general managers that are not already covered by the Function management cost centre.</w:t>
      </w:r>
    </w:p>
    <w:p w14:paraId="55DBED23" w14:textId="77777777" w:rsidR="00177685" w:rsidRPr="00C83524" w:rsidRDefault="00177685" w:rsidP="00657712">
      <w:pPr>
        <w:jc w:val="both"/>
        <w:rPr>
          <w:color w:val="0000FF"/>
        </w:rPr>
      </w:pPr>
    </w:p>
    <w:p w14:paraId="71254615" w14:textId="1DB80C10" w:rsidR="009B3101" w:rsidRDefault="009B3101" w:rsidP="00657712">
      <w:pPr>
        <w:numPr>
          <w:ilvl w:val="0"/>
          <w:numId w:val="4"/>
        </w:numPr>
        <w:jc w:val="both"/>
      </w:pPr>
      <w:r w:rsidRPr="00B23FDE">
        <w:rPr>
          <w:b/>
          <w:i/>
        </w:rPr>
        <w:t>Indirect Procurement</w:t>
      </w:r>
      <w:r>
        <w:rPr>
          <w:i/>
        </w:rPr>
        <w:t xml:space="preserve"> </w:t>
      </w:r>
      <w:r w:rsidR="00065BD8">
        <w:t>–</w:t>
      </w:r>
      <w:r w:rsidR="00065BD8" w:rsidRPr="00065BD8">
        <w:t xml:space="preserve"> </w:t>
      </w:r>
      <w:r w:rsidR="00065BD8">
        <w:t xml:space="preserve">overheads of </w:t>
      </w:r>
      <w:r w:rsidR="00065BD8" w:rsidRPr="00065BD8">
        <w:t>the Indirect Procurement department</w:t>
      </w:r>
      <w:r w:rsidR="00065BD8">
        <w:t>.</w:t>
      </w:r>
    </w:p>
    <w:p w14:paraId="596AB540" w14:textId="77777777" w:rsidR="00FE2C5E" w:rsidRDefault="00FE2C5E" w:rsidP="00FE2C5E">
      <w:pPr>
        <w:pStyle w:val="ListParagraph"/>
      </w:pPr>
    </w:p>
    <w:p w14:paraId="4BB52335" w14:textId="67F8BFC0" w:rsidR="00FE2C5E" w:rsidRDefault="00FE2C5E" w:rsidP="00FE2C5E">
      <w:pPr>
        <w:ind w:left="720"/>
        <w:jc w:val="both"/>
      </w:pPr>
      <w:r w:rsidRPr="00FE2C5E">
        <w:rPr>
          <w:b/>
          <w:i/>
        </w:rPr>
        <w:t xml:space="preserve">UK Head Office </w:t>
      </w:r>
      <w:r>
        <w:t>–</w:t>
      </w:r>
      <w:r w:rsidRPr="00065BD8">
        <w:t xml:space="preserve"> </w:t>
      </w:r>
      <w:r>
        <w:t xml:space="preserve">overheads of </w:t>
      </w:r>
      <w:r w:rsidRPr="00065BD8">
        <w:t xml:space="preserve">the </w:t>
      </w:r>
      <w:r>
        <w:t>UK Head Office</w:t>
      </w:r>
    </w:p>
    <w:p w14:paraId="104D8E71" w14:textId="7F14957F" w:rsidR="00FE2C5E" w:rsidRPr="002635E9" w:rsidRDefault="00FE2C5E" w:rsidP="00FE2C5E">
      <w:pPr>
        <w:ind w:left="720"/>
        <w:jc w:val="both"/>
        <w:rPr>
          <w:i/>
        </w:rPr>
      </w:pPr>
      <w:r>
        <w:t xml:space="preserve"> </w:t>
      </w:r>
      <w:r w:rsidRPr="000A0D86">
        <w:t>(</w:t>
      </w:r>
      <w:r w:rsidRPr="002635E9">
        <w:rPr>
          <w:i/>
        </w:rPr>
        <w:t>Note:</w:t>
      </w:r>
      <w:r w:rsidRPr="000A0D86">
        <w:t xml:space="preserve"> </w:t>
      </w:r>
      <w:r w:rsidRPr="002635E9">
        <w:rPr>
          <w:i/>
        </w:rPr>
        <w:t>No regional/end market local costs are expected in this sub-function).</w:t>
      </w:r>
    </w:p>
    <w:p w14:paraId="38B3810E" w14:textId="0A5E2F64" w:rsidR="00FE2C5E" w:rsidRDefault="00FE2C5E" w:rsidP="00FE2C5E">
      <w:pPr>
        <w:ind w:left="720"/>
        <w:jc w:val="both"/>
      </w:pPr>
    </w:p>
    <w:p w14:paraId="2255FAEF" w14:textId="2B115080" w:rsidR="000441BF" w:rsidRPr="00233333" w:rsidRDefault="0056564F" w:rsidP="007F1288">
      <w:pPr>
        <w:pStyle w:val="Heading1"/>
      </w:pPr>
      <w:bookmarkStart w:id="8" w:name="_Toc82496904"/>
      <w:r w:rsidRPr="0081660E">
        <w:t>STRATEGY &amp; PLANNING</w:t>
      </w:r>
      <w:bookmarkEnd w:id="8"/>
    </w:p>
    <w:p w14:paraId="578868BB" w14:textId="77777777" w:rsidR="000441BF" w:rsidRPr="00233333" w:rsidRDefault="000441BF" w:rsidP="00657712">
      <w:pPr>
        <w:jc w:val="both"/>
      </w:pPr>
    </w:p>
    <w:p w14:paraId="2726B9D5" w14:textId="77777777" w:rsidR="000441BF" w:rsidRPr="00233333" w:rsidRDefault="000441BF" w:rsidP="00657712">
      <w:pPr>
        <w:numPr>
          <w:ilvl w:val="0"/>
          <w:numId w:val="4"/>
        </w:numPr>
        <w:jc w:val="both"/>
      </w:pPr>
      <w:r w:rsidRPr="00B23FDE">
        <w:rPr>
          <w:b/>
          <w:i/>
        </w:rPr>
        <w:t>Strategy &amp; Planning</w:t>
      </w:r>
      <w:r w:rsidRPr="00233333">
        <w:rPr>
          <w:i/>
        </w:rPr>
        <w:t xml:space="preserve"> – </w:t>
      </w:r>
      <w:r w:rsidRPr="00233333">
        <w:t>expenses of strategy and planning department.</w:t>
      </w:r>
    </w:p>
    <w:p w14:paraId="13B3E970" w14:textId="77777777" w:rsidR="000441BF" w:rsidRPr="00233333" w:rsidRDefault="000441BF" w:rsidP="00657712">
      <w:pPr>
        <w:ind w:left="360"/>
        <w:jc w:val="both"/>
        <w:rPr>
          <w:b/>
        </w:rPr>
      </w:pPr>
    </w:p>
    <w:p w14:paraId="780F24FB" w14:textId="77777777" w:rsidR="000441BF" w:rsidRPr="00233333" w:rsidRDefault="000441BF" w:rsidP="00657712">
      <w:pPr>
        <w:numPr>
          <w:ilvl w:val="0"/>
          <w:numId w:val="4"/>
        </w:numPr>
        <w:jc w:val="both"/>
      </w:pPr>
      <w:r w:rsidRPr="00B23FDE">
        <w:rPr>
          <w:b/>
          <w:i/>
        </w:rPr>
        <w:t>Programme management office</w:t>
      </w:r>
      <w:r w:rsidRPr="00233333">
        <w:rPr>
          <w:i/>
        </w:rPr>
        <w:t xml:space="preserve"> – </w:t>
      </w:r>
      <w:r w:rsidRPr="00233333">
        <w:t xml:space="preserve">expenses of </w:t>
      </w:r>
      <w:r w:rsidR="00657712" w:rsidRPr="00233333">
        <w:t>the Programme management office</w:t>
      </w:r>
      <w:r w:rsidRPr="00233333">
        <w:t xml:space="preserve"> department.</w:t>
      </w:r>
    </w:p>
    <w:p w14:paraId="780AB355" w14:textId="77777777" w:rsidR="003B33F4" w:rsidRDefault="003B33F4" w:rsidP="003B33F4">
      <w:pPr>
        <w:pStyle w:val="ListParagraph"/>
        <w:jc w:val="both"/>
        <w:rPr>
          <w:color w:val="0000FF"/>
        </w:rPr>
      </w:pPr>
    </w:p>
    <w:p w14:paraId="4D8EB159" w14:textId="11D3F5DD" w:rsidR="0056564F" w:rsidRDefault="0056564F" w:rsidP="007F1288">
      <w:pPr>
        <w:pStyle w:val="Heading1"/>
      </w:pPr>
      <w:bookmarkStart w:id="9" w:name="_Toc82496905"/>
      <w:r w:rsidRPr="0081660E">
        <w:t>FACILITIES</w:t>
      </w:r>
      <w:bookmarkEnd w:id="9"/>
      <w:r>
        <w:t xml:space="preserve"> </w:t>
      </w:r>
    </w:p>
    <w:p w14:paraId="76368BB4" w14:textId="77777777" w:rsidR="0056564F" w:rsidRDefault="0056564F" w:rsidP="0056564F">
      <w:pPr>
        <w:jc w:val="both"/>
        <w:rPr>
          <w:b/>
        </w:rPr>
      </w:pPr>
    </w:p>
    <w:p w14:paraId="259A7992" w14:textId="77777777" w:rsidR="0056564F" w:rsidRPr="009E7157" w:rsidRDefault="0056564F" w:rsidP="0056564F">
      <w:pPr>
        <w:numPr>
          <w:ilvl w:val="0"/>
          <w:numId w:val="4"/>
        </w:numPr>
        <w:jc w:val="both"/>
      </w:pPr>
      <w:r w:rsidRPr="00B23FDE">
        <w:rPr>
          <w:b/>
          <w:i/>
        </w:rPr>
        <w:t xml:space="preserve">Facilities </w:t>
      </w:r>
      <w:r w:rsidRPr="009E7157">
        <w:t xml:space="preserve">- includes </w:t>
      </w:r>
      <w:r>
        <w:t xml:space="preserve">office rental, </w:t>
      </w:r>
      <w:r w:rsidRPr="009E7157">
        <w:t>catering, cleaning, chauffeur, meeting room services, medical suite, reception, etc. costs.</w:t>
      </w:r>
    </w:p>
    <w:p w14:paraId="32368F36" w14:textId="77777777" w:rsidR="000441BF" w:rsidRPr="00233333" w:rsidRDefault="000441BF" w:rsidP="00DF506B">
      <w:pPr>
        <w:jc w:val="both"/>
      </w:pPr>
    </w:p>
    <w:p w14:paraId="7220D4CB" w14:textId="77777777" w:rsidR="002243DA" w:rsidRPr="0081660E" w:rsidRDefault="002243DA" w:rsidP="007F1288">
      <w:pPr>
        <w:pStyle w:val="Heading1"/>
      </w:pPr>
      <w:bookmarkStart w:id="10" w:name="_Toc82496906"/>
      <w:r w:rsidRPr="0081660E">
        <w:t>G</w:t>
      </w:r>
      <w:r w:rsidR="00C83524" w:rsidRPr="0081660E">
        <w:t>ROUP</w:t>
      </w:r>
      <w:r w:rsidRPr="0081660E">
        <w:t xml:space="preserve"> RESEARCH &amp; DEVELOPMENT</w:t>
      </w:r>
      <w:bookmarkEnd w:id="10"/>
    </w:p>
    <w:p w14:paraId="70906934" w14:textId="77777777" w:rsidR="002243DA" w:rsidRPr="00233333" w:rsidRDefault="002243DA" w:rsidP="00657712">
      <w:pPr>
        <w:jc w:val="both"/>
      </w:pPr>
    </w:p>
    <w:p w14:paraId="6F20DAA9" w14:textId="77777777" w:rsidR="005671FB" w:rsidRDefault="00C83524" w:rsidP="00DF506B">
      <w:pPr>
        <w:numPr>
          <w:ilvl w:val="0"/>
          <w:numId w:val="4"/>
        </w:numPr>
      </w:pPr>
      <w:r w:rsidRPr="00B23FDE">
        <w:rPr>
          <w:b/>
          <w:i/>
        </w:rPr>
        <w:t>Group Research &amp; Development</w:t>
      </w:r>
      <w:r w:rsidR="0026286E" w:rsidRPr="00DB0317">
        <w:rPr>
          <w:i/>
        </w:rPr>
        <w:t xml:space="preserve"> </w:t>
      </w:r>
      <w:r w:rsidR="00F8609B" w:rsidRPr="00DB0317">
        <w:rPr>
          <w:i/>
        </w:rPr>
        <w:t>–</w:t>
      </w:r>
      <w:r w:rsidR="00F50AA6" w:rsidRPr="00DB0317">
        <w:rPr>
          <w:i/>
        </w:rPr>
        <w:t xml:space="preserve"> </w:t>
      </w:r>
      <w:r w:rsidR="00F8609B" w:rsidRPr="00233333">
        <w:t xml:space="preserve">The costs captured under this cost centre should comprise the costs of Group R&amp;D function located in Southampton, UK. </w:t>
      </w:r>
    </w:p>
    <w:p w14:paraId="5A717F74" w14:textId="77777777" w:rsidR="005671FB" w:rsidRPr="005671FB" w:rsidRDefault="005671FB" w:rsidP="005671FB">
      <w:pPr>
        <w:ind w:left="720"/>
        <w:jc w:val="both"/>
      </w:pPr>
    </w:p>
    <w:p w14:paraId="00345BD8" w14:textId="0943F7C6" w:rsidR="005671FB" w:rsidRDefault="00DB0317" w:rsidP="0081660E">
      <w:pPr>
        <w:numPr>
          <w:ilvl w:val="0"/>
          <w:numId w:val="4"/>
        </w:numPr>
        <w:jc w:val="both"/>
      </w:pPr>
      <w:r w:rsidRPr="00CB4579">
        <w:rPr>
          <w:b/>
          <w:i/>
        </w:rPr>
        <w:t xml:space="preserve">Global R&amp;D - Function </w:t>
      </w:r>
      <w:proofErr w:type="gramStart"/>
      <w:r w:rsidRPr="00CB4579">
        <w:rPr>
          <w:b/>
          <w:i/>
        </w:rPr>
        <w:t>Management</w:t>
      </w:r>
      <w:r w:rsidRPr="00CB4579">
        <w:rPr>
          <w:b/>
        </w:rPr>
        <w:t xml:space="preserve">  -</w:t>
      </w:r>
      <w:proofErr w:type="gramEnd"/>
      <w:r w:rsidRPr="00CB4579">
        <w:rPr>
          <w:b/>
        </w:rPr>
        <w:t xml:space="preserve"> </w:t>
      </w:r>
      <w:r w:rsidR="00CB4579" w:rsidRPr="00CB4579">
        <w:t>The costs captured under this category are costs related to Senior Management roles and their associated admin support which are not attributable to a specific sub-function as well as geographical hubs with functional R&amp;D cost centres</w:t>
      </w:r>
    </w:p>
    <w:p w14:paraId="73B418D9" w14:textId="3DD7BA4F" w:rsidR="00DB0317" w:rsidRPr="00DF506B" w:rsidRDefault="00DB0317" w:rsidP="00DF506B">
      <w:pPr>
        <w:numPr>
          <w:ilvl w:val="0"/>
          <w:numId w:val="4"/>
        </w:numPr>
        <w:rPr>
          <w:b/>
        </w:rPr>
      </w:pPr>
      <w:r w:rsidRPr="00DF506B">
        <w:rPr>
          <w:b/>
          <w:i/>
        </w:rPr>
        <w:lastRenderedPageBreak/>
        <w:t xml:space="preserve">Global R&amp;D - </w:t>
      </w:r>
      <w:r w:rsidR="00CB4579" w:rsidRPr="00CB4579">
        <w:rPr>
          <w:b/>
          <w:i/>
        </w:rPr>
        <w:t xml:space="preserve">New Sciences </w:t>
      </w:r>
      <w:r w:rsidR="00CB4579" w:rsidRPr="00CB4579">
        <w:t>Is for Analytical Development Centre, R&amp;D Cambridge, New Platforms and Insights for R&amp;D</w:t>
      </w:r>
    </w:p>
    <w:p w14:paraId="736E7713" w14:textId="77777777" w:rsidR="00DF506B" w:rsidRPr="005671FB" w:rsidRDefault="00DF506B" w:rsidP="00DF506B">
      <w:pPr>
        <w:jc w:val="both"/>
      </w:pPr>
    </w:p>
    <w:p w14:paraId="6FDB0198" w14:textId="77777777" w:rsidR="00DB0317" w:rsidRPr="00DF506B" w:rsidRDefault="00DB0317" w:rsidP="00DF506B">
      <w:pPr>
        <w:numPr>
          <w:ilvl w:val="0"/>
          <w:numId w:val="4"/>
        </w:numPr>
        <w:rPr>
          <w:b/>
        </w:rPr>
      </w:pPr>
      <w:r w:rsidRPr="00DF506B">
        <w:rPr>
          <w:b/>
          <w:i/>
        </w:rPr>
        <w:t xml:space="preserve">Global R&amp;D – </w:t>
      </w:r>
      <w:proofErr w:type="gramStart"/>
      <w:r w:rsidRPr="00DF506B">
        <w:rPr>
          <w:b/>
          <w:i/>
        </w:rPr>
        <w:t>HR</w:t>
      </w:r>
      <w:r w:rsidRPr="005671FB">
        <w:rPr>
          <w:b/>
        </w:rPr>
        <w:t xml:space="preserve"> </w:t>
      </w:r>
      <w:r w:rsidRPr="00DF506B">
        <w:t xml:space="preserve"> </w:t>
      </w:r>
      <w:r w:rsidRPr="005671FB">
        <w:t>covers</w:t>
      </w:r>
      <w:proofErr w:type="gramEnd"/>
      <w:r w:rsidRPr="005671FB">
        <w:t xml:space="preserve"> HR Business Partners serving the R&amp;D Function</w:t>
      </w:r>
    </w:p>
    <w:p w14:paraId="3FD9216D" w14:textId="77777777" w:rsidR="00DF506B" w:rsidRPr="005671FB" w:rsidRDefault="00DF506B" w:rsidP="00DF506B">
      <w:pPr>
        <w:jc w:val="both"/>
        <w:rPr>
          <w:b/>
        </w:rPr>
      </w:pPr>
    </w:p>
    <w:p w14:paraId="07E41A28" w14:textId="77777777" w:rsidR="00DB0317" w:rsidRDefault="00DB0317" w:rsidP="00DF506B">
      <w:pPr>
        <w:numPr>
          <w:ilvl w:val="0"/>
          <w:numId w:val="4"/>
        </w:numPr>
      </w:pPr>
      <w:r w:rsidRPr="00DF506B">
        <w:rPr>
          <w:b/>
          <w:i/>
        </w:rPr>
        <w:t>Global R&amp;D – Finance</w:t>
      </w:r>
      <w:r w:rsidRPr="005671FB">
        <w:rPr>
          <w:b/>
        </w:rPr>
        <w:t xml:space="preserve"> </w:t>
      </w:r>
      <w:r w:rsidRPr="005671FB">
        <w:t>is for the costs related to Finance Business Partners serving the R&amp;D function</w:t>
      </w:r>
    </w:p>
    <w:p w14:paraId="54CC35EA" w14:textId="77777777" w:rsidR="00DF506B" w:rsidRPr="005671FB" w:rsidRDefault="00DF506B" w:rsidP="00DF506B">
      <w:pPr>
        <w:jc w:val="both"/>
      </w:pPr>
    </w:p>
    <w:p w14:paraId="393D337E" w14:textId="6E74B566" w:rsidR="00DB0317" w:rsidRDefault="00DB0317" w:rsidP="00DF506B">
      <w:pPr>
        <w:numPr>
          <w:ilvl w:val="0"/>
          <w:numId w:val="4"/>
        </w:numPr>
      </w:pPr>
      <w:r w:rsidRPr="00DF506B">
        <w:rPr>
          <w:b/>
          <w:i/>
        </w:rPr>
        <w:t xml:space="preserve">Global R&amp;D – </w:t>
      </w:r>
      <w:proofErr w:type="gramStart"/>
      <w:r w:rsidRPr="00DF506B">
        <w:rPr>
          <w:b/>
          <w:i/>
        </w:rPr>
        <w:t>I</w:t>
      </w:r>
      <w:r w:rsidR="00CB4579">
        <w:rPr>
          <w:b/>
          <w:i/>
        </w:rPr>
        <w:t>D</w:t>
      </w:r>
      <w:r w:rsidRPr="00DF506B">
        <w:rPr>
          <w:b/>
          <w:i/>
        </w:rPr>
        <w:t>T</w:t>
      </w:r>
      <w:r w:rsidRPr="005671FB">
        <w:rPr>
          <w:b/>
        </w:rPr>
        <w:t xml:space="preserve">  </w:t>
      </w:r>
      <w:r w:rsidRPr="00DF506B">
        <w:t>includes</w:t>
      </w:r>
      <w:proofErr w:type="gramEnd"/>
      <w:r w:rsidRPr="00DF506B">
        <w:t xml:space="preserve"> </w:t>
      </w:r>
      <w:r w:rsidRPr="005671FB">
        <w:t>Demand, Delivery, Service and Compliance of Scientific Computing for R&amp;D</w:t>
      </w:r>
    </w:p>
    <w:p w14:paraId="13964D40" w14:textId="77777777" w:rsidR="00CB4579" w:rsidRDefault="00CB4579" w:rsidP="00CB4579">
      <w:pPr>
        <w:pStyle w:val="ListParagraph"/>
      </w:pPr>
    </w:p>
    <w:p w14:paraId="0E5FFDBF" w14:textId="30F9C95B" w:rsidR="00CB4579" w:rsidRDefault="00CB4579" w:rsidP="0081660E">
      <w:pPr>
        <w:numPr>
          <w:ilvl w:val="0"/>
          <w:numId w:val="4"/>
        </w:numPr>
      </w:pPr>
      <w:r w:rsidRPr="00CB4579">
        <w:rPr>
          <w:b/>
          <w:i/>
        </w:rPr>
        <w:t>Global R&amp;D – New Category R&amp;D</w:t>
      </w:r>
      <w:r>
        <w:rPr>
          <w:b/>
          <w:i/>
        </w:rPr>
        <w:t xml:space="preserve"> </w:t>
      </w:r>
      <w:r w:rsidR="00235E1E">
        <w:rPr>
          <w:b/>
          <w:i/>
        </w:rPr>
        <w:t xml:space="preserve">- </w:t>
      </w:r>
      <w:r w:rsidR="00905D13" w:rsidRPr="00905D13">
        <w:t>The costs captured in these cost centres comprise all New Categories R&amp;D activity relating to Global Discover and Develop as well as Design for Manufacturing.</w:t>
      </w:r>
    </w:p>
    <w:p w14:paraId="4169347A" w14:textId="77777777" w:rsidR="00CB4579" w:rsidRDefault="00CB4579" w:rsidP="00CB4579">
      <w:pPr>
        <w:pStyle w:val="ListParagraph"/>
      </w:pPr>
    </w:p>
    <w:p w14:paraId="1E5F19B0" w14:textId="793DBA3A" w:rsidR="00CB4579" w:rsidRDefault="00CB4579" w:rsidP="00CB4579">
      <w:pPr>
        <w:numPr>
          <w:ilvl w:val="0"/>
          <w:numId w:val="4"/>
        </w:numPr>
      </w:pPr>
      <w:r w:rsidRPr="00CB4579">
        <w:rPr>
          <w:b/>
          <w:i/>
        </w:rPr>
        <w:t>Global R&amp;D – Scientific Research Capabilities</w:t>
      </w:r>
      <w:r w:rsidRPr="00CB4579">
        <w:rPr>
          <w:b/>
        </w:rPr>
        <w:t xml:space="preserve"> </w:t>
      </w:r>
      <w:r w:rsidR="00235E1E">
        <w:rPr>
          <w:b/>
        </w:rPr>
        <w:t>-</w:t>
      </w:r>
      <w:r w:rsidRPr="00CB4579">
        <w:rPr>
          <w:b/>
        </w:rPr>
        <w:t xml:space="preserve"> </w:t>
      </w:r>
      <w:r w:rsidRPr="00CB4579">
        <w:t>The costs captured under this cost centre should comprise the costs of Group R&amp;D function located in geographical hubs with functional TSS Scientific Research R&amp;D cost centres</w:t>
      </w:r>
    </w:p>
    <w:p w14:paraId="7BED284F" w14:textId="77777777" w:rsidR="00DB0317" w:rsidRPr="00B23FDE" w:rsidRDefault="00DB0317" w:rsidP="00BA2889">
      <w:pPr>
        <w:jc w:val="both"/>
        <w:rPr>
          <w:i/>
          <w:color w:val="07101B"/>
        </w:rPr>
      </w:pPr>
    </w:p>
    <w:p w14:paraId="54306019" w14:textId="77777777" w:rsidR="00DB0317" w:rsidRDefault="00DB0317" w:rsidP="00B23FDE">
      <w:pPr>
        <w:ind w:left="720"/>
        <w:jc w:val="both"/>
      </w:pPr>
      <w:r w:rsidRPr="00233333">
        <w:t xml:space="preserve">R&amp;D costs incurred regionally in order to be captured here should be approved and agreed with GR&amp;D function. </w:t>
      </w:r>
    </w:p>
    <w:p w14:paraId="5EE39398" w14:textId="77777777" w:rsidR="009A00F0" w:rsidRDefault="009A00F0" w:rsidP="009A00F0">
      <w:pPr>
        <w:jc w:val="both"/>
      </w:pPr>
    </w:p>
    <w:p w14:paraId="5BA2195D" w14:textId="77777777" w:rsidR="009A00F0" w:rsidRDefault="009A00F0" w:rsidP="009A00F0">
      <w:pPr>
        <w:ind w:left="709" w:hanging="709"/>
        <w:jc w:val="both"/>
      </w:pPr>
      <w:r>
        <w:tab/>
        <w:t>Product sub-function’s costs captured within Production overheads from primary view are allocated to GR&amp;D total costs from the secondary view.</w:t>
      </w:r>
    </w:p>
    <w:p w14:paraId="74B3FB3E" w14:textId="77777777" w:rsidR="009A00F0" w:rsidRDefault="009A00F0" w:rsidP="009A00F0">
      <w:pPr>
        <w:jc w:val="both"/>
      </w:pPr>
      <w:r>
        <w:t xml:space="preserve"> </w:t>
      </w:r>
    </w:p>
    <w:p w14:paraId="37BA8065" w14:textId="77777777" w:rsidR="00DB0317" w:rsidRPr="00DB0317" w:rsidRDefault="00DB0317" w:rsidP="00B23FDE">
      <w:pPr>
        <w:ind w:left="720"/>
        <w:jc w:val="both"/>
        <w:rPr>
          <w:i/>
        </w:rPr>
      </w:pPr>
    </w:p>
    <w:p w14:paraId="08DC7ABC" w14:textId="77777777" w:rsidR="00B94B94" w:rsidRPr="0081660E" w:rsidRDefault="00AC2CA2" w:rsidP="007F1288">
      <w:pPr>
        <w:pStyle w:val="Heading1"/>
      </w:pPr>
      <w:bookmarkStart w:id="11" w:name="_Toc82496907"/>
      <w:r w:rsidRPr="0081660E">
        <w:t>GLOBAL BUSINESS SERVICES</w:t>
      </w:r>
      <w:bookmarkEnd w:id="11"/>
    </w:p>
    <w:p w14:paraId="0D5D422F" w14:textId="77777777" w:rsidR="00B94B94" w:rsidRPr="009632A9" w:rsidRDefault="00B94B94" w:rsidP="00657712">
      <w:pPr>
        <w:jc w:val="both"/>
      </w:pPr>
    </w:p>
    <w:p w14:paraId="4DC0CE47" w14:textId="77777777" w:rsidR="003F6013" w:rsidRPr="009632A9" w:rsidRDefault="00AC2CA2" w:rsidP="00657712">
      <w:pPr>
        <w:numPr>
          <w:ilvl w:val="0"/>
          <w:numId w:val="4"/>
        </w:numPr>
        <w:jc w:val="both"/>
        <w:rPr>
          <w:strike/>
        </w:rPr>
      </w:pPr>
      <w:r w:rsidRPr="009632A9">
        <w:rPr>
          <w:b/>
          <w:i/>
        </w:rPr>
        <w:t>Global Business Services</w:t>
      </w:r>
      <w:r w:rsidR="00B94B94" w:rsidRPr="009632A9">
        <w:rPr>
          <w:i/>
        </w:rPr>
        <w:t xml:space="preserve"> – </w:t>
      </w:r>
      <w:r w:rsidR="00B94B94" w:rsidRPr="009632A9">
        <w:t>this cost centre</w:t>
      </w:r>
      <w:r w:rsidR="00350454" w:rsidRPr="009632A9">
        <w:t>s group</w:t>
      </w:r>
      <w:r w:rsidR="00B94B94" w:rsidRPr="009632A9">
        <w:t xml:space="preserve"> has been created following the creation of </w:t>
      </w:r>
      <w:r w:rsidRPr="009632A9">
        <w:t>Global B</w:t>
      </w:r>
      <w:r w:rsidR="00B94B94" w:rsidRPr="009632A9">
        <w:t>usiness</w:t>
      </w:r>
      <w:r w:rsidRPr="009632A9">
        <w:t xml:space="preserve"> Services as a separate function</w:t>
      </w:r>
      <w:r w:rsidR="00B94B94" w:rsidRPr="009632A9">
        <w:t xml:space="preserve">. </w:t>
      </w:r>
    </w:p>
    <w:p w14:paraId="78B66563" w14:textId="77777777" w:rsidR="008473DE" w:rsidRPr="009632A9" w:rsidRDefault="00B94B94" w:rsidP="00B23FDE">
      <w:pPr>
        <w:ind w:left="720"/>
        <w:jc w:val="both"/>
      </w:pPr>
      <w:r w:rsidRPr="009632A9">
        <w:t xml:space="preserve">It should comprise the </w:t>
      </w:r>
      <w:r w:rsidR="00DB0317" w:rsidRPr="009632A9">
        <w:t xml:space="preserve">admin overheads </w:t>
      </w:r>
      <w:r w:rsidRPr="009632A9">
        <w:t xml:space="preserve">of the </w:t>
      </w:r>
      <w:r w:rsidR="00AC2CA2" w:rsidRPr="009632A9">
        <w:t>Shared Services</w:t>
      </w:r>
      <w:r w:rsidRPr="009632A9">
        <w:t xml:space="preserve"> operations </w:t>
      </w:r>
      <w:r w:rsidR="003F6013" w:rsidRPr="009632A9">
        <w:t xml:space="preserve">for </w:t>
      </w:r>
      <w:r w:rsidR="00DB0317" w:rsidRPr="009632A9">
        <w:t xml:space="preserve">BAT </w:t>
      </w:r>
      <w:r w:rsidR="003F6013" w:rsidRPr="009632A9">
        <w:t>G</w:t>
      </w:r>
      <w:r w:rsidR="00DB0317" w:rsidRPr="009632A9">
        <w:t xml:space="preserve">roup. </w:t>
      </w:r>
    </w:p>
    <w:p w14:paraId="085C80E0" w14:textId="77777777" w:rsidR="00AC2CA2" w:rsidRPr="009632A9" w:rsidRDefault="00AC2CA2" w:rsidP="00B23FDE">
      <w:pPr>
        <w:ind w:left="720"/>
        <w:jc w:val="both"/>
      </w:pPr>
      <w:r w:rsidRPr="009632A9">
        <w:t>Markets are not expected to be impacted by this change</w:t>
      </w:r>
      <w:r w:rsidR="005E60CC" w:rsidRPr="009632A9">
        <w:t>s</w:t>
      </w:r>
      <w:r w:rsidRPr="009632A9">
        <w:t>, change is relevant only to GBS centres.</w:t>
      </w:r>
    </w:p>
    <w:p w14:paraId="5FC8D93B" w14:textId="77777777" w:rsidR="00587E16" w:rsidRPr="009632A9" w:rsidRDefault="00587E16" w:rsidP="00B23FDE">
      <w:pPr>
        <w:ind w:left="720"/>
        <w:jc w:val="both"/>
      </w:pPr>
    </w:p>
    <w:p w14:paraId="37428DB1" w14:textId="77777777" w:rsidR="009574F8" w:rsidRPr="009632A9" w:rsidRDefault="00AC2CA2" w:rsidP="009574F8">
      <w:pPr>
        <w:pStyle w:val="ListParagraph"/>
        <w:numPr>
          <w:ilvl w:val="0"/>
          <w:numId w:val="29"/>
        </w:numPr>
        <w:jc w:val="both"/>
        <w:rPr>
          <w:b/>
          <w:sz w:val="22"/>
        </w:rPr>
      </w:pPr>
      <w:r w:rsidRPr="009632A9">
        <w:rPr>
          <w:b/>
        </w:rPr>
        <w:t xml:space="preserve">Global Business Services - Function Management </w:t>
      </w:r>
      <w:r w:rsidR="00991EA0" w:rsidRPr="009632A9">
        <w:t>-</w:t>
      </w:r>
      <w:r w:rsidR="009574F8" w:rsidRPr="009632A9">
        <w:rPr>
          <w:b/>
        </w:rPr>
        <w:t xml:space="preserve"> </w:t>
      </w:r>
      <w:r w:rsidR="00991EA0" w:rsidRPr="009632A9">
        <w:t>c</w:t>
      </w:r>
      <w:r w:rsidR="009574F8" w:rsidRPr="009632A9">
        <w:rPr>
          <w:sz w:val="22"/>
        </w:rPr>
        <w:t>osts of General Management, functional strategy and costs of Management trainees.</w:t>
      </w:r>
    </w:p>
    <w:p w14:paraId="0F42904D" w14:textId="77777777" w:rsidR="00991EA0" w:rsidRPr="009632A9" w:rsidRDefault="00AC2CA2" w:rsidP="00991EA0">
      <w:pPr>
        <w:pStyle w:val="ListParagraph"/>
        <w:numPr>
          <w:ilvl w:val="0"/>
          <w:numId w:val="29"/>
        </w:numPr>
        <w:jc w:val="both"/>
        <w:rPr>
          <w:b/>
          <w:sz w:val="22"/>
        </w:rPr>
      </w:pPr>
      <w:r w:rsidRPr="009632A9">
        <w:rPr>
          <w:b/>
        </w:rPr>
        <w:t xml:space="preserve">Global Business Services - Business Optimization Centre </w:t>
      </w:r>
      <w:r w:rsidR="00991EA0" w:rsidRPr="009632A9">
        <w:t>- c</w:t>
      </w:r>
      <w:r w:rsidR="00991EA0" w:rsidRPr="009632A9">
        <w:rPr>
          <w:sz w:val="22"/>
        </w:rPr>
        <w:t>osts for managing processes related to TOM, process optimization, managing change Enterprise, including managing of change request method and progression.</w:t>
      </w:r>
    </w:p>
    <w:p w14:paraId="07A69B04" w14:textId="77777777" w:rsidR="00AC2CA2" w:rsidRPr="009632A9" w:rsidRDefault="00AC2CA2" w:rsidP="00991EA0">
      <w:pPr>
        <w:pStyle w:val="ListParagraph"/>
        <w:numPr>
          <w:ilvl w:val="0"/>
          <w:numId w:val="29"/>
        </w:numPr>
        <w:jc w:val="both"/>
        <w:rPr>
          <w:b/>
        </w:rPr>
      </w:pPr>
      <w:r w:rsidRPr="009632A9">
        <w:rPr>
          <w:b/>
        </w:rPr>
        <w:t xml:space="preserve">Global Business Services - Global Data Management </w:t>
      </w:r>
      <w:r w:rsidR="00991EA0" w:rsidRPr="009632A9">
        <w:t>- c</w:t>
      </w:r>
      <w:r w:rsidR="00991EA0" w:rsidRPr="009632A9">
        <w:rPr>
          <w:color w:val="000000" w:themeColor="text1"/>
          <w:sz w:val="22"/>
        </w:rPr>
        <w:t>ost for managing all master data information (customer and vendor data, house bank, exchange rates, cost centres, chart of accounts, approval structures)</w:t>
      </w:r>
      <w:r w:rsidR="00991EA0" w:rsidRPr="009632A9">
        <w:rPr>
          <w:sz w:val="22"/>
        </w:rPr>
        <w:t>; includes Global Master Data management, Data Quality, Data Stewards, Development &amp; Projects.</w:t>
      </w:r>
    </w:p>
    <w:p w14:paraId="1D958F0B" w14:textId="10015DB2" w:rsidR="00991EA0" w:rsidRPr="009632A9" w:rsidRDefault="00AC2CA2" w:rsidP="00991EA0">
      <w:pPr>
        <w:pStyle w:val="ListParagraph"/>
        <w:numPr>
          <w:ilvl w:val="0"/>
          <w:numId w:val="29"/>
        </w:numPr>
        <w:jc w:val="both"/>
        <w:rPr>
          <w:b/>
          <w:sz w:val="22"/>
        </w:rPr>
      </w:pPr>
      <w:r w:rsidRPr="009632A9">
        <w:rPr>
          <w:b/>
        </w:rPr>
        <w:t xml:space="preserve">Global Business Services - </w:t>
      </w:r>
      <w:r w:rsidR="00B13496" w:rsidRPr="00B13496">
        <w:rPr>
          <w:b/>
        </w:rPr>
        <w:t>Transformation &amp; Business Relationship Management</w:t>
      </w:r>
      <w:r w:rsidR="00991EA0" w:rsidRPr="009632A9">
        <w:rPr>
          <w:b/>
        </w:rPr>
        <w:t xml:space="preserve"> </w:t>
      </w:r>
      <w:r w:rsidR="00991EA0" w:rsidRPr="009632A9">
        <w:rPr>
          <w:sz w:val="22"/>
        </w:rPr>
        <w:t xml:space="preserve">cost for providing: Performance Reporting ( KPI Calculation), Relationship Management (managing the relation with the end markets via dedicated customer accounts managers), Migration (managing new activities transferred from end markets to GBS), Communication (internal communication in GBS </w:t>
      </w:r>
      <w:r w:rsidR="00991EA0" w:rsidRPr="009632A9">
        <w:rPr>
          <w:sz w:val="22"/>
        </w:rPr>
        <w:lastRenderedPageBreak/>
        <w:t>community), FSD (Finance Service Desk: managing queries from external suppliers and internal customers, on invoices and payments), AIM and Continuous Improvement (optimisation), Projects. Function Management is used to book the costs of the Head of function.</w:t>
      </w:r>
    </w:p>
    <w:p w14:paraId="0D9D6161" w14:textId="77777777" w:rsidR="00991EA0" w:rsidRPr="009632A9" w:rsidRDefault="00AC2CA2" w:rsidP="00991EA0">
      <w:pPr>
        <w:pStyle w:val="ListParagraph"/>
        <w:numPr>
          <w:ilvl w:val="0"/>
          <w:numId w:val="29"/>
        </w:numPr>
        <w:jc w:val="both"/>
        <w:rPr>
          <w:b/>
          <w:color w:val="000000" w:themeColor="text1"/>
          <w:sz w:val="22"/>
        </w:rPr>
      </w:pPr>
      <w:r w:rsidRPr="009632A9">
        <w:rPr>
          <w:b/>
        </w:rPr>
        <w:t xml:space="preserve">Global Business Services </w:t>
      </w:r>
      <w:r w:rsidR="00991EA0" w:rsidRPr="009632A9">
        <w:rPr>
          <w:b/>
        </w:rPr>
        <w:t>–</w:t>
      </w:r>
      <w:r w:rsidRPr="009632A9">
        <w:rPr>
          <w:b/>
        </w:rPr>
        <w:t xml:space="preserve"> Compliance</w:t>
      </w:r>
      <w:r w:rsidR="00991EA0" w:rsidRPr="009632A9">
        <w:rPr>
          <w:b/>
        </w:rPr>
        <w:t xml:space="preserve"> - </w:t>
      </w:r>
      <w:r w:rsidR="00991EA0" w:rsidRPr="009632A9">
        <w:rPr>
          <w:color w:val="000000" w:themeColor="text1"/>
          <w:sz w:val="22"/>
        </w:rPr>
        <w:t>overheads related to department(s) responsible for Business Conduct and Compliance; costs of ensuring compliance with internal controls and external regulation, e.g. SOX implementation.</w:t>
      </w:r>
    </w:p>
    <w:p w14:paraId="69AD8B8B" w14:textId="4EE0B28C" w:rsidR="00AC2CA2" w:rsidRPr="009632A9" w:rsidRDefault="00AC2CA2" w:rsidP="00991EA0">
      <w:pPr>
        <w:pStyle w:val="ListParagraph"/>
        <w:numPr>
          <w:ilvl w:val="0"/>
          <w:numId w:val="29"/>
        </w:numPr>
        <w:jc w:val="both"/>
        <w:rPr>
          <w:b/>
        </w:rPr>
      </w:pPr>
      <w:r w:rsidRPr="009632A9">
        <w:rPr>
          <w:b/>
        </w:rPr>
        <w:t xml:space="preserve">Global Business Services - </w:t>
      </w:r>
      <w:r w:rsidR="00B13496" w:rsidRPr="00B13496">
        <w:rPr>
          <w:b/>
        </w:rPr>
        <w:t>Data, Reporting &amp; Analytics</w:t>
      </w:r>
      <w:r w:rsidR="00B13496">
        <w:rPr>
          <w:b/>
        </w:rPr>
        <w:t xml:space="preserve"> </w:t>
      </w:r>
      <w:r w:rsidR="00991EA0" w:rsidRPr="009632A9">
        <w:rPr>
          <w:b/>
        </w:rPr>
        <w:t xml:space="preserve">- </w:t>
      </w:r>
      <w:r w:rsidR="00991EA0" w:rsidRPr="009632A9">
        <w:rPr>
          <w:sz w:val="22"/>
        </w:rPr>
        <w:t>costs related to the automation and implementation of various tools, such as building and deployment of GM dashboard, delivering data quality reporting.</w:t>
      </w:r>
    </w:p>
    <w:p w14:paraId="41CF545F" w14:textId="77777777" w:rsidR="00991EA0" w:rsidRPr="009632A9" w:rsidRDefault="00AC2CA2" w:rsidP="007F1288">
      <w:pPr>
        <w:pStyle w:val="ListParagraph"/>
        <w:numPr>
          <w:ilvl w:val="0"/>
          <w:numId w:val="29"/>
        </w:numPr>
        <w:jc w:val="both"/>
        <w:rPr>
          <w:b/>
          <w:sz w:val="22"/>
        </w:rPr>
      </w:pPr>
      <w:bookmarkStart w:id="12" w:name="_Toc82449794"/>
      <w:r w:rsidRPr="007F1288">
        <w:rPr>
          <w:rFonts w:asciiTheme="majorHAnsi" w:eastAsiaTheme="majorEastAsia" w:hAnsiTheme="majorHAnsi" w:cstheme="majorBidi"/>
          <w:bCs/>
          <w:color w:val="365F91" w:themeColor="accent1" w:themeShade="BF"/>
          <w:u w:val="single"/>
        </w:rPr>
        <w:t>Global Business Services - GBS Finance</w:t>
      </w:r>
      <w:r w:rsidRPr="009632A9">
        <w:rPr>
          <w:b/>
        </w:rPr>
        <w:t xml:space="preserve"> </w:t>
      </w:r>
      <w:r w:rsidR="00991EA0" w:rsidRPr="009632A9">
        <w:rPr>
          <w:b/>
        </w:rPr>
        <w:t xml:space="preserve">- </w:t>
      </w:r>
      <w:r w:rsidR="00991EA0" w:rsidRPr="009632A9">
        <w:t>c</w:t>
      </w:r>
      <w:r w:rsidR="00991EA0" w:rsidRPr="009632A9">
        <w:rPr>
          <w:sz w:val="22"/>
        </w:rPr>
        <w:t>ost for providing Finance activities in GBS:</w:t>
      </w:r>
      <w:bookmarkEnd w:id="12"/>
      <w:r w:rsidR="00991EA0" w:rsidRPr="009632A9">
        <w:rPr>
          <w:sz w:val="22"/>
        </w:rPr>
        <w:t xml:space="preserve"> </w:t>
      </w:r>
    </w:p>
    <w:p w14:paraId="49E4AA89" w14:textId="77777777" w:rsidR="00991EA0" w:rsidRPr="009632A9" w:rsidRDefault="00991EA0" w:rsidP="00991EA0">
      <w:pPr>
        <w:pStyle w:val="ListParagraph"/>
        <w:rPr>
          <w:b/>
          <w:sz w:val="22"/>
        </w:rPr>
      </w:pPr>
    </w:p>
    <w:p w14:paraId="646F246E" w14:textId="77777777" w:rsidR="00991EA0" w:rsidRPr="009632A9" w:rsidRDefault="00991EA0" w:rsidP="00991EA0">
      <w:pPr>
        <w:pStyle w:val="ListParagraph"/>
        <w:numPr>
          <w:ilvl w:val="1"/>
          <w:numId w:val="29"/>
        </w:numPr>
        <w:jc w:val="both"/>
        <w:rPr>
          <w:b/>
          <w:sz w:val="22"/>
        </w:rPr>
      </w:pPr>
      <w:r w:rsidRPr="009632A9">
        <w:rPr>
          <w:b/>
          <w:i/>
          <w:sz w:val="22"/>
        </w:rPr>
        <w:t>Global Treasury Operations -</w:t>
      </w:r>
      <w:r w:rsidRPr="009632A9">
        <w:rPr>
          <w:b/>
          <w:sz w:val="22"/>
        </w:rPr>
        <w:t xml:space="preserve"> </w:t>
      </w:r>
      <w:r w:rsidRPr="009632A9">
        <w:rPr>
          <w:sz w:val="22"/>
        </w:rPr>
        <w:t>Centralised Treasury activities such as Daily Cash and FX management, dealing of transactions like: FX spot and forward, Money Markets, drawdowns; settlement and confirmation of transactions; IHC Operations, Treasury Compliance and Reporting.</w:t>
      </w:r>
    </w:p>
    <w:p w14:paraId="16D587ED" w14:textId="77777777" w:rsidR="00991EA0" w:rsidRPr="009632A9" w:rsidRDefault="00991EA0" w:rsidP="00991EA0">
      <w:pPr>
        <w:pStyle w:val="ListParagraph"/>
        <w:ind w:left="1440"/>
        <w:jc w:val="both"/>
        <w:rPr>
          <w:b/>
          <w:sz w:val="10"/>
          <w:szCs w:val="12"/>
        </w:rPr>
      </w:pPr>
    </w:p>
    <w:p w14:paraId="18CC3B29" w14:textId="77777777" w:rsidR="00991EA0" w:rsidRPr="009632A9" w:rsidRDefault="00991EA0" w:rsidP="00991EA0">
      <w:pPr>
        <w:pStyle w:val="ListParagraph"/>
        <w:numPr>
          <w:ilvl w:val="1"/>
          <w:numId w:val="29"/>
        </w:numPr>
        <w:jc w:val="both"/>
        <w:rPr>
          <w:b/>
          <w:sz w:val="22"/>
        </w:rPr>
      </w:pPr>
      <w:r w:rsidRPr="009632A9">
        <w:rPr>
          <w:b/>
          <w:i/>
          <w:sz w:val="22"/>
        </w:rPr>
        <w:t>Order to Cash</w:t>
      </w:r>
      <w:r w:rsidRPr="009632A9">
        <w:rPr>
          <w:b/>
          <w:sz w:val="22"/>
        </w:rPr>
        <w:t xml:space="preserve"> -</w:t>
      </w:r>
      <w:r w:rsidRPr="009632A9">
        <w:rPr>
          <w:sz w:val="22"/>
        </w:rPr>
        <w:t xml:space="preserve"> Includes the costs of activities related to billing finished goods to external customers and allocation of incoming payments on the customer’s account.</w:t>
      </w:r>
    </w:p>
    <w:p w14:paraId="6E063FE0" w14:textId="77777777" w:rsidR="00991EA0" w:rsidRPr="009632A9" w:rsidRDefault="00991EA0" w:rsidP="00991EA0">
      <w:pPr>
        <w:jc w:val="both"/>
        <w:rPr>
          <w:b/>
          <w:sz w:val="10"/>
          <w:szCs w:val="12"/>
        </w:rPr>
      </w:pPr>
    </w:p>
    <w:p w14:paraId="00CD661F" w14:textId="77777777" w:rsidR="00991EA0" w:rsidRPr="009632A9" w:rsidRDefault="00991EA0" w:rsidP="00991EA0">
      <w:pPr>
        <w:pStyle w:val="ListParagraph"/>
        <w:numPr>
          <w:ilvl w:val="1"/>
          <w:numId w:val="29"/>
        </w:numPr>
        <w:jc w:val="both"/>
        <w:rPr>
          <w:b/>
          <w:sz w:val="22"/>
        </w:rPr>
      </w:pPr>
      <w:r w:rsidRPr="009632A9">
        <w:rPr>
          <w:b/>
          <w:i/>
          <w:sz w:val="22"/>
        </w:rPr>
        <w:t>Procure to Pay</w:t>
      </w:r>
      <w:r w:rsidRPr="009632A9">
        <w:rPr>
          <w:b/>
          <w:sz w:val="22"/>
        </w:rPr>
        <w:t xml:space="preserve"> - </w:t>
      </w:r>
      <w:r w:rsidRPr="009632A9">
        <w:rPr>
          <w:sz w:val="22"/>
        </w:rPr>
        <w:t>Includes the costs of activities related to invoice processing and payment, processing of T&amp;E claims, vendor reconciliations and reporting, transactional procurement services.</w:t>
      </w:r>
    </w:p>
    <w:p w14:paraId="62D35C8C" w14:textId="77777777" w:rsidR="00991EA0" w:rsidRPr="009632A9" w:rsidRDefault="00991EA0" w:rsidP="00991EA0">
      <w:pPr>
        <w:pStyle w:val="ListParagraph"/>
        <w:ind w:left="1440"/>
        <w:jc w:val="both"/>
        <w:rPr>
          <w:b/>
          <w:sz w:val="10"/>
          <w:szCs w:val="12"/>
        </w:rPr>
      </w:pPr>
    </w:p>
    <w:p w14:paraId="619243EB" w14:textId="77777777" w:rsidR="00991EA0" w:rsidRPr="009632A9" w:rsidRDefault="00991EA0" w:rsidP="00991EA0">
      <w:pPr>
        <w:pStyle w:val="ListParagraph"/>
        <w:numPr>
          <w:ilvl w:val="1"/>
          <w:numId w:val="29"/>
        </w:numPr>
        <w:jc w:val="both"/>
        <w:rPr>
          <w:b/>
          <w:sz w:val="22"/>
        </w:rPr>
      </w:pPr>
      <w:r w:rsidRPr="009632A9">
        <w:rPr>
          <w:b/>
          <w:i/>
          <w:sz w:val="22"/>
        </w:rPr>
        <w:t>Record to Report</w:t>
      </w:r>
      <w:r w:rsidRPr="009632A9">
        <w:rPr>
          <w:b/>
          <w:sz w:val="22"/>
        </w:rPr>
        <w:t xml:space="preserve"> -</w:t>
      </w:r>
      <w:r w:rsidRPr="009632A9">
        <w:rPr>
          <w:sz w:val="22"/>
        </w:rPr>
        <w:t xml:space="preserve"> Includes the costs of activities related to general accounting services such as General Ledger, Intercompany, Planning &amp; Reporting services (S&amp;OP, budgeting and forecasting), BPC support activities, Commercial Planning and Analysis.</w:t>
      </w:r>
    </w:p>
    <w:p w14:paraId="43448A9A" w14:textId="77777777" w:rsidR="00991EA0" w:rsidRPr="009632A9" w:rsidRDefault="00991EA0" w:rsidP="00991EA0">
      <w:pPr>
        <w:jc w:val="both"/>
        <w:rPr>
          <w:b/>
          <w:sz w:val="10"/>
          <w:szCs w:val="12"/>
        </w:rPr>
      </w:pPr>
    </w:p>
    <w:p w14:paraId="378615EE" w14:textId="77777777" w:rsidR="00991EA0" w:rsidRPr="009632A9" w:rsidRDefault="00991EA0" w:rsidP="00991EA0">
      <w:pPr>
        <w:pStyle w:val="ListParagraph"/>
        <w:numPr>
          <w:ilvl w:val="1"/>
          <w:numId w:val="29"/>
        </w:numPr>
        <w:jc w:val="both"/>
        <w:rPr>
          <w:b/>
          <w:sz w:val="22"/>
        </w:rPr>
      </w:pPr>
      <w:r w:rsidRPr="009632A9">
        <w:rPr>
          <w:b/>
          <w:i/>
          <w:sz w:val="22"/>
        </w:rPr>
        <w:t>Tax Compliance</w:t>
      </w:r>
      <w:r w:rsidRPr="009632A9">
        <w:rPr>
          <w:b/>
          <w:sz w:val="22"/>
        </w:rPr>
        <w:t xml:space="preserve"> - </w:t>
      </w:r>
      <w:r w:rsidRPr="009632A9">
        <w:rPr>
          <w:sz w:val="22"/>
        </w:rPr>
        <w:t>Includes the costs of activities required to comply with local country corporate tax legislation as well as consideration of corporate tax planning. Note: Junior tax compliance or reporting roles should be reported under Finance - Accounting Services.</w:t>
      </w:r>
    </w:p>
    <w:p w14:paraId="2E041917" w14:textId="77777777" w:rsidR="00991EA0" w:rsidRPr="009632A9" w:rsidRDefault="00991EA0" w:rsidP="00991EA0">
      <w:pPr>
        <w:jc w:val="both"/>
        <w:rPr>
          <w:b/>
          <w:sz w:val="10"/>
          <w:szCs w:val="12"/>
        </w:rPr>
      </w:pPr>
    </w:p>
    <w:p w14:paraId="6E4341B9" w14:textId="33366EB5" w:rsidR="00991EA0" w:rsidRPr="00235E1E" w:rsidRDefault="00991EA0" w:rsidP="00991EA0">
      <w:pPr>
        <w:pStyle w:val="ListParagraph"/>
        <w:numPr>
          <w:ilvl w:val="1"/>
          <w:numId w:val="29"/>
        </w:numPr>
        <w:jc w:val="both"/>
        <w:rPr>
          <w:b/>
          <w:sz w:val="22"/>
        </w:rPr>
      </w:pPr>
      <w:r w:rsidRPr="009632A9">
        <w:rPr>
          <w:b/>
          <w:i/>
          <w:sz w:val="22"/>
        </w:rPr>
        <w:t>Hosted Functions</w:t>
      </w:r>
      <w:r w:rsidRPr="009632A9">
        <w:rPr>
          <w:b/>
          <w:sz w:val="22"/>
        </w:rPr>
        <w:t xml:space="preserve"> - </w:t>
      </w:r>
      <w:r w:rsidRPr="009632A9">
        <w:rPr>
          <w:sz w:val="22"/>
        </w:rPr>
        <w:t>Cost of functions for which headcount and costs are reported under another BAT entity (</w:t>
      </w:r>
      <w:proofErr w:type="gramStart"/>
      <w:r w:rsidRPr="009632A9">
        <w:rPr>
          <w:sz w:val="22"/>
        </w:rPr>
        <w:t>e.g.</w:t>
      </w:r>
      <w:proofErr w:type="gramEnd"/>
      <w:r w:rsidRPr="009632A9">
        <w:rPr>
          <w:sz w:val="22"/>
        </w:rPr>
        <w:t xml:space="preserve"> Audit, Business Controls, IT).</w:t>
      </w:r>
    </w:p>
    <w:p w14:paraId="5C58457F" w14:textId="77777777" w:rsidR="00235E1E" w:rsidRPr="00235E1E" w:rsidRDefault="00235E1E" w:rsidP="00235E1E">
      <w:pPr>
        <w:pStyle w:val="ListParagraph"/>
        <w:rPr>
          <w:b/>
          <w:sz w:val="22"/>
        </w:rPr>
      </w:pPr>
    </w:p>
    <w:p w14:paraId="73557987" w14:textId="47FA092B" w:rsidR="00235E1E" w:rsidRPr="00235E1E" w:rsidRDefault="00235E1E" w:rsidP="00235E1E">
      <w:pPr>
        <w:pStyle w:val="ListParagraph"/>
        <w:numPr>
          <w:ilvl w:val="1"/>
          <w:numId w:val="29"/>
        </w:numPr>
        <w:rPr>
          <w:sz w:val="22"/>
        </w:rPr>
      </w:pPr>
      <w:r w:rsidRPr="00235E1E">
        <w:rPr>
          <w:b/>
          <w:i/>
          <w:sz w:val="22"/>
        </w:rPr>
        <w:t xml:space="preserve">GBS Finance DBS </w:t>
      </w:r>
      <w:r w:rsidRPr="00235E1E">
        <w:rPr>
          <w:b/>
          <w:sz w:val="22"/>
        </w:rPr>
        <w:t xml:space="preserve">- </w:t>
      </w:r>
      <w:r w:rsidRPr="00235E1E">
        <w:rPr>
          <w:sz w:val="22"/>
        </w:rPr>
        <w:t xml:space="preserve">– the cost of administering transactional finance activities </w:t>
      </w:r>
      <w:r>
        <w:rPr>
          <w:sz w:val="22"/>
        </w:rPr>
        <w:t>for GBS Hubs only</w:t>
      </w:r>
      <w:r w:rsidRPr="00235E1E">
        <w:rPr>
          <w:sz w:val="22"/>
        </w:rPr>
        <w:t>. This will include activities retained for LFR/business case reasons, tax compliance, banking/cash management or statutory accounting.</w:t>
      </w:r>
    </w:p>
    <w:p w14:paraId="6028FE2C" w14:textId="5E3E8DC3" w:rsidR="00235E1E" w:rsidRDefault="00235E1E" w:rsidP="00235E1E">
      <w:pPr>
        <w:pStyle w:val="ListParagraph"/>
        <w:ind w:left="1440"/>
        <w:jc w:val="both"/>
        <w:rPr>
          <w:b/>
          <w:sz w:val="22"/>
        </w:rPr>
      </w:pPr>
    </w:p>
    <w:p w14:paraId="20D15532" w14:textId="77777777" w:rsidR="00235E1E" w:rsidRPr="009632A9" w:rsidRDefault="00235E1E" w:rsidP="00235E1E">
      <w:pPr>
        <w:pStyle w:val="ListParagraph"/>
        <w:ind w:left="1440"/>
        <w:jc w:val="both"/>
        <w:rPr>
          <w:b/>
          <w:sz w:val="22"/>
        </w:rPr>
      </w:pPr>
    </w:p>
    <w:p w14:paraId="253D4328" w14:textId="77777777" w:rsidR="00991EA0" w:rsidRPr="00235E1E" w:rsidRDefault="00991EA0" w:rsidP="00235E1E">
      <w:pPr>
        <w:pStyle w:val="ListParagraph"/>
        <w:ind w:left="1440"/>
        <w:jc w:val="both"/>
        <w:rPr>
          <w:b/>
          <w:sz w:val="22"/>
        </w:rPr>
      </w:pPr>
    </w:p>
    <w:p w14:paraId="3A460D34" w14:textId="77777777" w:rsidR="00991EA0" w:rsidRPr="009632A9" w:rsidRDefault="00991EA0" w:rsidP="007F1288">
      <w:pPr>
        <w:pStyle w:val="ListParagraph"/>
        <w:numPr>
          <w:ilvl w:val="0"/>
          <w:numId w:val="29"/>
        </w:numPr>
        <w:jc w:val="both"/>
        <w:rPr>
          <w:b/>
          <w:color w:val="000000" w:themeColor="text1"/>
          <w:sz w:val="22"/>
        </w:rPr>
      </w:pPr>
      <w:bookmarkStart w:id="13" w:name="_Toc82449795"/>
      <w:r w:rsidRPr="007F1288">
        <w:rPr>
          <w:rFonts w:asciiTheme="majorHAnsi" w:eastAsiaTheme="majorEastAsia" w:hAnsiTheme="majorHAnsi" w:cstheme="majorBidi"/>
          <w:bCs/>
          <w:color w:val="365F91" w:themeColor="accent1" w:themeShade="BF"/>
          <w:u w:val="single"/>
        </w:rPr>
        <w:t>Global Business Services - GBS HR</w:t>
      </w:r>
      <w:r w:rsidRPr="009632A9">
        <w:rPr>
          <w:b/>
        </w:rPr>
        <w:t xml:space="preserve"> - </w:t>
      </w:r>
      <w:r w:rsidRPr="009632A9">
        <w:rPr>
          <w:sz w:val="22"/>
        </w:rPr>
        <w:t>cost for providing Finance activities in GBS related to:</w:t>
      </w:r>
      <w:bookmarkEnd w:id="13"/>
    </w:p>
    <w:p w14:paraId="2C755C28" w14:textId="77777777" w:rsidR="00991EA0" w:rsidRPr="009632A9" w:rsidRDefault="00991EA0" w:rsidP="00991EA0">
      <w:pPr>
        <w:jc w:val="both"/>
        <w:rPr>
          <w:b/>
          <w:color w:val="000000" w:themeColor="text1"/>
          <w:sz w:val="22"/>
        </w:rPr>
      </w:pPr>
      <w:r w:rsidRPr="009632A9">
        <w:rPr>
          <w:sz w:val="22"/>
        </w:rPr>
        <w:t xml:space="preserve"> </w:t>
      </w:r>
    </w:p>
    <w:p w14:paraId="2D5D4353" w14:textId="77777777" w:rsidR="00991EA0" w:rsidRPr="009632A9" w:rsidRDefault="00991EA0" w:rsidP="00991EA0">
      <w:pPr>
        <w:pStyle w:val="ListParagraph"/>
        <w:numPr>
          <w:ilvl w:val="1"/>
          <w:numId w:val="29"/>
        </w:numPr>
        <w:spacing w:before="120" w:after="120"/>
        <w:contextualSpacing w:val="0"/>
        <w:jc w:val="both"/>
        <w:rPr>
          <w:color w:val="000000" w:themeColor="text1"/>
          <w:sz w:val="22"/>
        </w:rPr>
      </w:pPr>
      <w:r w:rsidRPr="009632A9">
        <w:rPr>
          <w:b/>
          <w:i/>
          <w:sz w:val="22"/>
        </w:rPr>
        <w:t xml:space="preserve">Recruitment activities </w:t>
      </w:r>
      <w:r w:rsidRPr="009632A9">
        <w:rPr>
          <w:sz w:val="22"/>
        </w:rPr>
        <w:t>– Costs associated with activities related to recruitment processes</w:t>
      </w:r>
    </w:p>
    <w:p w14:paraId="6DEC83FE" w14:textId="58A725C6" w:rsidR="00991EA0" w:rsidRPr="009632A9" w:rsidRDefault="00991EA0" w:rsidP="00991EA0">
      <w:pPr>
        <w:pStyle w:val="ListParagraph"/>
        <w:numPr>
          <w:ilvl w:val="1"/>
          <w:numId w:val="29"/>
        </w:numPr>
        <w:spacing w:before="120" w:after="120"/>
        <w:contextualSpacing w:val="0"/>
        <w:jc w:val="both"/>
        <w:rPr>
          <w:b/>
          <w:color w:val="000000" w:themeColor="text1"/>
          <w:sz w:val="22"/>
        </w:rPr>
      </w:pPr>
      <w:r w:rsidRPr="009632A9">
        <w:rPr>
          <w:b/>
          <w:i/>
          <w:sz w:val="22"/>
        </w:rPr>
        <w:t>Employee administration</w:t>
      </w:r>
      <w:r w:rsidRPr="009632A9">
        <w:rPr>
          <w:sz w:val="22"/>
        </w:rPr>
        <w:t xml:space="preserve"> – Costs associated with activities related to legal documentation and data maintenance in Success Factors</w:t>
      </w:r>
      <w:r w:rsidR="00235E1E">
        <w:rPr>
          <w:sz w:val="22"/>
        </w:rPr>
        <w:t xml:space="preserve"> (Tier 1 and Tier 2)</w:t>
      </w:r>
    </w:p>
    <w:p w14:paraId="259093FF" w14:textId="77777777" w:rsidR="00991EA0" w:rsidRPr="009632A9" w:rsidRDefault="00991EA0" w:rsidP="00991EA0">
      <w:pPr>
        <w:pStyle w:val="ListParagraph"/>
        <w:numPr>
          <w:ilvl w:val="1"/>
          <w:numId w:val="29"/>
        </w:numPr>
        <w:spacing w:before="120" w:after="120"/>
        <w:contextualSpacing w:val="0"/>
        <w:jc w:val="both"/>
        <w:rPr>
          <w:b/>
          <w:color w:val="000000" w:themeColor="text1"/>
          <w:sz w:val="22"/>
        </w:rPr>
      </w:pPr>
      <w:r w:rsidRPr="009632A9">
        <w:rPr>
          <w:b/>
          <w:i/>
          <w:sz w:val="22"/>
        </w:rPr>
        <w:t>Reward and benefits</w:t>
      </w:r>
      <w:r w:rsidRPr="009632A9">
        <w:rPr>
          <w:sz w:val="22"/>
        </w:rPr>
        <w:t xml:space="preserve"> - Overheads of the department with activities related to all aspects of reward, </w:t>
      </w:r>
      <w:proofErr w:type="gramStart"/>
      <w:r w:rsidRPr="009632A9">
        <w:rPr>
          <w:sz w:val="22"/>
        </w:rPr>
        <w:t>e.g.</w:t>
      </w:r>
      <w:proofErr w:type="gramEnd"/>
      <w:r w:rsidRPr="009632A9">
        <w:rPr>
          <w:sz w:val="22"/>
        </w:rPr>
        <w:t xml:space="preserve"> pensions, salary management, job evaluation, incentives, etc. </w:t>
      </w:r>
    </w:p>
    <w:p w14:paraId="368A66B1" w14:textId="77777777" w:rsidR="00991EA0" w:rsidRPr="009632A9" w:rsidRDefault="00991EA0" w:rsidP="00991EA0">
      <w:pPr>
        <w:pStyle w:val="ListParagraph"/>
        <w:numPr>
          <w:ilvl w:val="1"/>
          <w:numId w:val="29"/>
        </w:numPr>
        <w:spacing w:before="120" w:after="120"/>
        <w:contextualSpacing w:val="0"/>
        <w:jc w:val="both"/>
        <w:rPr>
          <w:b/>
          <w:color w:val="000000" w:themeColor="text1"/>
          <w:sz w:val="22"/>
        </w:rPr>
      </w:pPr>
      <w:r w:rsidRPr="009632A9">
        <w:rPr>
          <w:b/>
          <w:i/>
          <w:sz w:val="22"/>
        </w:rPr>
        <w:t>Global mobility</w:t>
      </w:r>
      <w:r w:rsidRPr="009632A9">
        <w:rPr>
          <w:sz w:val="22"/>
        </w:rPr>
        <w:t xml:space="preserve"> – Overheads associated with the coordination of international assignments or relocation costs incurred when there is a permanent or short term move to a different location.</w:t>
      </w:r>
    </w:p>
    <w:p w14:paraId="769271F5" w14:textId="77777777" w:rsidR="00991EA0" w:rsidRPr="009632A9" w:rsidRDefault="00991EA0" w:rsidP="00991EA0">
      <w:pPr>
        <w:pStyle w:val="ListParagraph"/>
        <w:numPr>
          <w:ilvl w:val="1"/>
          <w:numId w:val="29"/>
        </w:numPr>
        <w:spacing w:before="120" w:after="120"/>
        <w:contextualSpacing w:val="0"/>
        <w:jc w:val="both"/>
        <w:rPr>
          <w:b/>
          <w:color w:val="000000" w:themeColor="text1"/>
          <w:sz w:val="22"/>
        </w:rPr>
      </w:pPr>
      <w:r w:rsidRPr="009632A9">
        <w:rPr>
          <w:b/>
          <w:i/>
          <w:sz w:val="22"/>
        </w:rPr>
        <w:t>Talent operations</w:t>
      </w:r>
      <w:r w:rsidRPr="009632A9">
        <w:rPr>
          <w:sz w:val="22"/>
        </w:rPr>
        <w:t xml:space="preserve"> - Expenses related to Talent Development and expenses related to Organisational Effectiveness and Organisational Design. </w:t>
      </w:r>
    </w:p>
    <w:p w14:paraId="6B2AC627" w14:textId="77777777" w:rsidR="00991EA0" w:rsidRPr="009632A9" w:rsidRDefault="00991EA0" w:rsidP="00991EA0">
      <w:pPr>
        <w:pStyle w:val="ListParagraph"/>
        <w:numPr>
          <w:ilvl w:val="1"/>
          <w:numId w:val="29"/>
        </w:numPr>
        <w:spacing w:before="120" w:after="120"/>
        <w:contextualSpacing w:val="0"/>
        <w:jc w:val="both"/>
        <w:rPr>
          <w:b/>
          <w:color w:val="000000" w:themeColor="text1"/>
          <w:sz w:val="22"/>
        </w:rPr>
      </w:pPr>
      <w:r w:rsidRPr="009632A9">
        <w:rPr>
          <w:b/>
          <w:i/>
          <w:sz w:val="22"/>
        </w:rPr>
        <w:lastRenderedPageBreak/>
        <w:t>People and Organisation Analytics</w:t>
      </w:r>
      <w:r w:rsidRPr="009632A9">
        <w:rPr>
          <w:sz w:val="22"/>
        </w:rPr>
        <w:t xml:space="preserve"> – Costs associated with activities related to headcount reporting, HR data quality. </w:t>
      </w:r>
    </w:p>
    <w:p w14:paraId="6300B3A3" w14:textId="70E4B2D7" w:rsidR="00991EA0" w:rsidRPr="009632A9" w:rsidRDefault="00235E1E" w:rsidP="00991EA0">
      <w:pPr>
        <w:pStyle w:val="ListParagraph"/>
        <w:numPr>
          <w:ilvl w:val="1"/>
          <w:numId w:val="29"/>
        </w:numPr>
        <w:spacing w:before="120" w:after="120"/>
        <w:contextualSpacing w:val="0"/>
        <w:jc w:val="both"/>
        <w:rPr>
          <w:b/>
          <w:color w:val="000000" w:themeColor="text1"/>
          <w:sz w:val="22"/>
        </w:rPr>
      </w:pPr>
      <w:r>
        <w:rPr>
          <w:b/>
          <w:i/>
          <w:sz w:val="22"/>
        </w:rPr>
        <w:t xml:space="preserve">HR </w:t>
      </w:r>
      <w:r w:rsidR="00991EA0" w:rsidRPr="009632A9">
        <w:rPr>
          <w:b/>
          <w:i/>
          <w:sz w:val="22"/>
        </w:rPr>
        <w:t xml:space="preserve">Technology </w:t>
      </w:r>
      <w:r w:rsidR="00991EA0" w:rsidRPr="009632A9">
        <w:rPr>
          <w:color w:val="000000" w:themeColor="text1"/>
          <w:sz w:val="22"/>
        </w:rPr>
        <w:t>– Costs of all activities related to HR systems &amp; tools, such as Success Factors, BPC interface with Success Factors and other specific tools used by HR.</w:t>
      </w:r>
    </w:p>
    <w:p w14:paraId="2CF85C97" w14:textId="77777777" w:rsidR="00991EA0" w:rsidRPr="009632A9" w:rsidRDefault="00991EA0" w:rsidP="00991EA0">
      <w:pPr>
        <w:pStyle w:val="ListParagraph"/>
        <w:jc w:val="both"/>
        <w:rPr>
          <w:b/>
          <w:sz w:val="8"/>
          <w:szCs w:val="12"/>
        </w:rPr>
      </w:pPr>
    </w:p>
    <w:p w14:paraId="4F04E7AB" w14:textId="77777777" w:rsidR="00991EA0" w:rsidRPr="009632A9" w:rsidRDefault="00991EA0" w:rsidP="00991EA0">
      <w:pPr>
        <w:jc w:val="both"/>
        <w:rPr>
          <w:sz w:val="22"/>
        </w:rPr>
      </w:pPr>
      <w:r w:rsidRPr="009632A9">
        <w:rPr>
          <w:sz w:val="22"/>
        </w:rPr>
        <w:t xml:space="preserve"> * The change in CC hierarchy has impacted only the Finance SS node, no impact/change in reporting for Support Functions (e.g. Finance, HR, Facilities, HR and LEX). </w:t>
      </w:r>
    </w:p>
    <w:p w14:paraId="0A386AA9" w14:textId="77777777" w:rsidR="00991EA0" w:rsidRDefault="00991EA0" w:rsidP="00991EA0">
      <w:pPr>
        <w:pStyle w:val="ListParagraph"/>
        <w:jc w:val="both"/>
        <w:rPr>
          <w:rFonts w:asciiTheme="minorHAnsi" w:hAnsiTheme="minorHAnsi" w:cstheme="minorHAnsi"/>
          <w:b/>
          <w:sz w:val="22"/>
        </w:rPr>
      </w:pPr>
    </w:p>
    <w:p w14:paraId="31607936" w14:textId="77777777" w:rsidR="00991EA0" w:rsidRPr="00991EA0" w:rsidRDefault="00991EA0" w:rsidP="00991EA0">
      <w:pPr>
        <w:pStyle w:val="ListParagraph"/>
        <w:jc w:val="both"/>
        <w:rPr>
          <w:rFonts w:asciiTheme="minorHAnsi" w:hAnsiTheme="minorHAnsi" w:cstheme="minorHAnsi"/>
          <w:b/>
          <w:sz w:val="22"/>
        </w:rPr>
      </w:pPr>
    </w:p>
    <w:p w14:paraId="5D16DFB6" w14:textId="77777777" w:rsidR="00F87AA7" w:rsidRPr="007F1288" w:rsidRDefault="00E614E6" w:rsidP="00E614E6">
      <w:pPr>
        <w:jc w:val="both"/>
        <w:rPr>
          <w:rFonts w:asciiTheme="majorHAnsi" w:eastAsiaTheme="majorEastAsia" w:hAnsiTheme="majorHAnsi" w:cstheme="majorBidi"/>
          <w:b/>
          <w:color w:val="365F91" w:themeColor="accent1" w:themeShade="BF"/>
          <w:kern w:val="32"/>
          <w:sz w:val="26"/>
          <w:szCs w:val="26"/>
          <w:u w:val="single"/>
        </w:rPr>
      </w:pPr>
      <w:r w:rsidRPr="007F1288">
        <w:rPr>
          <w:rFonts w:asciiTheme="majorHAnsi" w:eastAsiaTheme="majorEastAsia" w:hAnsiTheme="majorHAnsi" w:cstheme="majorBidi"/>
          <w:b/>
          <w:color w:val="365F91" w:themeColor="accent1" w:themeShade="BF"/>
          <w:kern w:val="32"/>
          <w:sz w:val="26"/>
          <w:szCs w:val="26"/>
          <w:u w:val="single"/>
        </w:rPr>
        <w:t>NEXT GENERATION PRODUCTS</w:t>
      </w:r>
    </w:p>
    <w:p w14:paraId="519133D0" w14:textId="77777777" w:rsidR="00E614E6" w:rsidRPr="00F87AA7" w:rsidRDefault="00E614E6" w:rsidP="00E614E6">
      <w:pPr>
        <w:jc w:val="both"/>
        <w:rPr>
          <w:lang w:val="en-US"/>
        </w:rPr>
      </w:pPr>
    </w:p>
    <w:p w14:paraId="4A7DA594" w14:textId="77777777" w:rsidR="00F87AA7" w:rsidRPr="00F87AA7" w:rsidRDefault="00F87AA7" w:rsidP="00F87AA7">
      <w:pPr>
        <w:ind w:left="720"/>
        <w:jc w:val="both"/>
        <w:rPr>
          <w:lang w:val="en-US"/>
        </w:rPr>
      </w:pPr>
      <w:r w:rsidRPr="00F87AA7">
        <w:rPr>
          <w:lang w:val="en-US"/>
        </w:rPr>
        <w:t xml:space="preserve">Following the integration of the NGP </w:t>
      </w:r>
      <w:r w:rsidR="00E614E6">
        <w:rPr>
          <w:lang w:val="en-US"/>
        </w:rPr>
        <w:t>to business, NGP cost center group “Next Generation Products</w:t>
      </w:r>
      <w:r w:rsidRPr="00F87AA7">
        <w:rPr>
          <w:lang w:val="en-US"/>
        </w:rPr>
        <w:t xml:space="preserve">” will become obsolete from 2019, all markets are expected to merge NGP spend within the relevant functions. </w:t>
      </w:r>
    </w:p>
    <w:p w14:paraId="5145F1A3" w14:textId="77777777" w:rsidR="00F87AA7" w:rsidRPr="00F87AA7" w:rsidRDefault="00F87AA7" w:rsidP="00F87AA7">
      <w:pPr>
        <w:ind w:left="720"/>
        <w:jc w:val="both"/>
        <w:rPr>
          <w:lang w:val="en-US"/>
        </w:rPr>
      </w:pPr>
    </w:p>
    <w:p w14:paraId="0353D003" w14:textId="77777777" w:rsidR="00E848F2" w:rsidRPr="00F87AA7" w:rsidRDefault="00F87AA7" w:rsidP="00F87AA7">
      <w:pPr>
        <w:ind w:left="720"/>
        <w:jc w:val="both"/>
        <w:rPr>
          <w:lang w:val="en-US"/>
        </w:rPr>
      </w:pPr>
      <w:r w:rsidRPr="00F87AA7">
        <w:rPr>
          <w:lang w:val="en-US"/>
        </w:rPr>
        <w:t>For Admin, OPS and NBSE NGP overheads, all NGP cost center related mandatory to have material group applicable to NGP products.</w:t>
      </w:r>
    </w:p>
    <w:p w14:paraId="415FB5BE" w14:textId="77777777" w:rsidR="00E848F2" w:rsidRDefault="00E848F2" w:rsidP="00E8436E">
      <w:pPr>
        <w:ind w:left="720"/>
        <w:jc w:val="both"/>
      </w:pPr>
    </w:p>
    <w:p w14:paraId="0FCC0BC7" w14:textId="77777777" w:rsidR="00E848F2" w:rsidRDefault="00E848F2" w:rsidP="00E8436E">
      <w:pPr>
        <w:ind w:left="720"/>
        <w:jc w:val="both"/>
      </w:pPr>
    </w:p>
    <w:p w14:paraId="21EC7BEE" w14:textId="77777777" w:rsidR="00E848F2" w:rsidRDefault="00E848F2" w:rsidP="00E8436E">
      <w:pPr>
        <w:ind w:left="720"/>
        <w:jc w:val="both"/>
      </w:pPr>
    </w:p>
    <w:p w14:paraId="085B1A81" w14:textId="77777777" w:rsidR="00FF7465" w:rsidRDefault="00FF7465" w:rsidP="00E8436E">
      <w:pPr>
        <w:ind w:left="720"/>
        <w:jc w:val="both"/>
      </w:pPr>
    </w:p>
    <w:p w14:paraId="2A146D74" w14:textId="77777777" w:rsidR="00FF7465" w:rsidRDefault="00FF7465" w:rsidP="00E8436E">
      <w:pPr>
        <w:ind w:left="720"/>
        <w:jc w:val="both"/>
      </w:pPr>
    </w:p>
    <w:p w14:paraId="6CB7C385" w14:textId="77777777" w:rsidR="00FF7465" w:rsidRDefault="00FF7465" w:rsidP="00E8436E">
      <w:pPr>
        <w:ind w:left="720"/>
        <w:jc w:val="both"/>
      </w:pPr>
    </w:p>
    <w:p w14:paraId="60D4B0FD" w14:textId="56489FC5" w:rsidR="00FF7465" w:rsidRDefault="00FF7465" w:rsidP="00E8436E">
      <w:pPr>
        <w:ind w:left="720"/>
        <w:jc w:val="both"/>
      </w:pPr>
    </w:p>
    <w:p w14:paraId="3B262B3F" w14:textId="4255F231" w:rsidR="00316421" w:rsidRDefault="00316421" w:rsidP="00E8436E">
      <w:pPr>
        <w:ind w:left="720"/>
        <w:jc w:val="both"/>
      </w:pPr>
    </w:p>
    <w:p w14:paraId="763927A0" w14:textId="09B21F90" w:rsidR="00316421" w:rsidRDefault="00316421" w:rsidP="00E8436E">
      <w:pPr>
        <w:ind w:left="720"/>
        <w:jc w:val="both"/>
      </w:pPr>
    </w:p>
    <w:p w14:paraId="1171834C" w14:textId="4AC6C5FD" w:rsidR="00316421" w:rsidRDefault="00316421" w:rsidP="00E8436E">
      <w:pPr>
        <w:ind w:left="720"/>
        <w:jc w:val="both"/>
      </w:pPr>
    </w:p>
    <w:p w14:paraId="46A64A69" w14:textId="74816D44" w:rsidR="00316421" w:rsidRDefault="00316421" w:rsidP="00E8436E">
      <w:pPr>
        <w:ind w:left="720"/>
        <w:jc w:val="both"/>
      </w:pPr>
    </w:p>
    <w:p w14:paraId="2449C2B7" w14:textId="3CBFA772" w:rsidR="00316421" w:rsidRDefault="00316421" w:rsidP="00E8436E">
      <w:pPr>
        <w:ind w:left="720"/>
        <w:jc w:val="both"/>
      </w:pPr>
    </w:p>
    <w:p w14:paraId="1F878666" w14:textId="2D3BC38F" w:rsidR="00316421" w:rsidRDefault="00316421" w:rsidP="00E8436E">
      <w:pPr>
        <w:ind w:left="720"/>
        <w:jc w:val="both"/>
      </w:pPr>
    </w:p>
    <w:p w14:paraId="68CA09E2" w14:textId="29EA0123" w:rsidR="00316421" w:rsidRDefault="00316421" w:rsidP="00E8436E">
      <w:pPr>
        <w:ind w:left="720"/>
        <w:jc w:val="both"/>
      </w:pPr>
    </w:p>
    <w:p w14:paraId="113A73FC" w14:textId="0A803CFA" w:rsidR="00316421" w:rsidRDefault="00316421" w:rsidP="00E8436E">
      <w:pPr>
        <w:ind w:left="720"/>
        <w:jc w:val="both"/>
      </w:pPr>
    </w:p>
    <w:p w14:paraId="74AFFFA9" w14:textId="1EEFE31E" w:rsidR="00316421" w:rsidRDefault="00316421" w:rsidP="00E8436E">
      <w:pPr>
        <w:ind w:left="720"/>
        <w:jc w:val="both"/>
      </w:pPr>
    </w:p>
    <w:p w14:paraId="73E8BEF3" w14:textId="42F2744D" w:rsidR="00316421" w:rsidRDefault="00316421" w:rsidP="00E8436E">
      <w:pPr>
        <w:ind w:left="720"/>
        <w:jc w:val="both"/>
      </w:pPr>
    </w:p>
    <w:p w14:paraId="6A6489E8" w14:textId="2E0B849D" w:rsidR="00316421" w:rsidRDefault="00316421" w:rsidP="00E8436E">
      <w:pPr>
        <w:ind w:left="720"/>
        <w:jc w:val="both"/>
      </w:pPr>
    </w:p>
    <w:p w14:paraId="0AEB5421" w14:textId="01072858" w:rsidR="00316421" w:rsidRDefault="00316421" w:rsidP="00E8436E">
      <w:pPr>
        <w:ind w:left="720"/>
        <w:jc w:val="both"/>
      </w:pPr>
    </w:p>
    <w:p w14:paraId="0AA36DD9" w14:textId="3AB9C1F3" w:rsidR="00316421" w:rsidRDefault="00316421" w:rsidP="00E8436E">
      <w:pPr>
        <w:ind w:left="720"/>
        <w:jc w:val="both"/>
      </w:pPr>
    </w:p>
    <w:p w14:paraId="03525B63" w14:textId="0988A781" w:rsidR="00316421" w:rsidRDefault="00316421" w:rsidP="00E8436E">
      <w:pPr>
        <w:ind w:left="720"/>
        <w:jc w:val="both"/>
      </w:pPr>
    </w:p>
    <w:p w14:paraId="5A8EBEBB" w14:textId="3137E59D" w:rsidR="00316421" w:rsidRDefault="00316421" w:rsidP="00E8436E">
      <w:pPr>
        <w:ind w:left="720"/>
        <w:jc w:val="both"/>
      </w:pPr>
    </w:p>
    <w:p w14:paraId="487092D9" w14:textId="21BE6E5E" w:rsidR="00316421" w:rsidRDefault="00316421" w:rsidP="00E8436E">
      <w:pPr>
        <w:ind w:left="720"/>
        <w:jc w:val="both"/>
      </w:pPr>
    </w:p>
    <w:p w14:paraId="219CD654" w14:textId="18D7279D" w:rsidR="00316421" w:rsidRDefault="00316421" w:rsidP="00E8436E">
      <w:pPr>
        <w:ind w:left="720"/>
        <w:jc w:val="both"/>
      </w:pPr>
    </w:p>
    <w:p w14:paraId="1117765F" w14:textId="4C24E72A" w:rsidR="00316421" w:rsidRDefault="00316421" w:rsidP="00E8436E">
      <w:pPr>
        <w:ind w:left="720"/>
        <w:jc w:val="both"/>
      </w:pPr>
    </w:p>
    <w:p w14:paraId="3EC50921" w14:textId="27FC0CC8" w:rsidR="00316421" w:rsidRDefault="00316421" w:rsidP="00E8436E">
      <w:pPr>
        <w:ind w:left="720"/>
        <w:jc w:val="both"/>
      </w:pPr>
    </w:p>
    <w:p w14:paraId="0B832DAD" w14:textId="77777777" w:rsidR="00316421" w:rsidRDefault="00316421" w:rsidP="00E8436E">
      <w:pPr>
        <w:ind w:left="720"/>
        <w:jc w:val="both"/>
      </w:pPr>
    </w:p>
    <w:p w14:paraId="5A96B47F" w14:textId="77777777" w:rsidR="00FF7465" w:rsidRDefault="00FF7465" w:rsidP="00E8436E">
      <w:pPr>
        <w:ind w:left="720"/>
        <w:jc w:val="both"/>
      </w:pPr>
    </w:p>
    <w:p w14:paraId="62975D20" w14:textId="77777777" w:rsidR="00FF7465" w:rsidRDefault="00FF7465" w:rsidP="00E8436E">
      <w:pPr>
        <w:ind w:left="720"/>
        <w:jc w:val="both"/>
      </w:pPr>
    </w:p>
    <w:p w14:paraId="275FFAD2" w14:textId="60EDA2A9" w:rsidR="00657712" w:rsidRPr="007F1288" w:rsidRDefault="00316421" w:rsidP="007F1288">
      <w:pPr>
        <w:pStyle w:val="Heading1"/>
      </w:pPr>
      <w:bookmarkStart w:id="14" w:name="_Toc82496908"/>
      <w:r>
        <w:lastRenderedPageBreak/>
        <w:t>COST CATEGORY</w:t>
      </w:r>
      <w:bookmarkEnd w:id="14"/>
    </w:p>
    <w:p w14:paraId="4F00AC8F" w14:textId="77777777" w:rsidR="007F1288" w:rsidRPr="007F1288" w:rsidRDefault="007F1288" w:rsidP="007F1288"/>
    <w:tbl>
      <w:tblPr>
        <w:tblStyle w:val="TableGrid"/>
        <w:tblW w:w="9000" w:type="dxa"/>
        <w:tblInd w:w="108" w:type="dxa"/>
        <w:tblLook w:val="01E0" w:firstRow="1" w:lastRow="1" w:firstColumn="1" w:lastColumn="1" w:noHBand="0" w:noVBand="0"/>
      </w:tblPr>
      <w:tblGrid>
        <w:gridCol w:w="2835"/>
        <w:gridCol w:w="6165"/>
      </w:tblGrid>
      <w:tr w:rsidR="00657712" w:rsidRPr="001D2754" w14:paraId="3FDCCA27" w14:textId="77777777" w:rsidTr="00657712">
        <w:tc>
          <w:tcPr>
            <w:tcW w:w="2835" w:type="dxa"/>
          </w:tcPr>
          <w:p w14:paraId="2826178B" w14:textId="77777777" w:rsidR="00657712" w:rsidRPr="00181B22" w:rsidRDefault="00657712" w:rsidP="00657712">
            <w:r w:rsidRPr="00181B22">
              <w:t>Cost Categories</w:t>
            </w:r>
          </w:p>
        </w:tc>
        <w:tc>
          <w:tcPr>
            <w:tcW w:w="6165" w:type="dxa"/>
          </w:tcPr>
          <w:p w14:paraId="5861ED63" w14:textId="77777777" w:rsidR="00657712" w:rsidRPr="00181B22" w:rsidRDefault="00657712" w:rsidP="00657712">
            <w:pPr>
              <w:ind w:left="72" w:right="72"/>
              <w:rPr>
                <w:color w:val="FF0000"/>
              </w:rPr>
            </w:pPr>
            <w:r w:rsidRPr="00181B22">
              <w:t>Description</w:t>
            </w:r>
          </w:p>
        </w:tc>
      </w:tr>
      <w:tr w:rsidR="00657712" w:rsidRPr="001D2754" w14:paraId="7785BB45" w14:textId="77777777" w:rsidTr="00657712">
        <w:tc>
          <w:tcPr>
            <w:tcW w:w="9000" w:type="dxa"/>
            <w:gridSpan w:val="2"/>
          </w:tcPr>
          <w:p w14:paraId="1444162F" w14:textId="77777777" w:rsidR="00657712" w:rsidRDefault="00657712" w:rsidP="00657712">
            <w:pPr>
              <w:ind w:left="72" w:right="72"/>
            </w:pPr>
          </w:p>
          <w:p w14:paraId="1313BEA7" w14:textId="77777777" w:rsidR="00657712" w:rsidRPr="00181B22" w:rsidRDefault="00657712" w:rsidP="00350454">
            <w:pPr>
              <w:ind w:left="72" w:right="72"/>
            </w:pPr>
            <w:r>
              <w:t>The table below contains overall description for each o</w:t>
            </w:r>
            <w:r w:rsidR="003B33F4">
              <w:t xml:space="preserve">f the cost categories. </w:t>
            </w:r>
          </w:p>
        </w:tc>
      </w:tr>
      <w:tr w:rsidR="00657712" w:rsidRPr="001D2754" w14:paraId="5364CAD0" w14:textId="77777777" w:rsidTr="00657712">
        <w:tc>
          <w:tcPr>
            <w:tcW w:w="2835" w:type="dxa"/>
          </w:tcPr>
          <w:p w14:paraId="606E4585" w14:textId="77777777" w:rsidR="00065C3C" w:rsidRPr="00065C3C" w:rsidRDefault="00065C3C" w:rsidP="00657712">
            <w:pPr>
              <w:rPr>
                <w:b/>
              </w:rPr>
            </w:pPr>
            <w:r>
              <w:rPr>
                <w:b/>
              </w:rPr>
              <w:t>XX_</w:t>
            </w:r>
            <w:r w:rsidR="00DF506B" w:rsidRPr="00065C3C">
              <w:rPr>
                <w:b/>
              </w:rPr>
              <w:t>PEE</w:t>
            </w:r>
          </w:p>
          <w:p w14:paraId="016DD81C" w14:textId="77777777" w:rsidR="00657712" w:rsidRPr="004C5E21" w:rsidRDefault="00657712" w:rsidP="00657712">
            <w:r w:rsidRPr="00120AB5">
              <w:t>EMPLOYMENT EXPENSES</w:t>
            </w:r>
          </w:p>
        </w:tc>
        <w:tc>
          <w:tcPr>
            <w:tcW w:w="6165" w:type="dxa"/>
          </w:tcPr>
          <w:p w14:paraId="6E086703" w14:textId="77777777" w:rsidR="00657712" w:rsidRPr="00E8436E" w:rsidRDefault="00657712" w:rsidP="00E8436E">
            <w:pPr>
              <w:ind w:left="72" w:right="72"/>
              <w:rPr>
                <w:sz w:val="20"/>
                <w:szCs w:val="20"/>
              </w:rPr>
            </w:pPr>
            <w:r w:rsidRPr="00E8436E">
              <w:rPr>
                <w:sz w:val="20"/>
                <w:szCs w:val="20"/>
              </w:rPr>
              <w:t>This includes any expense relating to all fixed employment costs: salary including overtime, expatriate related costs including relocation and housing, any applicable payroll taxes pension contributions, car schem</w:t>
            </w:r>
            <w:r w:rsidR="00DF506B" w:rsidRPr="00E8436E">
              <w:rPr>
                <w:sz w:val="20"/>
                <w:szCs w:val="20"/>
              </w:rPr>
              <w:t xml:space="preserve">e, and medical healthcare costs, annual bonus (guaranteed by the employment contract, </w:t>
            </w:r>
            <w:proofErr w:type="spellStart"/>
            <w:r w:rsidR="00DF506B" w:rsidRPr="00E8436E">
              <w:rPr>
                <w:sz w:val="20"/>
                <w:szCs w:val="20"/>
              </w:rPr>
              <w:t>eg.</w:t>
            </w:r>
            <w:proofErr w:type="spellEnd"/>
            <w:r w:rsidR="00DF506B" w:rsidRPr="00E8436E">
              <w:rPr>
                <w:sz w:val="20"/>
                <w:szCs w:val="20"/>
              </w:rPr>
              <w:t xml:space="preserve"> 13</w:t>
            </w:r>
            <w:r w:rsidR="00DF506B" w:rsidRPr="00E8436E">
              <w:rPr>
                <w:sz w:val="20"/>
                <w:szCs w:val="20"/>
                <w:vertAlign w:val="superscript"/>
              </w:rPr>
              <w:t>th</w:t>
            </w:r>
            <w:r w:rsidR="00DF506B" w:rsidRPr="00E8436E">
              <w:rPr>
                <w:sz w:val="20"/>
                <w:szCs w:val="20"/>
              </w:rPr>
              <w:t xml:space="preserve"> salary)</w:t>
            </w:r>
          </w:p>
        </w:tc>
      </w:tr>
      <w:tr w:rsidR="00657712" w:rsidRPr="001D2754" w14:paraId="05D7CA6C" w14:textId="77777777" w:rsidTr="00657712">
        <w:tc>
          <w:tcPr>
            <w:tcW w:w="2835" w:type="dxa"/>
          </w:tcPr>
          <w:p w14:paraId="5CC56228" w14:textId="77777777" w:rsidR="00065C3C" w:rsidRPr="00065C3C" w:rsidRDefault="00DF506B" w:rsidP="00657712">
            <w:pPr>
              <w:rPr>
                <w:b/>
              </w:rPr>
            </w:pPr>
            <w:r w:rsidRPr="00065C3C">
              <w:rPr>
                <w:b/>
              </w:rPr>
              <w:t>XX_PVP</w:t>
            </w:r>
          </w:p>
          <w:p w14:paraId="1B537525" w14:textId="77777777" w:rsidR="00657712" w:rsidRPr="00120AB5" w:rsidRDefault="00DF506B" w:rsidP="00657712">
            <w:r>
              <w:t>VARIABLE PAY</w:t>
            </w:r>
          </w:p>
        </w:tc>
        <w:tc>
          <w:tcPr>
            <w:tcW w:w="6165" w:type="dxa"/>
          </w:tcPr>
          <w:p w14:paraId="6BC1D365" w14:textId="3D173F86" w:rsidR="00657712" w:rsidRPr="00E8436E" w:rsidRDefault="00657712" w:rsidP="00350454">
            <w:pPr>
              <w:ind w:left="72" w:right="72"/>
              <w:rPr>
                <w:sz w:val="20"/>
                <w:szCs w:val="20"/>
              </w:rPr>
            </w:pPr>
            <w:r w:rsidRPr="00E8436E">
              <w:rPr>
                <w:sz w:val="20"/>
                <w:szCs w:val="20"/>
              </w:rPr>
              <w:t xml:space="preserve">These are costs of </w:t>
            </w:r>
            <w:r w:rsidR="00DF506B" w:rsidRPr="00E8436E">
              <w:rPr>
                <w:sz w:val="20"/>
                <w:szCs w:val="20"/>
              </w:rPr>
              <w:t xml:space="preserve">the performance related </w:t>
            </w:r>
            <w:r w:rsidRPr="00E8436E">
              <w:rPr>
                <w:sz w:val="20"/>
                <w:szCs w:val="20"/>
              </w:rPr>
              <w:t>bonus</w:t>
            </w:r>
            <w:r w:rsidR="00DF506B" w:rsidRPr="00E8436E">
              <w:rPr>
                <w:sz w:val="20"/>
                <w:szCs w:val="20"/>
              </w:rPr>
              <w:t xml:space="preserve"> (incentive scheme)</w:t>
            </w:r>
            <w:r w:rsidRPr="00E8436E">
              <w:rPr>
                <w:sz w:val="20"/>
                <w:szCs w:val="20"/>
              </w:rPr>
              <w:t>, share scheme (excl</w:t>
            </w:r>
            <w:r w:rsidR="00350454">
              <w:rPr>
                <w:sz w:val="20"/>
                <w:szCs w:val="20"/>
              </w:rPr>
              <w:t xml:space="preserve">. </w:t>
            </w:r>
            <w:r w:rsidRPr="00E8436E">
              <w:rPr>
                <w:sz w:val="20"/>
                <w:szCs w:val="20"/>
              </w:rPr>
              <w:t xml:space="preserve">those internal share scheme charges communicated </w:t>
            </w:r>
            <w:r w:rsidR="00350454">
              <w:rPr>
                <w:sz w:val="20"/>
                <w:szCs w:val="20"/>
              </w:rPr>
              <w:t>on Interact</w:t>
            </w:r>
            <w:r w:rsidRPr="00E8436E">
              <w:rPr>
                <w:sz w:val="20"/>
                <w:szCs w:val="20"/>
              </w:rPr>
              <w:t xml:space="preserve">, which must continue to be reported in </w:t>
            </w:r>
            <w:r w:rsidR="00DF506B" w:rsidRPr="00E8436E">
              <w:rPr>
                <w:sz w:val="20"/>
                <w:szCs w:val="20"/>
              </w:rPr>
              <w:t xml:space="preserve">Share scheme </w:t>
            </w:r>
            <w:r w:rsidR="00350454">
              <w:rPr>
                <w:sz w:val="20"/>
                <w:szCs w:val="20"/>
              </w:rPr>
              <w:t xml:space="preserve">recharges expense/income P&amp;L </w:t>
            </w:r>
            <w:r w:rsidR="00DF506B" w:rsidRPr="00E8436E">
              <w:rPr>
                <w:sz w:val="20"/>
                <w:szCs w:val="20"/>
              </w:rPr>
              <w:t>Account</w:t>
            </w:r>
            <w:r w:rsidR="00350454">
              <w:rPr>
                <w:sz w:val="20"/>
                <w:szCs w:val="20"/>
              </w:rPr>
              <w:t>s</w:t>
            </w:r>
            <w:r w:rsidRPr="00E8436E">
              <w:rPr>
                <w:sz w:val="20"/>
                <w:szCs w:val="20"/>
              </w:rPr>
              <w:t>) and other collective one-off awards relating to individual or company performance.</w:t>
            </w:r>
            <w:r w:rsidR="00B13496">
              <w:t xml:space="preserve"> </w:t>
            </w:r>
          </w:p>
        </w:tc>
      </w:tr>
      <w:tr w:rsidR="00B13496" w:rsidRPr="001D2754" w14:paraId="730F8D8E" w14:textId="77777777" w:rsidTr="0081660E">
        <w:tc>
          <w:tcPr>
            <w:tcW w:w="9000" w:type="dxa"/>
            <w:gridSpan w:val="2"/>
          </w:tcPr>
          <w:p w14:paraId="2AEA2163" w14:textId="40C7B00A" w:rsidR="00B13496" w:rsidRPr="00E8436E" w:rsidRDefault="00B13496" w:rsidP="00350454">
            <w:pPr>
              <w:ind w:left="72" w:right="72"/>
              <w:rPr>
                <w:sz w:val="20"/>
                <w:szCs w:val="20"/>
              </w:rPr>
            </w:pPr>
            <w:r>
              <w:t xml:space="preserve">For further details related to Employment cost pls consult the attached presentation </w:t>
            </w:r>
            <w:r>
              <w:fldChar w:fldCharType="begin"/>
            </w:r>
            <w:r>
              <w:instrText xml:space="preserve"> LINK PowerPoint.Show.12 "C:\\GBS Finance - Europe\\CP&amp;A\\Other\\Black Book\\Headcount definitions 2021 v6.pptx" "" \a \p \f 0 </w:instrText>
            </w:r>
            <w:r>
              <w:fldChar w:fldCharType="separate"/>
            </w:r>
            <w:r>
              <w:object w:dxaOrig="1543" w:dyaOrig="1000" w14:anchorId="3FECC3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5pt" o:ole="">
                  <v:imagedata r:id="rId11" o:title=""/>
                </v:shape>
              </w:object>
            </w:r>
            <w:r>
              <w:fldChar w:fldCharType="end"/>
            </w:r>
          </w:p>
        </w:tc>
      </w:tr>
      <w:tr w:rsidR="00657712" w:rsidRPr="001D2754" w14:paraId="0F08A2F7" w14:textId="77777777" w:rsidTr="00A76631">
        <w:trPr>
          <w:trHeight w:val="1890"/>
        </w:trPr>
        <w:tc>
          <w:tcPr>
            <w:tcW w:w="2835" w:type="dxa"/>
          </w:tcPr>
          <w:p w14:paraId="427D471C" w14:textId="77777777" w:rsidR="00065C3C" w:rsidRPr="00065C3C" w:rsidRDefault="00DF506B" w:rsidP="00657712">
            <w:pPr>
              <w:rPr>
                <w:b/>
              </w:rPr>
            </w:pPr>
            <w:r w:rsidRPr="00065C3C">
              <w:rPr>
                <w:b/>
              </w:rPr>
              <w:t xml:space="preserve">XX_PTE </w:t>
            </w:r>
          </w:p>
          <w:p w14:paraId="5B1DC7A6" w14:textId="77777777" w:rsidR="00657712" w:rsidRPr="004C5E21" w:rsidRDefault="00DF506B" w:rsidP="00657712">
            <w:r>
              <w:t>TRAVEL &amp; ENTERTAINMENT</w:t>
            </w:r>
          </w:p>
        </w:tc>
        <w:tc>
          <w:tcPr>
            <w:tcW w:w="6165" w:type="dxa"/>
          </w:tcPr>
          <w:p w14:paraId="20811A47" w14:textId="77777777" w:rsidR="00657712" w:rsidRPr="00E8436E" w:rsidRDefault="00657712" w:rsidP="00657712">
            <w:pPr>
              <w:ind w:left="72" w:right="72"/>
              <w:rPr>
                <w:sz w:val="20"/>
                <w:szCs w:val="20"/>
              </w:rPr>
            </w:pPr>
            <w:r w:rsidRPr="00E8436E">
              <w:rPr>
                <w:sz w:val="20"/>
                <w:szCs w:val="20"/>
              </w:rPr>
              <w:t>Specifically, travel expenses will include overnight hotels, flights, meals, trains, taxis and parking whilst entertainment will include any costs related to entertaining BAT employees and customers. In addition conference facilities hire and associated entertainment.</w:t>
            </w:r>
          </w:p>
          <w:p w14:paraId="13D9C9A5" w14:textId="77777777" w:rsidR="00657712" w:rsidRPr="00E8436E" w:rsidRDefault="00657712" w:rsidP="00657712">
            <w:pPr>
              <w:ind w:left="72" w:right="72"/>
              <w:rPr>
                <w:sz w:val="20"/>
                <w:szCs w:val="20"/>
              </w:rPr>
            </w:pPr>
          </w:p>
          <w:p w14:paraId="25198D18" w14:textId="77777777" w:rsidR="00657712" w:rsidRDefault="00657712" w:rsidP="00350454">
            <w:pPr>
              <w:ind w:left="72" w:right="72"/>
              <w:rPr>
                <w:sz w:val="20"/>
                <w:szCs w:val="20"/>
              </w:rPr>
            </w:pPr>
            <w:r w:rsidRPr="00E8436E">
              <w:rPr>
                <w:sz w:val="20"/>
                <w:szCs w:val="20"/>
              </w:rPr>
              <w:t xml:space="preserve">This reflects all costs </w:t>
            </w:r>
            <w:r w:rsidR="00350454">
              <w:rPr>
                <w:sz w:val="20"/>
                <w:szCs w:val="20"/>
              </w:rPr>
              <w:t xml:space="preserve">associated with MICE (Meetings </w:t>
            </w:r>
            <w:r w:rsidRPr="00E8436E">
              <w:rPr>
                <w:sz w:val="20"/>
                <w:szCs w:val="20"/>
              </w:rPr>
              <w:t>and corporate entertainment) i.e. Global conferences, Functional conferences and meetings (including team building).</w:t>
            </w:r>
          </w:p>
          <w:p w14:paraId="60469680" w14:textId="77777777" w:rsidR="00A76631" w:rsidRPr="00E8436E" w:rsidRDefault="00A76631" w:rsidP="00350454">
            <w:pPr>
              <w:ind w:left="72" w:right="72"/>
              <w:rPr>
                <w:sz w:val="20"/>
                <w:szCs w:val="20"/>
              </w:rPr>
            </w:pPr>
          </w:p>
        </w:tc>
      </w:tr>
      <w:tr w:rsidR="00FF6A69" w:rsidRPr="001D2754" w14:paraId="58F891BE" w14:textId="77777777" w:rsidTr="00657712">
        <w:tc>
          <w:tcPr>
            <w:tcW w:w="2835" w:type="dxa"/>
          </w:tcPr>
          <w:p w14:paraId="596097E0" w14:textId="77777777" w:rsidR="00065C3C" w:rsidRDefault="00065C3C" w:rsidP="00DF506B">
            <w:pPr>
              <w:rPr>
                <w:lang w:eastAsia="zh-TW"/>
              </w:rPr>
            </w:pPr>
            <w:r w:rsidRPr="00065C3C">
              <w:rPr>
                <w:b/>
                <w:lang w:eastAsia="zh-TW"/>
              </w:rPr>
              <w:t>XX_PCO0450</w:t>
            </w:r>
            <w:r>
              <w:rPr>
                <w:lang w:eastAsia="zh-TW"/>
              </w:rPr>
              <w:t xml:space="preserve"> </w:t>
            </w:r>
          </w:p>
          <w:p w14:paraId="69AF446A" w14:textId="77777777" w:rsidR="00350454" w:rsidRDefault="00DF506B" w:rsidP="00DF506B">
            <w:pPr>
              <w:rPr>
                <w:lang w:eastAsia="zh-TW"/>
              </w:rPr>
            </w:pPr>
            <w:r>
              <w:rPr>
                <w:lang w:eastAsia="zh-TW"/>
              </w:rPr>
              <w:t>CONSULTING</w:t>
            </w:r>
          </w:p>
          <w:p w14:paraId="03E080C3" w14:textId="77777777" w:rsidR="00FF6A69" w:rsidRPr="00350454" w:rsidRDefault="00DF506B" w:rsidP="00657712">
            <w:pPr>
              <w:rPr>
                <w:lang w:eastAsia="zh-TW"/>
              </w:rPr>
            </w:pPr>
            <w:r>
              <w:rPr>
                <w:lang w:eastAsia="zh-TW"/>
              </w:rPr>
              <w:t>FEES</w:t>
            </w:r>
          </w:p>
        </w:tc>
        <w:tc>
          <w:tcPr>
            <w:tcW w:w="6165" w:type="dxa"/>
          </w:tcPr>
          <w:p w14:paraId="56B85BAE" w14:textId="77777777" w:rsidR="00E8436E" w:rsidRPr="00E8436E" w:rsidRDefault="00FF6A69" w:rsidP="00E8436E">
            <w:pPr>
              <w:ind w:left="72" w:right="72"/>
              <w:rPr>
                <w:sz w:val="20"/>
                <w:szCs w:val="20"/>
              </w:rPr>
            </w:pPr>
            <w:r w:rsidRPr="00E8436E">
              <w:rPr>
                <w:sz w:val="20"/>
                <w:szCs w:val="20"/>
              </w:rPr>
              <w:t>3rd Party services retained to deliver or develop specific business capabilities - o</w:t>
            </w:r>
            <w:r w:rsidR="00E8436E">
              <w:rPr>
                <w:sz w:val="20"/>
                <w:szCs w:val="20"/>
              </w:rPr>
              <w:t>ne-off / discretionary by nature.</w:t>
            </w:r>
          </w:p>
          <w:p w14:paraId="79A20DCE" w14:textId="77777777" w:rsidR="00FF6A69" w:rsidRPr="00366A72" w:rsidRDefault="00FF6A69" w:rsidP="00191ABB">
            <w:pPr>
              <w:ind w:right="72"/>
              <w:rPr>
                <w:i/>
                <w:highlight w:val="lightGray"/>
              </w:rPr>
            </w:pPr>
          </w:p>
        </w:tc>
      </w:tr>
      <w:tr w:rsidR="00FF6A69" w:rsidRPr="001D2754" w14:paraId="326B3728" w14:textId="77777777" w:rsidTr="00657712">
        <w:tc>
          <w:tcPr>
            <w:tcW w:w="2835" w:type="dxa"/>
          </w:tcPr>
          <w:p w14:paraId="52FC143E" w14:textId="77777777" w:rsidR="00065C3C" w:rsidRDefault="00065C3C" w:rsidP="00065C3C">
            <w:r w:rsidRPr="00065C3C">
              <w:rPr>
                <w:b/>
              </w:rPr>
              <w:t>XX_PPS</w:t>
            </w:r>
            <w:r>
              <w:t xml:space="preserve"> </w:t>
            </w:r>
          </w:p>
          <w:p w14:paraId="2BA16FC8" w14:textId="77777777" w:rsidR="00FF6A69" w:rsidRPr="005657C3" w:rsidRDefault="00065C3C" w:rsidP="00350454">
            <w:r>
              <w:t>PROFESSIONAL SERVICES</w:t>
            </w:r>
          </w:p>
        </w:tc>
        <w:tc>
          <w:tcPr>
            <w:tcW w:w="6165" w:type="dxa"/>
          </w:tcPr>
          <w:p w14:paraId="6B4A1CA7" w14:textId="77777777" w:rsidR="00FF6A69" w:rsidRPr="00E8436E" w:rsidRDefault="00FF6A69" w:rsidP="00657712">
            <w:pPr>
              <w:ind w:left="72" w:right="72"/>
              <w:rPr>
                <w:sz w:val="20"/>
                <w:szCs w:val="20"/>
              </w:rPr>
            </w:pPr>
            <w:r w:rsidRPr="00E8436E">
              <w:rPr>
                <w:sz w:val="20"/>
                <w:szCs w:val="20"/>
              </w:rPr>
              <w:t>Services bought in by the company to comply with Statutory Requirements or Local Legislation.</w:t>
            </w:r>
          </w:p>
          <w:p w14:paraId="153A1A12" w14:textId="77777777" w:rsidR="00FF6A69" w:rsidRPr="00E8436E" w:rsidRDefault="00FF6A69" w:rsidP="00657712">
            <w:pPr>
              <w:ind w:left="72" w:right="72"/>
              <w:rPr>
                <w:sz w:val="20"/>
                <w:szCs w:val="20"/>
              </w:rPr>
            </w:pPr>
          </w:p>
          <w:p w14:paraId="7106F17D" w14:textId="77777777" w:rsidR="00FF6A69" w:rsidRPr="00E8436E" w:rsidRDefault="00FF6A69" w:rsidP="00DF506B">
            <w:pPr>
              <w:ind w:right="72"/>
              <w:rPr>
                <w:sz w:val="20"/>
                <w:szCs w:val="20"/>
                <w:highlight w:val="yellow"/>
              </w:rPr>
            </w:pPr>
            <w:r w:rsidRPr="00E8436E">
              <w:rPr>
                <w:sz w:val="20"/>
                <w:szCs w:val="20"/>
              </w:rPr>
              <w:t xml:space="preserve"> </w:t>
            </w:r>
          </w:p>
        </w:tc>
      </w:tr>
      <w:tr w:rsidR="00FF6A69" w:rsidRPr="001D2754" w14:paraId="74144B53" w14:textId="77777777" w:rsidTr="00657712">
        <w:tc>
          <w:tcPr>
            <w:tcW w:w="2835" w:type="dxa"/>
          </w:tcPr>
          <w:p w14:paraId="562FBEFD" w14:textId="77777777" w:rsidR="00065C3C" w:rsidRPr="00065C3C" w:rsidRDefault="00065C3C" w:rsidP="0049225B">
            <w:pPr>
              <w:rPr>
                <w:b/>
              </w:rPr>
            </w:pPr>
            <w:r w:rsidRPr="00065C3C">
              <w:rPr>
                <w:b/>
              </w:rPr>
              <w:t xml:space="preserve">XX_PIT </w:t>
            </w:r>
          </w:p>
          <w:p w14:paraId="00BED85D" w14:textId="77777777" w:rsidR="00FF6A69" w:rsidRPr="00FF6A69" w:rsidRDefault="00065C3C" w:rsidP="0049225B">
            <w:r>
              <w:t>IT SERVICE CONTRACTS</w:t>
            </w:r>
          </w:p>
        </w:tc>
        <w:tc>
          <w:tcPr>
            <w:tcW w:w="6165" w:type="dxa"/>
          </w:tcPr>
          <w:p w14:paraId="347F2334" w14:textId="77777777" w:rsidR="006315C7" w:rsidRPr="00E8436E" w:rsidRDefault="006315C7" w:rsidP="006315C7">
            <w:pPr>
              <w:ind w:left="72" w:right="72"/>
              <w:rPr>
                <w:sz w:val="20"/>
                <w:szCs w:val="20"/>
              </w:rPr>
            </w:pPr>
            <w:r w:rsidRPr="00E8436E">
              <w:rPr>
                <w:sz w:val="20"/>
                <w:szCs w:val="20"/>
              </w:rPr>
              <w:t>3rd party costs relating to the Group's IT infrastructure &amp; processes including:</w:t>
            </w:r>
          </w:p>
          <w:p w14:paraId="0C765D4F" w14:textId="77777777" w:rsidR="006315C7" w:rsidRPr="00E8436E" w:rsidRDefault="006315C7" w:rsidP="006315C7">
            <w:pPr>
              <w:pStyle w:val="ListParagraph"/>
              <w:numPr>
                <w:ilvl w:val="0"/>
                <w:numId w:val="20"/>
              </w:numPr>
              <w:ind w:right="72"/>
              <w:rPr>
                <w:sz w:val="20"/>
                <w:szCs w:val="20"/>
              </w:rPr>
            </w:pPr>
            <w:r>
              <w:rPr>
                <w:sz w:val="20"/>
                <w:szCs w:val="20"/>
              </w:rPr>
              <w:t>Data Network</w:t>
            </w:r>
          </w:p>
          <w:p w14:paraId="33E64F64" w14:textId="77777777" w:rsidR="006315C7" w:rsidRPr="00E8436E" w:rsidRDefault="006315C7" w:rsidP="006315C7">
            <w:pPr>
              <w:pStyle w:val="ListParagraph"/>
              <w:numPr>
                <w:ilvl w:val="0"/>
                <w:numId w:val="20"/>
              </w:numPr>
              <w:ind w:right="72"/>
              <w:rPr>
                <w:sz w:val="20"/>
                <w:szCs w:val="20"/>
              </w:rPr>
            </w:pPr>
            <w:r>
              <w:rPr>
                <w:sz w:val="20"/>
                <w:szCs w:val="20"/>
              </w:rPr>
              <w:t>Voice Network</w:t>
            </w:r>
          </w:p>
          <w:p w14:paraId="25808D8D" w14:textId="77777777" w:rsidR="006315C7" w:rsidRPr="00E8436E" w:rsidRDefault="006315C7" w:rsidP="006315C7">
            <w:pPr>
              <w:pStyle w:val="ListParagraph"/>
              <w:numPr>
                <w:ilvl w:val="0"/>
                <w:numId w:val="20"/>
              </w:numPr>
              <w:ind w:right="72"/>
              <w:rPr>
                <w:sz w:val="20"/>
                <w:szCs w:val="20"/>
              </w:rPr>
            </w:pPr>
            <w:r>
              <w:rPr>
                <w:sz w:val="20"/>
                <w:szCs w:val="20"/>
              </w:rPr>
              <w:t>Data Centre</w:t>
            </w:r>
            <w:r w:rsidRPr="00E8436E">
              <w:rPr>
                <w:sz w:val="20"/>
                <w:szCs w:val="20"/>
              </w:rPr>
              <w:t xml:space="preserve"> Costs</w:t>
            </w:r>
          </w:p>
          <w:p w14:paraId="4FC330BA" w14:textId="77777777" w:rsidR="006315C7" w:rsidRDefault="006315C7" w:rsidP="006315C7">
            <w:pPr>
              <w:pStyle w:val="ListParagraph"/>
              <w:numPr>
                <w:ilvl w:val="0"/>
                <w:numId w:val="20"/>
              </w:numPr>
              <w:ind w:right="72"/>
              <w:rPr>
                <w:sz w:val="20"/>
                <w:szCs w:val="20"/>
              </w:rPr>
            </w:pPr>
            <w:r>
              <w:rPr>
                <w:sz w:val="20"/>
                <w:szCs w:val="20"/>
              </w:rPr>
              <w:t xml:space="preserve">Cloud </w:t>
            </w:r>
          </w:p>
          <w:p w14:paraId="0E31313E" w14:textId="77777777" w:rsidR="006315C7" w:rsidRDefault="006315C7" w:rsidP="006315C7">
            <w:pPr>
              <w:pStyle w:val="ListParagraph"/>
              <w:numPr>
                <w:ilvl w:val="0"/>
                <w:numId w:val="20"/>
              </w:numPr>
              <w:ind w:right="72"/>
              <w:rPr>
                <w:sz w:val="20"/>
                <w:szCs w:val="20"/>
              </w:rPr>
            </w:pPr>
            <w:r>
              <w:rPr>
                <w:sz w:val="20"/>
                <w:szCs w:val="20"/>
              </w:rPr>
              <w:t>IT Service Desks</w:t>
            </w:r>
          </w:p>
          <w:p w14:paraId="103AD545" w14:textId="77777777" w:rsidR="006315C7" w:rsidRPr="00E8436E" w:rsidRDefault="006315C7" w:rsidP="006315C7">
            <w:pPr>
              <w:pStyle w:val="ListParagraph"/>
              <w:numPr>
                <w:ilvl w:val="0"/>
                <w:numId w:val="20"/>
              </w:numPr>
              <w:ind w:right="72"/>
              <w:rPr>
                <w:sz w:val="20"/>
                <w:szCs w:val="20"/>
              </w:rPr>
            </w:pPr>
            <w:r>
              <w:rPr>
                <w:sz w:val="20"/>
                <w:szCs w:val="20"/>
              </w:rPr>
              <w:t>Application Development and Application support</w:t>
            </w:r>
          </w:p>
          <w:p w14:paraId="3C145EF4" w14:textId="77777777" w:rsidR="006315C7" w:rsidRDefault="006315C7" w:rsidP="006315C7">
            <w:pPr>
              <w:pStyle w:val="ListParagraph"/>
              <w:numPr>
                <w:ilvl w:val="0"/>
                <w:numId w:val="20"/>
              </w:numPr>
              <w:ind w:right="72"/>
              <w:rPr>
                <w:sz w:val="20"/>
                <w:szCs w:val="20"/>
              </w:rPr>
            </w:pPr>
            <w:r>
              <w:rPr>
                <w:sz w:val="20"/>
                <w:szCs w:val="20"/>
              </w:rPr>
              <w:t>IT Security Contracts</w:t>
            </w:r>
          </w:p>
          <w:p w14:paraId="748B9AE4" w14:textId="77777777" w:rsidR="006315C7" w:rsidRPr="00E8436E" w:rsidRDefault="006315C7" w:rsidP="006315C7">
            <w:pPr>
              <w:pStyle w:val="ListParagraph"/>
              <w:numPr>
                <w:ilvl w:val="0"/>
                <w:numId w:val="20"/>
              </w:numPr>
              <w:ind w:right="72"/>
              <w:rPr>
                <w:sz w:val="20"/>
                <w:szCs w:val="20"/>
              </w:rPr>
            </w:pPr>
            <w:r>
              <w:rPr>
                <w:sz w:val="20"/>
                <w:szCs w:val="20"/>
              </w:rPr>
              <w:t>End User computing</w:t>
            </w:r>
          </w:p>
          <w:p w14:paraId="2AC21E61" w14:textId="77777777" w:rsidR="000D79A5" w:rsidRPr="00350454" w:rsidRDefault="000D79A5" w:rsidP="006315C7">
            <w:pPr>
              <w:pStyle w:val="ListParagraph"/>
              <w:ind w:left="432" w:right="72"/>
              <w:rPr>
                <w:sz w:val="20"/>
                <w:szCs w:val="20"/>
              </w:rPr>
            </w:pPr>
          </w:p>
        </w:tc>
      </w:tr>
      <w:tr w:rsidR="003F6013" w:rsidRPr="001D2754" w14:paraId="756223B6" w14:textId="77777777" w:rsidTr="00657712">
        <w:tc>
          <w:tcPr>
            <w:tcW w:w="2835" w:type="dxa"/>
          </w:tcPr>
          <w:p w14:paraId="499A920F" w14:textId="77777777" w:rsidR="00065C3C" w:rsidRPr="00065C3C" w:rsidRDefault="00065C3C" w:rsidP="0049225B">
            <w:pPr>
              <w:rPr>
                <w:b/>
              </w:rPr>
            </w:pPr>
            <w:r w:rsidRPr="00065C3C">
              <w:rPr>
                <w:b/>
              </w:rPr>
              <w:t>XX_PTD</w:t>
            </w:r>
          </w:p>
          <w:p w14:paraId="49E21A4C" w14:textId="77777777" w:rsidR="003F6013" w:rsidRPr="00FF6A69" w:rsidRDefault="00065C3C" w:rsidP="0049225B">
            <w:pPr>
              <w:rPr>
                <w:strike/>
              </w:rPr>
            </w:pPr>
            <w:r>
              <w:t>TRAINING &amp; DEVELOPMENT</w:t>
            </w:r>
          </w:p>
        </w:tc>
        <w:tc>
          <w:tcPr>
            <w:tcW w:w="6165" w:type="dxa"/>
          </w:tcPr>
          <w:p w14:paraId="0217AF14" w14:textId="77777777" w:rsidR="003F6013" w:rsidRPr="00E8436E" w:rsidRDefault="003F6013" w:rsidP="00B23FDE">
            <w:pPr>
              <w:rPr>
                <w:sz w:val="20"/>
                <w:szCs w:val="20"/>
              </w:rPr>
            </w:pPr>
            <w:r w:rsidRPr="00E8436E">
              <w:rPr>
                <w:sz w:val="20"/>
                <w:szCs w:val="20"/>
              </w:rPr>
              <w:t>Any costs related to employee training and development which will consist of courses held internally and externally, any training fees paid to third parties (facilitators, course developers)</w:t>
            </w:r>
            <w:r w:rsidR="00350454">
              <w:rPr>
                <w:sz w:val="20"/>
                <w:szCs w:val="20"/>
              </w:rPr>
              <w:t>,</w:t>
            </w:r>
            <w:r w:rsidRPr="00E8436E">
              <w:rPr>
                <w:sz w:val="20"/>
                <w:szCs w:val="20"/>
              </w:rPr>
              <w:t xml:space="preserve"> self-study.</w:t>
            </w:r>
          </w:p>
          <w:p w14:paraId="61A44118" w14:textId="77777777" w:rsidR="003F6013" w:rsidRPr="00E8436E" w:rsidRDefault="003F6013" w:rsidP="00657712">
            <w:pPr>
              <w:ind w:left="72" w:right="72"/>
              <w:rPr>
                <w:sz w:val="20"/>
                <w:szCs w:val="20"/>
                <w:highlight w:val="yellow"/>
              </w:rPr>
            </w:pPr>
          </w:p>
        </w:tc>
      </w:tr>
      <w:tr w:rsidR="003F6013" w:rsidRPr="001D2754" w14:paraId="7BB294FC" w14:textId="77777777" w:rsidTr="00657712">
        <w:tc>
          <w:tcPr>
            <w:tcW w:w="2835" w:type="dxa"/>
          </w:tcPr>
          <w:p w14:paraId="510106D6" w14:textId="77777777" w:rsidR="00065C3C" w:rsidRPr="00065C3C" w:rsidRDefault="00065C3C" w:rsidP="00065C3C">
            <w:pPr>
              <w:rPr>
                <w:b/>
              </w:rPr>
            </w:pPr>
            <w:r w:rsidRPr="00065C3C">
              <w:rPr>
                <w:b/>
              </w:rPr>
              <w:t>XX_PRU</w:t>
            </w:r>
          </w:p>
          <w:p w14:paraId="2F701430" w14:textId="77777777" w:rsidR="00065C3C" w:rsidRDefault="00065C3C" w:rsidP="00065C3C">
            <w:r>
              <w:t>RENT &amp; UTILITIES</w:t>
            </w:r>
          </w:p>
          <w:p w14:paraId="79C3441C" w14:textId="77777777" w:rsidR="003F6013" w:rsidRPr="005657C3" w:rsidRDefault="003F6013" w:rsidP="0049225B"/>
        </w:tc>
        <w:tc>
          <w:tcPr>
            <w:tcW w:w="6165" w:type="dxa"/>
          </w:tcPr>
          <w:p w14:paraId="5318DBBC" w14:textId="77777777" w:rsidR="003F6013" w:rsidRPr="00350454" w:rsidRDefault="003F6013" w:rsidP="00350454">
            <w:pPr>
              <w:ind w:left="72" w:right="72"/>
              <w:rPr>
                <w:sz w:val="20"/>
                <w:szCs w:val="20"/>
              </w:rPr>
            </w:pPr>
            <w:r w:rsidRPr="00E8436E">
              <w:rPr>
                <w:sz w:val="20"/>
                <w:szCs w:val="20"/>
              </w:rPr>
              <w:t>Rent and Rates paid internally and externally along with gas, water, electricity, council and land taxes and waste services. If these services are provided by a central body, any recharges from this body need to be included here as well.</w:t>
            </w:r>
          </w:p>
        </w:tc>
      </w:tr>
      <w:tr w:rsidR="003F6013" w:rsidRPr="001D2754" w14:paraId="37333498" w14:textId="77777777" w:rsidTr="00657712">
        <w:tc>
          <w:tcPr>
            <w:tcW w:w="2835" w:type="dxa"/>
          </w:tcPr>
          <w:p w14:paraId="0D0A71A6" w14:textId="77777777" w:rsidR="00065C3C" w:rsidRPr="001A037F" w:rsidRDefault="00065C3C" w:rsidP="00065C3C">
            <w:pPr>
              <w:rPr>
                <w:sz w:val="22"/>
              </w:rPr>
            </w:pPr>
            <w:r w:rsidRPr="001A037F">
              <w:rPr>
                <w:b/>
                <w:sz w:val="22"/>
              </w:rPr>
              <w:lastRenderedPageBreak/>
              <w:t>XX_PDA</w:t>
            </w:r>
            <w:r w:rsidRPr="001A037F">
              <w:rPr>
                <w:sz w:val="22"/>
              </w:rPr>
              <w:t xml:space="preserve"> </w:t>
            </w:r>
          </w:p>
          <w:p w14:paraId="64B6A892" w14:textId="77777777" w:rsidR="003F6013" w:rsidRPr="004C5E21" w:rsidRDefault="00065C3C" w:rsidP="00065C3C">
            <w:r w:rsidRPr="001A037F">
              <w:rPr>
                <w:sz w:val="22"/>
              </w:rPr>
              <w:t>DEPRECIATION, AMORTISATION &amp; IMPAIRMENT</w:t>
            </w:r>
          </w:p>
        </w:tc>
        <w:tc>
          <w:tcPr>
            <w:tcW w:w="6165" w:type="dxa"/>
          </w:tcPr>
          <w:p w14:paraId="4E6DDCE1" w14:textId="77777777" w:rsidR="003F6013" w:rsidRPr="00E8436E" w:rsidRDefault="003F6013" w:rsidP="00657712">
            <w:pPr>
              <w:ind w:left="72" w:right="72"/>
              <w:rPr>
                <w:sz w:val="20"/>
                <w:szCs w:val="20"/>
              </w:rPr>
            </w:pPr>
            <w:r w:rsidRPr="00E8436E">
              <w:rPr>
                <w:sz w:val="20"/>
                <w:szCs w:val="20"/>
              </w:rPr>
              <w:t xml:space="preserve">Depreciation for tangible assets and amortization for intangible fixed assets. </w:t>
            </w:r>
          </w:p>
          <w:p w14:paraId="67BF7688" w14:textId="77777777" w:rsidR="003F6013" w:rsidRPr="00E8436E" w:rsidRDefault="003F6013" w:rsidP="00657712">
            <w:pPr>
              <w:ind w:left="72" w:right="72"/>
              <w:rPr>
                <w:sz w:val="20"/>
                <w:szCs w:val="20"/>
              </w:rPr>
            </w:pPr>
          </w:p>
        </w:tc>
      </w:tr>
      <w:tr w:rsidR="003F6013" w:rsidRPr="001D2754" w14:paraId="62A4A7C6" w14:textId="77777777" w:rsidTr="00657712">
        <w:tc>
          <w:tcPr>
            <w:tcW w:w="2835" w:type="dxa"/>
          </w:tcPr>
          <w:p w14:paraId="4275885B" w14:textId="77777777" w:rsidR="00065C3C" w:rsidRPr="00065C3C" w:rsidRDefault="00065C3C" w:rsidP="00657712">
            <w:pPr>
              <w:rPr>
                <w:b/>
              </w:rPr>
            </w:pPr>
            <w:r w:rsidRPr="00065C3C">
              <w:rPr>
                <w:b/>
              </w:rPr>
              <w:t xml:space="preserve">XX_PIN </w:t>
            </w:r>
          </w:p>
          <w:p w14:paraId="31FCDC6F" w14:textId="77777777" w:rsidR="003F6013" w:rsidRPr="004C5E21" w:rsidRDefault="00065C3C" w:rsidP="00657712">
            <w:r>
              <w:t>INSURANCE</w:t>
            </w:r>
          </w:p>
        </w:tc>
        <w:tc>
          <w:tcPr>
            <w:tcW w:w="6165" w:type="dxa"/>
          </w:tcPr>
          <w:p w14:paraId="4CA14BD7" w14:textId="77777777" w:rsidR="003F6013" w:rsidRPr="00E8436E" w:rsidRDefault="003F6013" w:rsidP="00657712">
            <w:pPr>
              <w:ind w:left="72" w:right="72"/>
              <w:rPr>
                <w:sz w:val="20"/>
                <w:szCs w:val="20"/>
              </w:rPr>
            </w:pPr>
            <w:r w:rsidRPr="00E8436E">
              <w:rPr>
                <w:sz w:val="20"/>
                <w:szCs w:val="20"/>
              </w:rPr>
              <w:t>The collection of all insurance costs (excluding employee related cover e.g. medical and death and disability).  This includes all insurance for buildings, land or site, outbound freight or goods and company/director liability.</w:t>
            </w:r>
          </w:p>
          <w:p w14:paraId="62E755D0" w14:textId="77777777" w:rsidR="00E8436E" w:rsidRDefault="0080546A" w:rsidP="00A76631">
            <w:pPr>
              <w:ind w:left="72" w:right="72"/>
              <w:rPr>
                <w:sz w:val="20"/>
                <w:szCs w:val="20"/>
              </w:rPr>
            </w:pPr>
            <w:r w:rsidRPr="00E8436E">
              <w:rPr>
                <w:sz w:val="20"/>
                <w:szCs w:val="20"/>
              </w:rPr>
              <w:t>This should exclude global insurance schemes recharged as T&amp;A.</w:t>
            </w:r>
          </w:p>
          <w:p w14:paraId="5FD3FD2E" w14:textId="77777777" w:rsidR="00A76631" w:rsidRPr="00E8436E" w:rsidRDefault="00A76631" w:rsidP="00E8436E">
            <w:pPr>
              <w:ind w:left="72" w:right="72"/>
              <w:rPr>
                <w:sz w:val="20"/>
                <w:szCs w:val="20"/>
              </w:rPr>
            </w:pPr>
          </w:p>
        </w:tc>
      </w:tr>
      <w:tr w:rsidR="003F6013" w:rsidRPr="001D2754" w14:paraId="7DD8559C" w14:textId="77777777" w:rsidTr="00657712">
        <w:tc>
          <w:tcPr>
            <w:tcW w:w="2835" w:type="dxa"/>
          </w:tcPr>
          <w:p w14:paraId="61C53D81" w14:textId="77777777" w:rsidR="00065C3C" w:rsidRDefault="00065C3C" w:rsidP="00065C3C">
            <w:pPr>
              <w:rPr>
                <w:b/>
                <w:lang w:eastAsia="zh-TW"/>
              </w:rPr>
            </w:pPr>
            <w:r w:rsidRPr="00065C3C">
              <w:rPr>
                <w:b/>
                <w:lang w:eastAsia="zh-TW"/>
              </w:rPr>
              <w:t xml:space="preserve">XX_PRM </w:t>
            </w:r>
          </w:p>
          <w:p w14:paraId="66D57140" w14:textId="77777777" w:rsidR="00065C3C" w:rsidRPr="00065C3C" w:rsidRDefault="00065C3C" w:rsidP="00065C3C">
            <w:pPr>
              <w:rPr>
                <w:b/>
                <w:lang w:eastAsia="zh-TW"/>
              </w:rPr>
            </w:pPr>
          </w:p>
          <w:p w14:paraId="6C2D59EA" w14:textId="47B9388A" w:rsidR="003F6013" w:rsidRPr="004C5E21" w:rsidRDefault="00065C3C" w:rsidP="00657712">
            <w:pPr>
              <w:rPr>
                <w:lang w:eastAsia="zh-TW"/>
              </w:rPr>
            </w:pPr>
            <w:r>
              <w:rPr>
                <w:lang w:eastAsia="zh-TW"/>
              </w:rPr>
              <w:t>REPAIRS &amp; MAINTENANCE</w:t>
            </w:r>
          </w:p>
        </w:tc>
        <w:tc>
          <w:tcPr>
            <w:tcW w:w="6165" w:type="dxa"/>
          </w:tcPr>
          <w:p w14:paraId="22DF6743" w14:textId="77777777" w:rsidR="003F6013" w:rsidRPr="00E8436E" w:rsidRDefault="003F6013" w:rsidP="00E8436E">
            <w:pPr>
              <w:ind w:left="72" w:right="72"/>
              <w:rPr>
                <w:sz w:val="20"/>
                <w:szCs w:val="20"/>
              </w:rPr>
            </w:pPr>
            <w:r w:rsidRPr="00E8436E">
              <w:rPr>
                <w:sz w:val="20"/>
                <w:szCs w:val="20"/>
              </w:rPr>
              <w:t>Any maintenance costs that are recorded as part of the other and central office overheads, including software maintenance.</w:t>
            </w:r>
          </w:p>
          <w:p w14:paraId="6F89358D" w14:textId="77777777" w:rsidR="003F6013" w:rsidRPr="00E8436E" w:rsidRDefault="003F6013" w:rsidP="00E8436E">
            <w:pPr>
              <w:ind w:left="72" w:right="72"/>
              <w:rPr>
                <w:sz w:val="20"/>
                <w:szCs w:val="20"/>
              </w:rPr>
            </w:pPr>
            <w:r w:rsidRPr="00A76631">
              <w:rPr>
                <w:b/>
                <w:i/>
                <w:sz w:val="20"/>
                <w:szCs w:val="20"/>
              </w:rPr>
              <w:t>IT Specific Guidance:</w:t>
            </w:r>
            <w:r w:rsidRPr="00E8436E">
              <w:rPr>
                <w:sz w:val="20"/>
                <w:szCs w:val="20"/>
              </w:rPr>
              <w:t xml:space="preserve"> Costs of license fees and other costs for maintenance of systems should be captured here. </w:t>
            </w:r>
          </w:p>
        </w:tc>
      </w:tr>
      <w:tr w:rsidR="003F6013" w:rsidRPr="001D2754" w14:paraId="3EF8F3AE" w14:textId="77777777" w:rsidTr="00657712">
        <w:tc>
          <w:tcPr>
            <w:tcW w:w="2835" w:type="dxa"/>
          </w:tcPr>
          <w:p w14:paraId="6F593762" w14:textId="77777777" w:rsidR="00065C3C" w:rsidRPr="00065C3C" w:rsidRDefault="00065C3C" w:rsidP="00065C3C">
            <w:pPr>
              <w:rPr>
                <w:b/>
              </w:rPr>
            </w:pPr>
            <w:r w:rsidRPr="00065C3C">
              <w:rPr>
                <w:b/>
              </w:rPr>
              <w:t>XX_PIR</w:t>
            </w:r>
          </w:p>
          <w:p w14:paraId="4CAE923A" w14:textId="77777777" w:rsidR="00065C3C" w:rsidRDefault="00065C3C" w:rsidP="00065C3C"/>
          <w:p w14:paraId="602C9D00" w14:textId="77777777" w:rsidR="00065C3C" w:rsidRDefault="00065C3C" w:rsidP="00065C3C">
            <w:r>
              <w:t>FUNCTIONAL INTERNAL RECHARGES</w:t>
            </w:r>
          </w:p>
          <w:p w14:paraId="2A8FF25A" w14:textId="77777777" w:rsidR="003F6013" w:rsidRPr="004C5E21" w:rsidRDefault="003F6013" w:rsidP="00657712"/>
        </w:tc>
        <w:tc>
          <w:tcPr>
            <w:tcW w:w="6165" w:type="dxa"/>
          </w:tcPr>
          <w:p w14:paraId="6F512901" w14:textId="77777777" w:rsidR="00065C3C" w:rsidRDefault="00065C3C" w:rsidP="000D0FA1">
            <w:pPr>
              <w:ind w:left="72" w:right="72"/>
              <w:rPr>
                <w:sz w:val="20"/>
                <w:szCs w:val="20"/>
              </w:rPr>
            </w:pPr>
            <w:r w:rsidRPr="00E8436E">
              <w:rPr>
                <w:sz w:val="20"/>
                <w:szCs w:val="20"/>
              </w:rPr>
              <w:t xml:space="preserve">Only for expenses recharged internally when they cannot be accounted for in any other category. </w:t>
            </w:r>
          </w:p>
          <w:p w14:paraId="179F020D" w14:textId="77777777" w:rsidR="00A76631" w:rsidRPr="00E8436E" w:rsidRDefault="00A76631" w:rsidP="000D0FA1">
            <w:pPr>
              <w:ind w:left="72" w:right="72"/>
              <w:rPr>
                <w:sz w:val="20"/>
                <w:szCs w:val="20"/>
              </w:rPr>
            </w:pPr>
          </w:p>
          <w:p w14:paraId="4A1E7BC6" w14:textId="77777777" w:rsidR="003F6013" w:rsidRPr="00E8436E" w:rsidRDefault="00065C3C" w:rsidP="000D0FA1">
            <w:pPr>
              <w:ind w:left="72" w:right="72"/>
              <w:rPr>
                <w:sz w:val="20"/>
                <w:szCs w:val="20"/>
              </w:rPr>
            </w:pPr>
            <w:r w:rsidRPr="00E8436E">
              <w:rPr>
                <w:sz w:val="20"/>
                <w:szCs w:val="20"/>
              </w:rPr>
              <w:t>This category should not be used until agreed with counterparty to report the same figure with opposite sign and only for particular cases.</w:t>
            </w:r>
          </w:p>
          <w:p w14:paraId="0E7F269C" w14:textId="77777777" w:rsidR="00065C3C" w:rsidRPr="00E8436E" w:rsidRDefault="00065C3C" w:rsidP="000D0FA1">
            <w:pPr>
              <w:ind w:left="72" w:right="72"/>
              <w:rPr>
                <w:sz w:val="20"/>
                <w:szCs w:val="20"/>
              </w:rPr>
            </w:pPr>
            <w:r w:rsidRPr="00E8436E">
              <w:rPr>
                <w:sz w:val="20"/>
                <w:szCs w:val="20"/>
              </w:rPr>
              <w:t>When arrange the recharge, the “owner/driver” concept must be followed: “owner” recognises the costs as overheads and should be allocate</w:t>
            </w:r>
            <w:r w:rsidR="007D3522">
              <w:rPr>
                <w:sz w:val="20"/>
                <w:szCs w:val="20"/>
              </w:rPr>
              <w:t>d</w:t>
            </w:r>
            <w:r w:rsidRPr="00E8436E">
              <w:rPr>
                <w:sz w:val="20"/>
                <w:szCs w:val="20"/>
              </w:rPr>
              <w:t xml:space="preserve"> the recharge in XX_PIR</w:t>
            </w:r>
            <w:r w:rsidR="00627439" w:rsidRPr="00E8436E">
              <w:rPr>
                <w:sz w:val="20"/>
                <w:szCs w:val="20"/>
              </w:rPr>
              <w:t>, if receive the recharge as service, “driver” is allowed to allocate the internal recharge in XX_PIR</w:t>
            </w:r>
            <w:r w:rsidR="00A76631">
              <w:rPr>
                <w:sz w:val="20"/>
                <w:szCs w:val="20"/>
              </w:rPr>
              <w:t>.</w:t>
            </w:r>
          </w:p>
        </w:tc>
      </w:tr>
      <w:tr w:rsidR="003F6013" w:rsidRPr="001D2754" w14:paraId="46A7D3FC" w14:textId="77777777" w:rsidTr="00657712">
        <w:tc>
          <w:tcPr>
            <w:tcW w:w="2835" w:type="dxa"/>
          </w:tcPr>
          <w:p w14:paraId="6FA93F36" w14:textId="77777777" w:rsidR="00065C3C" w:rsidRPr="00065C3C" w:rsidRDefault="00065C3C" w:rsidP="00065C3C">
            <w:pPr>
              <w:rPr>
                <w:b/>
              </w:rPr>
            </w:pPr>
            <w:r w:rsidRPr="00065C3C">
              <w:rPr>
                <w:b/>
              </w:rPr>
              <w:t xml:space="preserve">XX_POT </w:t>
            </w:r>
          </w:p>
          <w:p w14:paraId="4AEAF520" w14:textId="77777777" w:rsidR="00065C3C" w:rsidRDefault="00065C3C" w:rsidP="00065C3C"/>
          <w:p w14:paraId="32CAA5DE" w14:textId="77777777" w:rsidR="00065C3C" w:rsidRDefault="00065C3C" w:rsidP="00065C3C">
            <w:r>
              <w:t>OTHER</w:t>
            </w:r>
          </w:p>
          <w:p w14:paraId="2349F5F0" w14:textId="77777777" w:rsidR="003F6013" w:rsidRPr="004C5E21" w:rsidRDefault="003F6013" w:rsidP="00657712"/>
        </w:tc>
        <w:tc>
          <w:tcPr>
            <w:tcW w:w="6165" w:type="dxa"/>
          </w:tcPr>
          <w:p w14:paraId="676CCC2E" w14:textId="77777777" w:rsidR="00A76631" w:rsidRDefault="003F6013" w:rsidP="00E8436E">
            <w:pPr>
              <w:ind w:left="72" w:right="72"/>
              <w:rPr>
                <w:sz w:val="20"/>
                <w:szCs w:val="20"/>
              </w:rPr>
            </w:pPr>
            <w:r w:rsidRPr="00E8436E">
              <w:rPr>
                <w:sz w:val="20"/>
                <w:szCs w:val="20"/>
              </w:rPr>
              <w:t xml:space="preserve">Any costs that do not fall into any of the categories above. </w:t>
            </w:r>
          </w:p>
          <w:p w14:paraId="53E1F24D" w14:textId="77777777" w:rsidR="003F6013" w:rsidRDefault="003F6013" w:rsidP="00E8436E">
            <w:pPr>
              <w:ind w:left="72" w:right="72"/>
              <w:rPr>
                <w:sz w:val="20"/>
                <w:szCs w:val="20"/>
              </w:rPr>
            </w:pPr>
            <w:r w:rsidRPr="00E8436E">
              <w:rPr>
                <w:sz w:val="20"/>
                <w:szCs w:val="20"/>
              </w:rPr>
              <w:t xml:space="preserve">However this should not be a ‘dumping ground’ – only costs that are </w:t>
            </w:r>
            <w:r w:rsidRPr="00E8436E">
              <w:rPr>
                <w:b/>
                <w:sz w:val="20"/>
                <w:szCs w:val="20"/>
              </w:rPr>
              <w:t>not</w:t>
            </w:r>
            <w:r w:rsidRPr="00E8436E">
              <w:rPr>
                <w:sz w:val="20"/>
                <w:szCs w:val="20"/>
              </w:rPr>
              <w:t xml:space="preserve"> related to any heading above should be captured here.</w:t>
            </w:r>
          </w:p>
          <w:p w14:paraId="1E195BE7" w14:textId="77777777" w:rsidR="00A76631" w:rsidRPr="00B13496" w:rsidRDefault="00A76631" w:rsidP="00E8436E">
            <w:pPr>
              <w:ind w:left="72" w:right="72"/>
              <w:rPr>
                <w:sz w:val="10"/>
                <w:szCs w:val="10"/>
              </w:rPr>
            </w:pPr>
          </w:p>
          <w:p w14:paraId="4DE75DEC" w14:textId="77777777" w:rsidR="003F6013" w:rsidRPr="00E8436E" w:rsidRDefault="003F6013" w:rsidP="00657712">
            <w:pPr>
              <w:ind w:left="72" w:right="72"/>
              <w:rPr>
                <w:sz w:val="20"/>
                <w:szCs w:val="20"/>
              </w:rPr>
            </w:pPr>
            <w:r w:rsidRPr="00E8436E">
              <w:rPr>
                <w:sz w:val="20"/>
                <w:szCs w:val="20"/>
              </w:rPr>
              <w:t>Examples of other costs include:</w:t>
            </w:r>
          </w:p>
          <w:p w14:paraId="400AF8A2" w14:textId="77777777" w:rsidR="003F6013" w:rsidRPr="00E8436E" w:rsidRDefault="003F6013" w:rsidP="00657712">
            <w:pPr>
              <w:ind w:left="72" w:right="72"/>
              <w:rPr>
                <w:sz w:val="20"/>
                <w:szCs w:val="20"/>
              </w:rPr>
            </w:pPr>
            <w:r w:rsidRPr="00E8436E">
              <w:rPr>
                <w:sz w:val="20"/>
                <w:szCs w:val="20"/>
              </w:rPr>
              <w:t>- donations, sponsorship, charity fees</w:t>
            </w:r>
          </w:p>
          <w:p w14:paraId="7FF126C7" w14:textId="77777777" w:rsidR="003F6013" w:rsidRPr="00E8436E" w:rsidRDefault="003F6013" w:rsidP="00657712">
            <w:pPr>
              <w:ind w:left="72" w:right="72"/>
              <w:rPr>
                <w:sz w:val="20"/>
                <w:szCs w:val="20"/>
              </w:rPr>
            </w:pPr>
            <w:r w:rsidRPr="00E8436E">
              <w:rPr>
                <w:sz w:val="20"/>
                <w:szCs w:val="20"/>
              </w:rPr>
              <w:t>- stationary, office supplies, couriers</w:t>
            </w:r>
          </w:p>
          <w:p w14:paraId="6169AEE1" w14:textId="77777777" w:rsidR="003F6013" w:rsidRPr="00E8436E" w:rsidRDefault="003F6013" w:rsidP="00657712">
            <w:pPr>
              <w:ind w:left="72" w:right="72"/>
              <w:rPr>
                <w:sz w:val="20"/>
                <w:szCs w:val="20"/>
              </w:rPr>
            </w:pPr>
            <w:r w:rsidRPr="00E8436E">
              <w:rPr>
                <w:sz w:val="20"/>
                <w:szCs w:val="20"/>
              </w:rPr>
              <w:t>- bank fees, charges and guarantees</w:t>
            </w:r>
          </w:p>
          <w:p w14:paraId="2E66E10E" w14:textId="77777777" w:rsidR="003F6013" w:rsidRDefault="003F6013" w:rsidP="00657712">
            <w:pPr>
              <w:ind w:left="72" w:right="72"/>
              <w:rPr>
                <w:sz w:val="20"/>
                <w:szCs w:val="20"/>
              </w:rPr>
            </w:pPr>
            <w:r w:rsidRPr="00E8436E">
              <w:rPr>
                <w:sz w:val="20"/>
                <w:szCs w:val="20"/>
              </w:rPr>
              <w:t>- write-offs</w:t>
            </w:r>
          </w:p>
          <w:p w14:paraId="3BD49E78" w14:textId="77777777" w:rsidR="00A76631" w:rsidRPr="00B13496" w:rsidRDefault="00A76631" w:rsidP="00657712">
            <w:pPr>
              <w:ind w:left="72" w:right="72"/>
              <w:rPr>
                <w:sz w:val="10"/>
                <w:szCs w:val="10"/>
              </w:rPr>
            </w:pPr>
          </w:p>
          <w:p w14:paraId="66D026E6" w14:textId="77777777" w:rsidR="00065C3C" w:rsidRDefault="00065C3C" w:rsidP="00E507B7">
            <w:pPr>
              <w:ind w:left="72" w:right="72"/>
              <w:rPr>
                <w:sz w:val="20"/>
                <w:szCs w:val="20"/>
              </w:rPr>
            </w:pPr>
            <w:r w:rsidRPr="00E8436E">
              <w:rPr>
                <w:sz w:val="20"/>
                <w:szCs w:val="20"/>
              </w:rPr>
              <w:t xml:space="preserve">More granularity </w:t>
            </w:r>
            <w:r w:rsidR="00E507B7">
              <w:rPr>
                <w:sz w:val="20"/>
                <w:szCs w:val="20"/>
              </w:rPr>
              <w:t xml:space="preserve">of XX_POT </w:t>
            </w:r>
            <w:r w:rsidRPr="00E8436E">
              <w:rPr>
                <w:sz w:val="20"/>
                <w:szCs w:val="20"/>
              </w:rPr>
              <w:t xml:space="preserve">is provided </w:t>
            </w:r>
            <w:r w:rsidR="00E507B7">
              <w:rPr>
                <w:sz w:val="20"/>
                <w:szCs w:val="20"/>
              </w:rPr>
              <w:t>in BPC</w:t>
            </w:r>
          </w:p>
          <w:p w14:paraId="5A71466E" w14:textId="77777777" w:rsidR="00E507B7" w:rsidRPr="00B13496" w:rsidRDefault="00E507B7" w:rsidP="00E507B7">
            <w:pPr>
              <w:ind w:left="72" w:right="72"/>
              <w:rPr>
                <w:sz w:val="10"/>
                <w:szCs w:val="10"/>
                <w:lang w:val="en-US"/>
              </w:rPr>
            </w:pPr>
          </w:p>
        </w:tc>
      </w:tr>
      <w:tr w:rsidR="003F6013" w:rsidRPr="001D2754" w14:paraId="7AE6CEF0" w14:textId="77777777" w:rsidTr="00657712">
        <w:tc>
          <w:tcPr>
            <w:tcW w:w="2835" w:type="dxa"/>
          </w:tcPr>
          <w:p w14:paraId="2F7C4536" w14:textId="77777777" w:rsidR="00065C3C" w:rsidRPr="00065C3C" w:rsidRDefault="00065C3C" w:rsidP="00657712">
            <w:pPr>
              <w:rPr>
                <w:b/>
              </w:rPr>
            </w:pPr>
            <w:r w:rsidRPr="00065C3C">
              <w:rPr>
                <w:b/>
              </w:rPr>
              <w:t xml:space="preserve">XX_PFR </w:t>
            </w:r>
          </w:p>
          <w:p w14:paraId="4D77FA37" w14:textId="77777777" w:rsidR="00065C3C" w:rsidRDefault="00065C3C" w:rsidP="00657712"/>
          <w:p w14:paraId="0EC6E268" w14:textId="77777777" w:rsidR="003F6013" w:rsidRPr="00120AB5" w:rsidRDefault="00065C3C" w:rsidP="00657712">
            <w:r>
              <w:t>FREIGHT COSTS</w:t>
            </w:r>
          </w:p>
        </w:tc>
        <w:tc>
          <w:tcPr>
            <w:tcW w:w="6165" w:type="dxa"/>
          </w:tcPr>
          <w:p w14:paraId="7EE85BC3" w14:textId="77777777" w:rsidR="003F6013" w:rsidRPr="00E8436E" w:rsidRDefault="003F6013" w:rsidP="00FF6A69">
            <w:pPr>
              <w:ind w:left="72" w:right="72"/>
              <w:rPr>
                <w:sz w:val="20"/>
                <w:szCs w:val="20"/>
              </w:rPr>
            </w:pPr>
            <w:r w:rsidRPr="00E8436E">
              <w:rPr>
                <w:sz w:val="20"/>
                <w:szCs w:val="20"/>
              </w:rPr>
              <w:t xml:space="preserve">Freight element of SSC costs. </w:t>
            </w:r>
          </w:p>
          <w:p w14:paraId="33153995" w14:textId="77777777" w:rsidR="00065C3C" w:rsidRPr="00E8436E" w:rsidRDefault="00065C3C" w:rsidP="00FF6A69">
            <w:pPr>
              <w:ind w:left="72" w:right="72"/>
              <w:rPr>
                <w:sz w:val="20"/>
                <w:szCs w:val="20"/>
              </w:rPr>
            </w:pPr>
          </w:p>
          <w:p w14:paraId="504ED8C7" w14:textId="77777777" w:rsidR="003F6013" w:rsidRPr="00E8436E" w:rsidRDefault="003F6013" w:rsidP="00FF6A69">
            <w:pPr>
              <w:ind w:left="72" w:right="72"/>
              <w:rPr>
                <w:sz w:val="20"/>
                <w:szCs w:val="20"/>
              </w:rPr>
            </w:pPr>
            <w:r w:rsidRPr="00E8436E">
              <w:rPr>
                <w:sz w:val="20"/>
                <w:szCs w:val="20"/>
              </w:rPr>
              <w:t>All transportation costs of moving goods though the secondary supply chain.</w:t>
            </w:r>
          </w:p>
          <w:p w14:paraId="7BDF275A" w14:textId="77777777" w:rsidR="003F6013" w:rsidRPr="00E8436E" w:rsidRDefault="003F6013" w:rsidP="00FF6A69">
            <w:pPr>
              <w:ind w:left="72" w:right="72"/>
              <w:rPr>
                <w:sz w:val="20"/>
                <w:szCs w:val="20"/>
              </w:rPr>
            </w:pPr>
          </w:p>
          <w:p w14:paraId="3AF59877" w14:textId="77777777" w:rsidR="00BA2889" w:rsidRPr="00E8436E" w:rsidRDefault="003F6013" w:rsidP="00E8436E">
            <w:pPr>
              <w:ind w:left="72" w:right="72"/>
              <w:rPr>
                <w:sz w:val="20"/>
                <w:szCs w:val="20"/>
              </w:rPr>
            </w:pPr>
            <w:r w:rsidRPr="00E8436E">
              <w:rPr>
                <w:sz w:val="20"/>
                <w:szCs w:val="20"/>
              </w:rPr>
              <w:t xml:space="preserve">Costs associated with the relocation of IA’s should </w:t>
            </w:r>
            <w:r w:rsidRPr="00E8436E">
              <w:rPr>
                <w:b/>
                <w:sz w:val="20"/>
                <w:szCs w:val="20"/>
              </w:rPr>
              <w:t>not</w:t>
            </w:r>
            <w:r w:rsidRPr="00E8436E">
              <w:rPr>
                <w:sz w:val="20"/>
                <w:szCs w:val="20"/>
              </w:rPr>
              <w:t xml:space="preserve"> be captured here.  </w:t>
            </w:r>
          </w:p>
        </w:tc>
      </w:tr>
      <w:tr w:rsidR="00BA2889" w:rsidRPr="001D2754" w14:paraId="31782EA5" w14:textId="77777777" w:rsidTr="00657712">
        <w:tc>
          <w:tcPr>
            <w:tcW w:w="2835" w:type="dxa"/>
          </w:tcPr>
          <w:p w14:paraId="039DD8DC" w14:textId="77777777" w:rsidR="00BA2889" w:rsidRDefault="00BA2889" w:rsidP="00657712">
            <w:pPr>
              <w:rPr>
                <w:b/>
              </w:rPr>
            </w:pPr>
            <w:r>
              <w:rPr>
                <w:b/>
              </w:rPr>
              <w:t xml:space="preserve">XX_PFL </w:t>
            </w:r>
          </w:p>
          <w:p w14:paraId="59951336" w14:textId="77777777" w:rsidR="00BA2889" w:rsidRDefault="00BA2889" w:rsidP="00657712">
            <w:pPr>
              <w:rPr>
                <w:b/>
              </w:rPr>
            </w:pPr>
          </w:p>
          <w:p w14:paraId="470EEDA9" w14:textId="77777777" w:rsidR="00BA2889" w:rsidRPr="00BA2889" w:rsidRDefault="00BA2889" w:rsidP="00657712">
            <w:r>
              <w:t xml:space="preserve">FLEET </w:t>
            </w:r>
          </w:p>
        </w:tc>
        <w:tc>
          <w:tcPr>
            <w:tcW w:w="6165" w:type="dxa"/>
          </w:tcPr>
          <w:p w14:paraId="22C04D94" w14:textId="77777777" w:rsidR="00E8436E" w:rsidRPr="00E8436E" w:rsidRDefault="00403CEE" w:rsidP="00FF6A69">
            <w:pPr>
              <w:ind w:left="72" w:right="72"/>
              <w:rPr>
                <w:sz w:val="20"/>
                <w:szCs w:val="20"/>
              </w:rPr>
            </w:pPr>
            <w:r w:rsidRPr="00E8436E">
              <w:rPr>
                <w:sz w:val="20"/>
                <w:szCs w:val="20"/>
              </w:rPr>
              <w:t>The costs related to company fleet (includes pool motor vehicles, forklift trucks, delivery vehicles etc</w:t>
            </w:r>
            <w:r w:rsidR="00FB1661">
              <w:rPr>
                <w:sz w:val="20"/>
                <w:szCs w:val="20"/>
              </w:rPr>
              <w:t>.</w:t>
            </w:r>
            <w:r w:rsidRPr="00E8436E">
              <w:rPr>
                <w:sz w:val="20"/>
                <w:szCs w:val="20"/>
              </w:rPr>
              <w:t xml:space="preserve">) </w:t>
            </w:r>
          </w:p>
          <w:p w14:paraId="466CF0CB" w14:textId="77777777" w:rsidR="00BA2889" w:rsidRPr="00E8436E" w:rsidRDefault="00403CEE" w:rsidP="00FF6A69">
            <w:pPr>
              <w:ind w:left="72" w:right="72"/>
              <w:rPr>
                <w:sz w:val="20"/>
                <w:szCs w:val="20"/>
              </w:rPr>
            </w:pPr>
            <w:r w:rsidRPr="00E8436E">
              <w:rPr>
                <w:sz w:val="20"/>
                <w:szCs w:val="20"/>
              </w:rPr>
              <w:t>Excludes company vehicle offered as a benefit as part of employment package accounted for under staff costs.</w:t>
            </w:r>
          </w:p>
          <w:p w14:paraId="5C5E8744" w14:textId="77777777" w:rsidR="00E8436E" w:rsidRPr="00E8436E" w:rsidRDefault="00E8436E" w:rsidP="00E8436E">
            <w:pPr>
              <w:ind w:left="72" w:right="72"/>
              <w:rPr>
                <w:sz w:val="20"/>
                <w:szCs w:val="20"/>
              </w:rPr>
            </w:pPr>
          </w:p>
        </w:tc>
      </w:tr>
      <w:tr w:rsidR="003F6013" w:rsidRPr="001D2754" w14:paraId="3CC52FFE" w14:textId="77777777" w:rsidTr="00E8436E">
        <w:trPr>
          <w:trHeight w:val="1113"/>
        </w:trPr>
        <w:tc>
          <w:tcPr>
            <w:tcW w:w="2835" w:type="dxa"/>
          </w:tcPr>
          <w:p w14:paraId="6AA23BD7" w14:textId="77777777" w:rsidR="00065C3C" w:rsidRPr="00065C3C" w:rsidRDefault="00065C3C" w:rsidP="00065C3C">
            <w:pPr>
              <w:rPr>
                <w:b/>
                <w:lang w:eastAsia="zh-TW"/>
              </w:rPr>
            </w:pPr>
            <w:r w:rsidRPr="00065C3C">
              <w:rPr>
                <w:b/>
                <w:lang w:eastAsia="zh-TW"/>
              </w:rPr>
              <w:t xml:space="preserve">XX_PRE </w:t>
            </w:r>
          </w:p>
          <w:p w14:paraId="6CDEA761" w14:textId="77777777" w:rsidR="00065C3C" w:rsidRDefault="00065C3C" w:rsidP="00065C3C">
            <w:pPr>
              <w:rPr>
                <w:lang w:eastAsia="zh-TW"/>
              </w:rPr>
            </w:pPr>
          </w:p>
          <w:p w14:paraId="7F62A6DD" w14:textId="1809FA49" w:rsidR="003F6013" w:rsidRPr="005657C3" w:rsidRDefault="00065C3C" w:rsidP="00657712">
            <w:pPr>
              <w:rPr>
                <w:lang w:eastAsia="zh-TW"/>
              </w:rPr>
            </w:pPr>
            <w:proofErr w:type="gramStart"/>
            <w:r>
              <w:rPr>
                <w:lang w:eastAsia="zh-TW"/>
              </w:rPr>
              <w:t>NON BRANDED</w:t>
            </w:r>
            <w:proofErr w:type="gramEnd"/>
            <w:r>
              <w:rPr>
                <w:lang w:eastAsia="zh-TW"/>
              </w:rPr>
              <w:t xml:space="preserve"> RESEARCH </w:t>
            </w:r>
          </w:p>
        </w:tc>
        <w:tc>
          <w:tcPr>
            <w:tcW w:w="6165" w:type="dxa"/>
          </w:tcPr>
          <w:p w14:paraId="06A86838" w14:textId="77777777" w:rsidR="003F6013" w:rsidRPr="00E8436E" w:rsidRDefault="003F6013" w:rsidP="00FF6A69">
            <w:pPr>
              <w:tabs>
                <w:tab w:val="left" w:pos="5040"/>
                <w:tab w:val="left" w:pos="5760"/>
              </w:tabs>
              <w:ind w:left="72" w:right="72"/>
              <w:rPr>
                <w:sz w:val="20"/>
                <w:szCs w:val="20"/>
              </w:rPr>
            </w:pPr>
            <w:r w:rsidRPr="00E8436E">
              <w:rPr>
                <w:sz w:val="20"/>
                <w:szCs w:val="20"/>
              </w:rPr>
              <w:t xml:space="preserve">Non brand specific research costs such as AC Nielsen, Oracle Tracker etc. </w:t>
            </w:r>
          </w:p>
          <w:p w14:paraId="05B2F09B" w14:textId="77777777" w:rsidR="003F6013" w:rsidRPr="00E8436E" w:rsidRDefault="003F6013" w:rsidP="00E8436E">
            <w:pPr>
              <w:tabs>
                <w:tab w:val="left" w:pos="5040"/>
                <w:tab w:val="left" w:pos="5760"/>
              </w:tabs>
              <w:ind w:left="72" w:right="72"/>
              <w:rPr>
                <w:sz w:val="20"/>
                <w:szCs w:val="20"/>
              </w:rPr>
            </w:pPr>
            <w:r w:rsidRPr="00E8436E">
              <w:rPr>
                <w:sz w:val="20"/>
                <w:szCs w:val="20"/>
              </w:rPr>
              <w:t>Development costs including product, packaging &amp; creative development</w:t>
            </w:r>
            <w:r w:rsidR="00E8436E" w:rsidRPr="00E8436E">
              <w:rPr>
                <w:sz w:val="20"/>
                <w:szCs w:val="20"/>
              </w:rPr>
              <w:t>.</w:t>
            </w:r>
          </w:p>
        </w:tc>
      </w:tr>
      <w:tr w:rsidR="003F6013" w:rsidRPr="001D2754" w14:paraId="3D65A668" w14:textId="77777777" w:rsidTr="00657712">
        <w:tc>
          <w:tcPr>
            <w:tcW w:w="2835" w:type="dxa"/>
          </w:tcPr>
          <w:p w14:paraId="73CEFA43" w14:textId="77777777" w:rsidR="00065C3C" w:rsidRPr="00065C3C" w:rsidRDefault="00E8436E" w:rsidP="00657712">
            <w:pPr>
              <w:rPr>
                <w:b/>
              </w:rPr>
            </w:pPr>
            <w:r>
              <w:rPr>
                <w:b/>
              </w:rPr>
              <w:t>XX_PCO0480</w:t>
            </w:r>
          </w:p>
          <w:p w14:paraId="6663D81F" w14:textId="77777777" w:rsidR="00065C3C" w:rsidRDefault="00065C3C" w:rsidP="00657712"/>
          <w:p w14:paraId="1F66F9CD" w14:textId="77777777" w:rsidR="003F6013" w:rsidRPr="004C5E21" w:rsidRDefault="00065C3C" w:rsidP="00657712">
            <w:r>
              <w:t>AGENCY FEE</w:t>
            </w:r>
          </w:p>
        </w:tc>
        <w:tc>
          <w:tcPr>
            <w:tcW w:w="6165" w:type="dxa"/>
          </w:tcPr>
          <w:p w14:paraId="4C89ED76" w14:textId="77777777" w:rsidR="003F6013" w:rsidRPr="00E8436E" w:rsidRDefault="003F6013" w:rsidP="00E8436E">
            <w:pPr>
              <w:tabs>
                <w:tab w:val="left" w:pos="5040"/>
                <w:tab w:val="left" w:pos="5760"/>
              </w:tabs>
              <w:ind w:left="72" w:right="72"/>
              <w:rPr>
                <w:sz w:val="20"/>
                <w:szCs w:val="20"/>
              </w:rPr>
            </w:pPr>
            <w:r w:rsidRPr="00E8436E">
              <w:rPr>
                <w:sz w:val="20"/>
                <w:szCs w:val="20"/>
              </w:rPr>
              <w:t>Non</w:t>
            </w:r>
            <w:r w:rsidR="007D3522">
              <w:rPr>
                <w:sz w:val="20"/>
                <w:szCs w:val="20"/>
              </w:rPr>
              <w:t>-</w:t>
            </w:r>
            <w:r w:rsidRPr="00E8436E">
              <w:rPr>
                <w:sz w:val="20"/>
                <w:szCs w:val="20"/>
              </w:rPr>
              <w:t xml:space="preserve">brand specific Agency Fee.  </w:t>
            </w:r>
          </w:p>
          <w:p w14:paraId="6267A65A" w14:textId="77777777" w:rsidR="003F6013" w:rsidRPr="00E8436E" w:rsidRDefault="003F6013" w:rsidP="00FF6A69">
            <w:pPr>
              <w:tabs>
                <w:tab w:val="left" w:pos="5040"/>
                <w:tab w:val="left" w:pos="5760"/>
              </w:tabs>
              <w:ind w:left="72" w:right="72"/>
              <w:rPr>
                <w:sz w:val="20"/>
                <w:szCs w:val="20"/>
              </w:rPr>
            </w:pPr>
          </w:p>
        </w:tc>
      </w:tr>
    </w:tbl>
    <w:p w14:paraId="7FADCA34" w14:textId="77777777" w:rsidR="00657712" w:rsidRDefault="00657712" w:rsidP="007F1288">
      <w:pPr>
        <w:pStyle w:val="Heading1"/>
      </w:pPr>
    </w:p>
    <w:sectPr w:rsidR="00657712" w:rsidSect="00D54187">
      <w:headerReference w:type="default" r:id="rId12"/>
      <w:footerReference w:type="even" r:id="rId13"/>
      <w:footerReference w:type="default" r:id="rId14"/>
      <w:pgSz w:w="11906" w:h="16838"/>
      <w:pgMar w:top="2271" w:right="1133" w:bottom="1135"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388E8" w14:textId="77777777" w:rsidR="005E43FA" w:rsidRDefault="005E43FA">
      <w:r>
        <w:separator/>
      </w:r>
    </w:p>
  </w:endnote>
  <w:endnote w:type="continuationSeparator" w:id="0">
    <w:p w14:paraId="0FAE8CF9" w14:textId="77777777" w:rsidR="005E43FA" w:rsidRDefault="005E4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toneSans">
    <w:altName w:val="Calibri"/>
    <w:charset w:val="00"/>
    <w:family w:val="swiss"/>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19998" w14:textId="77777777" w:rsidR="0081660E" w:rsidRDefault="0081660E" w:rsidP="00B20B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B9E66D6" w14:textId="77777777" w:rsidR="0081660E" w:rsidRDefault="008166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C1837" w14:textId="77777777" w:rsidR="0081660E" w:rsidRDefault="0081660E" w:rsidP="00B20B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C79C9AD" w14:textId="77777777" w:rsidR="0081660E" w:rsidRDefault="00816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78028" w14:textId="77777777" w:rsidR="005E43FA" w:rsidRDefault="005E43FA">
      <w:r>
        <w:separator/>
      </w:r>
    </w:p>
  </w:footnote>
  <w:footnote w:type="continuationSeparator" w:id="0">
    <w:p w14:paraId="34F85C1D" w14:textId="77777777" w:rsidR="005E43FA" w:rsidRDefault="005E43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8264" w14:textId="6270D785" w:rsidR="0081660E" w:rsidRPr="00657712" w:rsidRDefault="0081660E" w:rsidP="00B13496">
    <w:pPr>
      <w:pStyle w:val="Header"/>
      <w:tabs>
        <w:tab w:val="left" w:pos="142"/>
      </w:tabs>
    </w:pPr>
    <w:r w:rsidRPr="00616A6D">
      <w:rPr>
        <w:rFonts w:cs="Arial"/>
        <w:b/>
        <w:bCs/>
        <w:noProof/>
        <w:color w:val="002060"/>
      </w:rPr>
      <w:drawing>
        <wp:anchor distT="0" distB="0" distL="114300" distR="114300" simplePos="0" relativeHeight="251658240" behindDoc="0" locked="0" layoutInCell="1" allowOverlap="1" wp14:anchorId="1C6DC9E8" wp14:editId="7CA86D0E">
          <wp:simplePos x="0" y="0"/>
          <wp:positionH relativeFrom="margin">
            <wp:posOffset>5146951</wp:posOffset>
          </wp:positionH>
          <wp:positionV relativeFrom="paragraph">
            <wp:posOffset>-664266</wp:posOffset>
          </wp:positionV>
          <wp:extent cx="2218055" cy="1341755"/>
          <wp:effectExtent l="0" t="0" r="0" b="0"/>
          <wp:wrapSquare wrapText="bothSides"/>
          <wp:docPr id="9" name="Picture 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 BAT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18055" cy="1341755"/>
                  </a:xfrm>
                  <a:prstGeom prst="rect">
                    <a:avLst/>
                  </a:prstGeom>
                </pic:spPr>
              </pic:pic>
            </a:graphicData>
          </a:graphic>
          <wp14:sizeRelH relativeFrom="margin">
            <wp14:pctWidth>0</wp14:pctWidth>
          </wp14:sizeRelH>
          <wp14:sizeRelV relativeFrom="margin">
            <wp14:pctHeight>0</wp14:pctHeight>
          </wp14:sizeRelV>
        </wp:anchor>
      </w:drawing>
    </w:r>
  </w:p>
  <w:p w14:paraId="6094053A" w14:textId="77777777" w:rsidR="0081660E" w:rsidRPr="002323CB" w:rsidRDefault="0081660E">
    <w:pPr>
      <w:pStyle w:val="Head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0EE10C0"/>
    <w:lvl w:ilvl="0">
      <w:numFmt w:val="bullet"/>
      <w:lvlText w:val="*"/>
      <w:lvlJc w:val="left"/>
    </w:lvl>
  </w:abstractNum>
  <w:abstractNum w:abstractNumId="1" w15:restartNumberingAfterBreak="0">
    <w:nsid w:val="00E9284E"/>
    <w:multiLevelType w:val="hybridMultilevel"/>
    <w:tmpl w:val="15F4B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3F48FD"/>
    <w:multiLevelType w:val="hybridMultilevel"/>
    <w:tmpl w:val="B890F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C6616F"/>
    <w:multiLevelType w:val="hybridMultilevel"/>
    <w:tmpl w:val="4AD2B51C"/>
    <w:lvl w:ilvl="0" w:tplc="42424C92">
      <w:start w:val="1"/>
      <w:numFmt w:val="bullet"/>
      <w:lvlText w:val=""/>
      <w:lvlJc w:val="left"/>
      <w:pPr>
        <w:tabs>
          <w:tab w:val="num" w:pos="2520"/>
        </w:tabs>
        <w:ind w:left="25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3A3F35"/>
    <w:multiLevelType w:val="multilevel"/>
    <w:tmpl w:val="40E28FC0"/>
    <w:lvl w:ilvl="0">
      <w:start w:val="1"/>
      <w:numFmt w:val="bullet"/>
      <w:lvlText w:val=""/>
      <w:lvlJc w:val="left"/>
      <w:pPr>
        <w:tabs>
          <w:tab w:val="num" w:pos="2520"/>
        </w:tabs>
        <w:ind w:left="2520" w:hanging="360"/>
      </w:pPr>
      <w:rPr>
        <w:rFonts w:ascii="Wingdings" w:hAnsi="Wingdings" w:hint="default"/>
        <w:sz w:val="20"/>
        <w:szCs w:val="20"/>
      </w:rPr>
    </w:lvl>
    <w:lvl w:ilvl="1">
      <w:numFmt w:val="bullet"/>
      <w:lvlText w:val=""/>
      <w:lvlJc w:val="left"/>
      <w:pPr>
        <w:tabs>
          <w:tab w:val="num" w:pos="1440"/>
        </w:tabs>
        <w:ind w:left="1440" w:hanging="360"/>
      </w:pPr>
      <w:rPr>
        <w:rFonts w:ascii="Symbol" w:eastAsia="Times New Roman" w:hAnsi="Symbol" w:cs="Times New Roman" w:hint="default"/>
        <w:sz w:val="16"/>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C81C4E"/>
    <w:multiLevelType w:val="hybridMultilevel"/>
    <w:tmpl w:val="C2BE9E08"/>
    <w:lvl w:ilvl="0" w:tplc="9E34C5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B7CC0"/>
    <w:multiLevelType w:val="hybridMultilevel"/>
    <w:tmpl w:val="CBF2A0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772DD0"/>
    <w:multiLevelType w:val="hybridMultilevel"/>
    <w:tmpl w:val="A10CC8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060CDD"/>
    <w:multiLevelType w:val="hybridMultilevel"/>
    <w:tmpl w:val="B2DC3FBE"/>
    <w:lvl w:ilvl="0" w:tplc="6D76D63E">
      <w:start w:val="750"/>
      <w:numFmt w:val="bullet"/>
      <w:lvlText w:val="-"/>
      <w:lvlJc w:val="left"/>
      <w:pPr>
        <w:ind w:left="432" w:hanging="360"/>
      </w:pPr>
      <w:rPr>
        <w:rFonts w:ascii="Times New Roman" w:eastAsia="Times New Roman" w:hAnsi="Times New Roman" w:cs="Times New Roman" w:hint="default"/>
      </w:rPr>
    </w:lvl>
    <w:lvl w:ilvl="1" w:tplc="08090003" w:tentative="1">
      <w:start w:val="1"/>
      <w:numFmt w:val="bullet"/>
      <w:lvlText w:val="o"/>
      <w:lvlJc w:val="left"/>
      <w:pPr>
        <w:ind w:left="1152" w:hanging="360"/>
      </w:pPr>
      <w:rPr>
        <w:rFonts w:ascii="Courier New" w:hAnsi="Courier New" w:cs="Courier New" w:hint="default"/>
      </w:rPr>
    </w:lvl>
    <w:lvl w:ilvl="2" w:tplc="08090005" w:tentative="1">
      <w:start w:val="1"/>
      <w:numFmt w:val="bullet"/>
      <w:lvlText w:val=""/>
      <w:lvlJc w:val="left"/>
      <w:pPr>
        <w:ind w:left="1872" w:hanging="360"/>
      </w:pPr>
      <w:rPr>
        <w:rFonts w:ascii="Wingdings" w:hAnsi="Wingdings" w:hint="default"/>
      </w:rPr>
    </w:lvl>
    <w:lvl w:ilvl="3" w:tplc="08090001" w:tentative="1">
      <w:start w:val="1"/>
      <w:numFmt w:val="bullet"/>
      <w:lvlText w:val=""/>
      <w:lvlJc w:val="left"/>
      <w:pPr>
        <w:ind w:left="2592" w:hanging="360"/>
      </w:pPr>
      <w:rPr>
        <w:rFonts w:ascii="Symbol" w:hAnsi="Symbol" w:hint="default"/>
      </w:rPr>
    </w:lvl>
    <w:lvl w:ilvl="4" w:tplc="08090003" w:tentative="1">
      <w:start w:val="1"/>
      <w:numFmt w:val="bullet"/>
      <w:lvlText w:val="o"/>
      <w:lvlJc w:val="left"/>
      <w:pPr>
        <w:ind w:left="3312" w:hanging="360"/>
      </w:pPr>
      <w:rPr>
        <w:rFonts w:ascii="Courier New" w:hAnsi="Courier New" w:cs="Courier New" w:hint="default"/>
      </w:rPr>
    </w:lvl>
    <w:lvl w:ilvl="5" w:tplc="08090005" w:tentative="1">
      <w:start w:val="1"/>
      <w:numFmt w:val="bullet"/>
      <w:lvlText w:val=""/>
      <w:lvlJc w:val="left"/>
      <w:pPr>
        <w:ind w:left="4032" w:hanging="360"/>
      </w:pPr>
      <w:rPr>
        <w:rFonts w:ascii="Wingdings" w:hAnsi="Wingdings" w:hint="default"/>
      </w:rPr>
    </w:lvl>
    <w:lvl w:ilvl="6" w:tplc="08090001" w:tentative="1">
      <w:start w:val="1"/>
      <w:numFmt w:val="bullet"/>
      <w:lvlText w:val=""/>
      <w:lvlJc w:val="left"/>
      <w:pPr>
        <w:ind w:left="4752" w:hanging="360"/>
      </w:pPr>
      <w:rPr>
        <w:rFonts w:ascii="Symbol" w:hAnsi="Symbol" w:hint="default"/>
      </w:rPr>
    </w:lvl>
    <w:lvl w:ilvl="7" w:tplc="08090003" w:tentative="1">
      <w:start w:val="1"/>
      <w:numFmt w:val="bullet"/>
      <w:lvlText w:val="o"/>
      <w:lvlJc w:val="left"/>
      <w:pPr>
        <w:ind w:left="5472" w:hanging="360"/>
      </w:pPr>
      <w:rPr>
        <w:rFonts w:ascii="Courier New" w:hAnsi="Courier New" w:cs="Courier New" w:hint="default"/>
      </w:rPr>
    </w:lvl>
    <w:lvl w:ilvl="8" w:tplc="08090005" w:tentative="1">
      <w:start w:val="1"/>
      <w:numFmt w:val="bullet"/>
      <w:lvlText w:val=""/>
      <w:lvlJc w:val="left"/>
      <w:pPr>
        <w:ind w:left="6192" w:hanging="360"/>
      </w:pPr>
      <w:rPr>
        <w:rFonts w:ascii="Wingdings" w:hAnsi="Wingdings" w:hint="default"/>
      </w:rPr>
    </w:lvl>
  </w:abstractNum>
  <w:abstractNum w:abstractNumId="9" w15:restartNumberingAfterBreak="0">
    <w:nsid w:val="18EE222E"/>
    <w:multiLevelType w:val="hybridMultilevel"/>
    <w:tmpl w:val="05C26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853C6F"/>
    <w:multiLevelType w:val="hybridMultilevel"/>
    <w:tmpl w:val="40E28FC0"/>
    <w:lvl w:ilvl="0" w:tplc="42424C92">
      <w:start w:val="1"/>
      <w:numFmt w:val="bullet"/>
      <w:lvlText w:val=""/>
      <w:lvlJc w:val="left"/>
      <w:pPr>
        <w:tabs>
          <w:tab w:val="num" w:pos="2520"/>
        </w:tabs>
        <w:ind w:left="2520" w:hanging="360"/>
      </w:pPr>
      <w:rPr>
        <w:rFonts w:ascii="Wingdings" w:hAnsi="Wingdings" w:hint="default"/>
        <w:sz w:val="20"/>
        <w:szCs w:val="20"/>
      </w:rPr>
    </w:lvl>
    <w:lvl w:ilvl="1" w:tplc="4586A8A2">
      <w:numFmt w:val="bullet"/>
      <w:lvlText w:val=""/>
      <w:lvlJc w:val="left"/>
      <w:pPr>
        <w:tabs>
          <w:tab w:val="num" w:pos="1440"/>
        </w:tabs>
        <w:ind w:left="1440" w:hanging="360"/>
      </w:pPr>
      <w:rPr>
        <w:rFonts w:ascii="Symbol" w:eastAsia="Times New Roman" w:hAnsi="Symbol" w:cs="Times New Roman"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A17D14"/>
    <w:multiLevelType w:val="hybridMultilevel"/>
    <w:tmpl w:val="2F8EBB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E302FE"/>
    <w:multiLevelType w:val="hybridMultilevel"/>
    <w:tmpl w:val="91807092"/>
    <w:lvl w:ilvl="0" w:tplc="D1A0A34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AB3102"/>
    <w:multiLevelType w:val="hybridMultilevel"/>
    <w:tmpl w:val="A6FA2D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86B43FA"/>
    <w:multiLevelType w:val="hybridMultilevel"/>
    <w:tmpl w:val="31B684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C696FC5"/>
    <w:multiLevelType w:val="hybridMultilevel"/>
    <w:tmpl w:val="BC22FB96"/>
    <w:lvl w:ilvl="0" w:tplc="42424C92">
      <w:start w:val="1"/>
      <w:numFmt w:val="bullet"/>
      <w:lvlText w:val=""/>
      <w:lvlJc w:val="left"/>
      <w:pPr>
        <w:tabs>
          <w:tab w:val="num" w:pos="2520"/>
        </w:tabs>
        <w:ind w:left="2520" w:hanging="360"/>
      </w:pPr>
      <w:rPr>
        <w:rFonts w:ascii="Wingdings" w:hAnsi="Wingdings" w:hint="default"/>
        <w:sz w:val="20"/>
        <w:szCs w:val="20"/>
      </w:rPr>
    </w:lvl>
    <w:lvl w:ilvl="1" w:tplc="04090017">
      <w:start w:val="1"/>
      <w:numFmt w:val="lowerLetter"/>
      <w:lvlText w:val="%2)"/>
      <w:lvlJc w:val="left"/>
      <w:pPr>
        <w:tabs>
          <w:tab w:val="num" w:pos="1440"/>
        </w:tabs>
        <w:ind w:left="1440" w:hanging="360"/>
      </w:pPr>
      <w:rPr>
        <w:rFonts w:hint="default"/>
        <w:sz w:val="20"/>
        <w:szCs w:val="20"/>
      </w:rPr>
    </w:lvl>
    <w:lvl w:ilvl="2" w:tplc="DEAABCC8">
      <w:start w:val="1"/>
      <w:numFmt w:val="bullet"/>
      <w:lvlText w:val="-"/>
      <w:lvlJc w:val="left"/>
      <w:pPr>
        <w:tabs>
          <w:tab w:val="num" w:pos="2160"/>
        </w:tabs>
        <w:ind w:left="2160" w:hanging="360"/>
      </w:pPr>
      <w:rPr>
        <w:rFonts w:ascii="Arial" w:hAnsi="Aria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BD3AC4"/>
    <w:multiLevelType w:val="hybridMultilevel"/>
    <w:tmpl w:val="65DC1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2B3BEC"/>
    <w:multiLevelType w:val="multilevel"/>
    <w:tmpl w:val="EE40B3BE"/>
    <w:lvl w:ilvl="0">
      <w:start w:val="1"/>
      <w:numFmt w:val="bullet"/>
      <w:lvlText w:val=""/>
      <w:lvlJc w:val="left"/>
      <w:pPr>
        <w:tabs>
          <w:tab w:val="num" w:pos="2520"/>
        </w:tabs>
        <w:ind w:left="2520" w:hanging="360"/>
      </w:pPr>
      <w:rPr>
        <w:rFonts w:ascii="Wingdings" w:hAnsi="Wingdings" w:hint="default"/>
        <w:sz w:val="20"/>
        <w:szCs w:val="20"/>
      </w:rPr>
    </w:lvl>
    <w:lvl w:ilvl="1">
      <w:start w:val="1"/>
      <w:numFmt w:val="lowerLetter"/>
      <w:lvlText w:val="%2)"/>
      <w:lvlJc w:val="left"/>
      <w:pPr>
        <w:tabs>
          <w:tab w:val="num" w:pos="1440"/>
        </w:tabs>
        <w:ind w:left="1440" w:hanging="360"/>
      </w:pPr>
      <w:rPr>
        <w:rFont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7F6C3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7CD7408"/>
    <w:multiLevelType w:val="hybridMultilevel"/>
    <w:tmpl w:val="71F8D96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9AD46F9"/>
    <w:multiLevelType w:val="hybridMultilevel"/>
    <w:tmpl w:val="15DAA9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19F7709"/>
    <w:multiLevelType w:val="hybridMultilevel"/>
    <w:tmpl w:val="CA441404"/>
    <w:lvl w:ilvl="0" w:tplc="A82ACD0C">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D44C14"/>
    <w:multiLevelType w:val="hybridMultilevel"/>
    <w:tmpl w:val="D6F86956"/>
    <w:lvl w:ilvl="0" w:tplc="42424C92">
      <w:start w:val="1"/>
      <w:numFmt w:val="bullet"/>
      <w:lvlText w:val=""/>
      <w:lvlJc w:val="left"/>
      <w:pPr>
        <w:tabs>
          <w:tab w:val="num" w:pos="2520"/>
        </w:tabs>
        <w:ind w:left="25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8C10A8"/>
    <w:multiLevelType w:val="multilevel"/>
    <w:tmpl w:val="40E28FC0"/>
    <w:lvl w:ilvl="0">
      <w:start w:val="1"/>
      <w:numFmt w:val="bullet"/>
      <w:lvlText w:val=""/>
      <w:lvlJc w:val="left"/>
      <w:pPr>
        <w:tabs>
          <w:tab w:val="num" w:pos="2520"/>
        </w:tabs>
        <w:ind w:left="2520" w:hanging="360"/>
      </w:pPr>
      <w:rPr>
        <w:rFonts w:ascii="Wingdings" w:hAnsi="Wingdings" w:hint="default"/>
        <w:sz w:val="20"/>
        <w:szCs w:val="20"/>
      </w:rPr>
    </w:lvl>
    <w:lvl w:ilvl="1">
      <w:numFmt w:val="bullet"/>
      <w:lvlText w:val=""/>
      <w:lvlJc w:val="left"/>
      <w:pPr>
        <w:tabs>
          <w:tab w:val="num" w:pos="1440"/>
        </w:tabs>
        <w:ind w:left="1440" w:hanging="360"/>
      </w:pPr>
      <w:rPr>
        <w:rFonts w:ascii="Symbol" w:eastAsia="Times New Roman" w:hAnsi="Symbol" w:cs="Times New Roman" w:hint="default"/>
        <w:sz w:val="16"/>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A25A3E"/>
    <w:multiLevelType w:val="hybridMultilevel"/>
    <w:tmpl w:val="6A0CCD62"/>
    <w:lvl w:ilvl="0" w:tplc="A82ACD0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925AA8"/>
    <w:multiLevelType w:val="hybridMultilevel"/>
    <w:tmpl w:val="D7AA1C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7E40AD"/>
    <w:multiLevelType w:val="multilevel"/>
    <w:tmpl w:val="EE40B3BE"/>
    <w:lvl w:ilvl="0">
      <w:start w:val="1"/>
      <w:numFmt w:val="bullet"/>
      <w:lvlText w:val=""/>
      <w:lvlJc w:val="left"/>
      <w:pPr>
        <w:tabs>
          <w:tab w:val="num" w:pos="2520"/>
        </w:tabs>
        <w:ind w:left="2520" w:hanging="360"/>
      </w:pPr>
      <w:rPr>
        <w:rFonts w:ascii="Wingdings" w:hAnsi="Wingdings" w:hint="default"/>
        <w:sz w:val="20"/>
        <w:szCs w:val="20"/>
      </w:rPr>
    </w:lvl>
    <w:lvl w:ilvl="1">
      <w:start w:val="1"/>
      <w:numFmt w:val="lowerLetter"/>
      <w:lvlText w:val="%2)"/>
      <w:lvlJc w:val="left"/>
      <w:pPr>
        <w:tabs>
          <w:tab w:val="num" w:pos="1440"/>
        </w:tabs>
        <w:ind w:left="1440" w:hanging="360"/>
      </w:pPr>
      <w:rPr>
        <w:rFont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9B0F96"/>
    <w:multiLevelType w:val="hybridMultilevel"/>
    <w:tmpl w:val="91BC6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C24FC4"/>
    <w:multiLevelType w:val="hybridMultilevel"/>
    <w:tmpl w:val="F80EDD90"/>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8461E1"/>
    <w:multiLevelType w:val="multilevel"/>
    <w:tmpl w:val="D4A2FA2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BA329A9"/>
    <w:multiLevelType w:val="hybridMultilevel"/>
    <w:tmpl w:val="DA80F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CF7693"/>
    <w:multiLevelType w:val="hybridMultilevel"/>
    <w:tmpl w:val="4D7262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789833F4"/>
    <w:multiLevelType w:val="hybridMultilevel"/>
    <w:tmpl w:val="9F3C29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BC466A7"/>
    <w:multiLevelType w:val="hybridMultilevel"/>
    <w:tmpl w:val="CB4008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88915895">
    <w:abstractNumId w:val="14"/>
  </w:num>
  <w:num w:numId="2" w16cid:durableId="1418164504">
    <w:abstractNumId w:val="20"/>
  </w:num>
  <w:num w:numId="3" w16cid:durableId="2075424501">
    <w:abstractNumId w:val="19"/>
  </w:num>
  <w:num w:numId="4" w16cid:durableId="1836799857">
    <w:abstractNumId w:val="25"/>
  </w:num>
  <w:num w:numId="5" w16cid:durableId="846023185">
    <w:abstractNumId w:val="3"/>
  </w:num>
  <w:num w:numId="6" w16cid:durableId="565724806">
    <w:abstractNumId w:val="22"/>
  </w:num>
  <w:num w:numId="7" w16cid:durableId="630130399">
    <w:abstractNumId w:val="10"/>
  </w:num>
  <w:num w:numId="8" w16cid:durableId="277414654">
    <w:abstractNumId w:val="4"/>
  </w:num>
  <w:num w:numId="9" w16cid:durableId="1683438320">
    <w:abstractNumId w:val="29"/>
  </w:num>
  <w:num w:numId="10" w16cid:durableId="773598238">
    <w:abstractNumId w:val="18"/>
  </w:num>
  <w:num w:numId="11" w16cid:durableId="1482847943">
    <w:abstractNumId w:val="23"/>
  </w:num>
  <w:num w:numId="12" w16cid:durableId="955065101">
    <w:abstractNumId w:val="15"/>
  </w:num>
  <w:num w:numId="13" w16cid:durableId="1328173189">
    <w:abstractNumId w:val="17"/>
  </w:num>
  <w:num w:numId="14" w16cid:durableId="67728010">
    <w:abstractNumId w:val="26"/>
  </w:num>
  <w:num w:numId="15" w16cid:durableId="930894206">
    <w:abstractNumId w:val="12"/>
  </w:num>
  <w:num w:numId="16" w16cid:durableId="1802769035">
    <w:abstractNumId w:val="7"/>
  </w:num>
  <w:num w:numId="17" w16cid:durableId="842670116">
    <w:abstractNumId w:val="2"/>
  </w:num>
  <w:num w:numId="18" w16cid:durableId="1140272192">
    <w:abstractNumId w:val="0"/>
    <w:lvlOverride w:ilvl="0">
      <w:lvl w:ilvl="0">
        <w:numFmt w:val="bullet"/>
        <w:lvlText w:val=""/>
        <w:legacy w:legacy="1" w:legacySpace="0" w:legacyIndent="0"/>
        <w:lvlJc w:val="left"/>
        <w:rPr>
          <w:rFonts w:ascii="Symbol" w:hAnsi="Symbol" w:hint="default"/>
          <w:sz w:val="22"/>
        </w:rPr>
      </w:lvl>
    </w:lvlOverride>
  </w:num>
  <w:num w:numId="19" w16cid:durableId="1036858720">
    <w:abstractNumId w:val="1"/>
  </w:num>
  <w:num w:numId="20" w16cid:durableId="747726865">
    <w:abstractNumId w:val="8"/>
  </w:num>
  <w:num w:numId="21" w16cid:durableId="877014473">
    <w:abstractNumId w:val="30"/>
  </w:num>
  <w:num w:numId="22" w16cid:durableId="1224104649">
    <w:abstractNumId w:val="11"/>
  </w:num>
  <w:num w:numId="23" w16cid:durableId="2005083514">
    <w:abstractNumId w:val="9"/>
  </w:num>
  <w:num w:numId="24" w16cid:durableId="1677265621">
    <w:abstractNumId w:val="31"/>
  </w:num>
  <w:num w:numId="25" w16cid:durableId="1123615849">
    <w:abstractNumId w:val="33"/>
  </w:num>
  <w:num w:numId="26" w16cid:durableId="175273648">
    <w:abstractNumId w:val="32"/>
  </w:num>
  <w:num w:numId="27" w16cid:durableId="1919048193">
    <w:abstractNumId w:val="28"/>
  </w:num>
  <w:num w:numId="28" w16cid:durableId="803810403">
    <w:abstractNumId w:val="27"/>
  </w:num>
  <w:num w:numId="29" w16cid:durableId="618730409">
    <w:abstractNumId w:val="16"/>
  </w:num>
  <w:num w:numId="30" w16cid:durableId="2138647614">
    <w:abstractNumId w:val="13"/>
  </w:num>
  <w:num w:numId="31" w16cid:durableId="788931835">
    <w:abstractNumId w:val="5"/>
  </w:num>
  <w:num w:numId="32" w16cid:durableId="1979458444">
    <w:abstractNumId w:val="21"/>
  </w:num>
  <w:num w:numId="33" w16cid:durableId="380978241">
    <w:abstractNumId w:val="24"/>
  </w:num>
  <w:num w:numId="34" w16cid:durableId="2317445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D2"/>
    <w:rsid w:val="00007060"/>
    <w:rsid w:val="000138C6"/>
    <w:rsid w:val="00014DC8"/>
    <w:rsid w:val="000166AC"/>
    <w:rsid w:val="000212C7"/>
    <w:rsid w:val="0004161D"/>
    <w:rsid w:val="000441BF"/>
    <w:rsid w:val="000465F1"/>
    <w:rsid w:val="00047CAE"/>
    <w:rsid w:val="000575D0"/>
    <w:rsid w:val="00065BD8"/>
    <w:rsid w:val="00065C3C"/>
    <w:rsid w:val="000673DB"/>
    <w:rsid w:val="00067C91"/>
    <w:rsid w:val="00070EBE"/>
    <w:rsid w:val="000736AB"/>
    <w:rsid w:val="00073F5E"/>
    <w:rsid w:val="00076184"/>
    <w:rsid w:val="000768CF"/>
    <w:rsid w:val="00084665"/>
    <w:rsid w:val="00091239"/>
    <w:rsid w:val="00093085"/>
    <w:rsid w:val="0009551A"/>
    <w:rsid w:val="00095E78"/>
    <w:rsid w:val="000A0911"/>
    <w:rsid w:val="000A14A5"/>
    <w:rsid w:val="000A7724"/>
    <w:rsid w:val="000A7F06"/>
    <w:rsid w:val="000B1723"/>
    <w:rsid w:val="000B3574"/>
    <w:rsid w:val="000B35F2"/>
    <w:rsid w:val="000B631F"/>
    <w:rsid w:val="000C07B4"/>
    <w:rsid w:val="000C59EA"/>
    <w:rsid w:val="000D0FA1"/>
    <w:rsid w:val="000D5434"/>
    <w:rsid w:val="000D6A3D"/>
    <w:rsid w:val="000D79A5"/>
    <w:rsid w:val="000E1721"/>
    <w:rsid w:val="000E62AB"/>
    <w:rsid w:val="000F2008"/>
    <w:rsid w:val="000F2AE6"/>
    <w:rsid w:val="000F505C"/>
    <w:rsid w:val="00103C5F"/>
    <w:rsid w:val="00105A9A"/>
    <w:rsid w:val="00105B71"/>
    <w:rsid w:val="0010601F"/>
    <w:rsid w:val="00112BEF"/>
    <w:rsid w:val="0011497A"/>
    <w:rsid w:val="001163BE"/>
    <w:rsid w:val="00125EDD"/>
    <w:rsid w:val="0012772F"/>
    <w:rsid w:val="00133404"/>
    <w:rsid w:val="0014232E"/>
    <w:rsid w:val="001434E0"/>
    <w:rsid w:val="001457C5"/>
    <w:rsid w:val="00147A12"/>
    <w:rsid w:val="00150652"/>
    <w:rsid w:val="00150C7D"/>
    <w:rsid w:val="00160262"/>
    <w:rsid w:val="00161A95"/>
    <w:rsid w:val="0016310D"/>
    <w:rsid w:val="001765B3"/>
    <w:rsid w:val="00177685"/>
    <w:rsid w:val="001835FA"/>
    <w:rsid w:val="00183D1F"/>
    <w:rsid w:val="001879F9"/>
    <w:rsid w:val="00191ABB"/>
    <w:rsid w:val="00196069"/>
    <w:rsid w:val="001A01B0"/>
    <w:rsid w:val="001A037F"/>
    <w:rsid w:val="001A4817"/>
    <w:rsid w:val="001A7CD6"/>
    <w:rsid w:val="001B382B"/>
    <w:rsid w:val="001B747F"/>
    <w:rsid w:val="001C4C14"/>
    <w:rsid w:val="001C68AD"/>
    <w:rsid w:val="001C77A1"/>
    <w:rsid w:val="001D04D0"/>
    <w:rsid w:val="001D2546"/>
    <w:rsid w:val="001D417C"/>
    <w:rsid w:val="001D4A5B"/>
    <w:rsid w:val="001D6696"/>
    <w:rsid w:val="001E42B7"/>
    <w:rsid w:val="001E5739"/>
    <w:rsid w:val="001E60A7"/>
    <w:rsid w:val="001F0941"/>
    <w:rsid w:val="001F141E"/>
    <w:rsid w:val="001F79B1"/>
    <w:rsid w:val="00203C38"/>
    <w:rsid w:val="00203E3C"/>
    <w:rsid w:val="00205C5E"/>
    <w:rsid w:val="00206316"/>
    <w:rsid w:val="002120F7"/>
    <w:rsid w:val="002121DC"/>
    <w:rsid w:val="00212C40"/>
    <w:rsid w:val="00215086"/>
    <w:rsid w:val="00223CB2"/>
    <w:rsid w:val="002243DA"/>
    <w:rsid w:val="00226BA6"/>
    <w:rsid w:val="00227EBF"/>
    <w:rsid w:val="002323CB"/>
    <w:rsid w:val="00232499"/>
    <w:rsid w:val="00232C9B"/>
    <w:rsid w:val="00233333"/>
    <w:rsid w:val="002354AA"/>
    <w:rsid w:val="00235E1E"/>
    <w:rsid w:val="002442B7"/>
    <w:rsid w:val="00245F3C"/>
    <w:rsid w:val="0026286E"/>
    <w:rsid w:val="002635E9"/>
    <w:rsid w:val="002639F1"/>
    <w:rsid w:val="002668D1"/>
    <w:rsid w:val="00266B34"/>
    <w:rsid w:val="00266DD5"/>
    <w:rsid w:val="002674D6"/>
    <w:rsid w:val="00273C88"/>
    <w:rsid w:val="00277844"/>
    <w:rsid w:val="00284DCE"/>
    <w:rsid w:val="0028543E"/>
    <w:rsid w:val="00286C69"/>
    <w:rsid w:val="002871B9"/>
    <w:rsid w:val="00294F00"/>
    <w:rsid w:val="002A3A8D"/>
    <w:rsid w:val="002A4F32"/>
    <w:rsid w:val="002B099C"/>
    <w:rsid w:val="002B0F78"/>
    <w:rsid w:val="002B12E8"/>
    <w:rsid w:val="002B7B3B"/>
    <w:rsid w:val="002C0442"/>
    <w:rsid w:val="002C2DB6"/>
    <w:rsid w:val="002C67D3"/>
    <w:rsid w:val="002C6E51"/>
    <w:rsid w:val="002C7DC6"/>
    <w:rsid w:val="002D2433"/>
    <w:rsid w:val="002D6AFA"/>
    <w:rsid w:val="002D7E5B"/>
    <w:rsid w:val="002E1AC3"/>
    <w:rsid w:val="002E38D5"/>
    <w:rsid w:val="002E737D"/>
    <w:rsid w:val="002E7CA1"/>
    <w:rsid w:val="002F21E6"/>
    <w:rsid w:val="00300642"/>
    <w:rsid w:val="00301467"/>
    <w:rsid w:val="0030421A"/>
    <w:rsid w:val="00316421"/>
    <w:rsid w:val="003171FD"/>
    <w:rsid w:val="003179A9"/>
    <w:rsid w:val="0032678F"/>
    <w:rsid w:val="00330897"/>
    <w:rsid w:val="00333132"/>
    <w:rsid w:val="00334E6A"/>
    <w:rsid w:val="0033753D"/>
    <w:rsid w:val="00340EAE"/>
    <w:rsid w:val="003435D7"/>
    <w:rsid w:val="00344D25"/>
    <w:rsid w:val="00345914"/>
    <w:rsid w:val="00346593"/>
    <w:rsid w:val="00350454"/>
    <w:rsid w:val="00352033"/>
    <w:rsid w:val="003559FF"/>
    <w:rsid w:val="00355E6A"/>
    <w:rsid w:val="00356EF5"/>
    <w:rsid w:val="00360A3D"/>
    <w:rsid w:val="003628CF"/>
    <w:rsid w:val="00362A49"/>
    <w:rsid w:val="003634A7"/>
    <w:rsid w:val="00366BBD"/>
    <w:rsid w:val="00370ACF"/>
    <w:rsid w:val="00371357"/>
    <w:rsid w:val="00373EA7"/>
    <w:rsid w:val="0038511B"/>
    <w:rsid w:val="00390631"/>
    <w:rsid w:val="00390667"/>
    <w:rsid w:val="003912EC"/>
    <w:rsid w:val="003924E1"/>
    <w:rsid w:val="0039599A"/>
    <w:rsid w:val="00397DEF"/>
    <w:rsid w:val="003A1927"/>
    <w:rsid w:val="003A2260"/>
    <w:rsid w:val="003A63D2"/>
    <w:rsid w:val="003B33F4"/>
    <w:rsid w:val="003B5389"/>
    <w:rsid w:val="003B5E19"/>
    <w:rsid w:val="003C4A8C"/>
    <w:rsid w:val="003C722D"/>
    <w:rsid w:val="003D4530"/>
    <w:rsid w:val="003E349F"/>
    <w:rsid w:val="003E3A8E"/>
    <w:rsid w:val="003F4B4D"/>
    <w:rsid w:val="003F6013"/>
    <w:rsid w:val="003F61D0"/>
    <w:rsid w:val="00403CEE"/>
    <w:rsid w:val="00405B5A"/>
    <w:rsid w:val="00407C2C"/>
    <w:rsid w:val="00411A5C"/>
    <w:rsid w:val="00415FAC"/>
    <w:rsid w:val="0042282E"/>
    <w:rsid w:val="00423DD9"/>
    <w:rsid w:val="00426DEE"/>
    <w:rsid w:val="00427FB3"/>
    <w:rsid w:val="00440B15"/>
    <w:rsid w:val="00441D3E"/>
    <w:rsid w:val="0044695D"/>
    <w:rsid w:val="00450B1D"/>
    <w:rsid w:val="004527D1"/>
    <w:rsid w:val="00453A16"/>
    <w:rsid w:val="00453C35"/>
    <w:rsid w:val="0045640F"/>
    <w:rsid w:val="00460C20"/>
    <w:rsid w:val="004637F6"/>
    <w:rsid w:val="0046485B"/>
    <w:rsid w:val="00464D66"/>
    <w:rsid w:val="00465A9D"/>
    <w:rsid w:val="00466C87"/>
    <w:rsid w:val="00470B65"/>
    <w:rsid w:val="00471FF0"/>
    <w:rsid w:val="00473867"/>
    <w:rsid w:val="00484267"/>
    <w:rsid w:val="0048795D"/>
    <w:rsid w:val="0049225B"/>
    <w:rsid w:val="004928CE"/>
    <w:rsid w:val="004A48C0"/>
    <w:rsid w:val="004A6DC4"/>
    <w:rsid w:val="004B18E7"/>
    <w:rsid w:val="004B3933"/>
    <w:rsid w:val="004C09D1"/>
    <w:rsid w:val="004C2347"/>
    <w:rsid w:val="004C32B1"/>
    <w:rsid w:val="004D2974"/>
    <w:rsid w:val="004D2E8D"/>
    <w:rsid w:val="004E0BB0"/>
    <w:rsid w:val="004E536C"/>
    <w:rsid w:val="004E6855"/>
    <w:rsid w:val="004E7DAC"/>
    <w:rsid w:val="004F1E4B"/>
    <w:rsid w:val="004F4A5E"/>
    <w:rsid w:val="005034CF"/>
    <w:rsid w:val="005202C7"/>
    <w:rsid w:val="005213E3"/>
    <w:rsid w:val="005247BC"/>
    <w:rsid w:val="00530520"/>
    <w:rsid w:val="0053541E"/>
    <w:rsid w:val="00535AD4"/>
    <w:rsid w:val="00536646"/>
    <w:rsid w:val="005369D6"/>
    <w:rsid w:val="005404AE"/>
    <w:rsid w:val="00543EA9"/>
    <w:rsid w:val="005445D2"/>
    <w:rsid w:val="005506A2"/>
    <w:rsid w:val="0055370C"/>
    <w:rsid w:val="0055534D"/>
    <w:rsid w:val="00563A6B"/>
    <w:rsid w:val="00565367"/>
    <w:rsid w:val="0056564F"/>
    <w:rsid w:val="005671FB"/>
    <w:rsid w:val="005732A0"/>
    <w:rsid w:val="0057708D"/>
    <w:rsid w:val="005804A6"/>
    <w:rsid w:val="00585ED8"/>
    <w:rsid w:val="00587C0F"/>
    <w:rsid w:val="00587E16"/>
    <w:rsid w:val="005A45B7"/>
    <w:rsid w:val="005B3688"/>
    <w:rsid w:val="005B4C5F"/>
    <w:rsid w:val="005B773C"/>
    <w:rsid w:val="005B7F03"/>
    <w:rsid w:val="005C5467"/>
    <w:rsid w:val="005C6519"/>
    <w:rsid w:val="005D0F82"/>
    <w:rsid w:val="005D608C"/>
    <w:rsid w:val="005E1914"/>
    <w:rsid w:val="005E43FA"/>
    <w:rsid w:val="005E60CC"/>
    <w:rsid w:val="005E761D"/>
    <w:rsid w:val="005F6A92"/>
    <w:rsid w:val="005F70DC"/>
    <w:rsid w:val="00604452"/>
    <w:rsid w:val="00604EB0"/>
    <w:rsid w:val="00612372"/>
    <w:rsid w:val="006207D1"/>
    <w:rsid w:val="00621C28"/>
    <w:rsid w:val="006237EA"/>
    <w:rsid w:val="00627439"/>
    <w:rsid w:val="006315C7"/>
    <w:rsid w:val="00631FDD"/>
    <w:rsid w:val="00633381"/>
    <w:rsid w:val="00633C01"/>
    <w:rsid w:val="00637A18"/>
    <w:rsid w:val="00641143"/>
    <w:rsid w:val="0064150E"/>
    <w:rsid w:val="006533A3"/>
    <w:rsid w:val="006534E1"/>
    <w:rsid w:val="00654F8E"/>
    <w:rsid w:val="00655A0F"/>
    <w:rsid w:val="00655E2A"/>
    <w:rsid w:val="00657712"/>
    <w:rsid w:val="00662E84"/>
    <w:rsid w:val="00676B94"/>
    <w:rsid w:val="00680473"/>
    <w:rsid w:val="006805F7"/>
    <w:rsid w:val="00683D61"/>
    <w:rsid w:val="00685730"/>
    <w:rsid w:val="006866C8"/>
    <w:rsid w:val="00687B0E"/>
    <w:rsid w:val="006961E9"/>
    <w:rsid w:val="006A2B9E"/>
    <w:rsid w:val="006A4C4E"/>
    <w:rsid w:val="006A7438"/>
    <w:rsid w:val="006B5B1A"/>
    <w:rsid w:val="006C0C9E"/>
    <w:rsid w:val="006C2622"/>
    <w:rsid w:val="006C5A8C"/>
    <w:rsid w:val="006C62A0"/>
    <w:rsid w:val="006C78E7"/>
    <w:rsid w:val="006D1962"/>
    <w:rsid w:val="006E22BA"/>
    <w:rsid w:val="006E3F85"/>
    <w:rsid w:val="006E45F8"/>
    <w:rsid w:val="006E7085"/>
    <w:rsid w:val="006F1A6E"/>
    <w:rsid w:val="006F2A2E"/>
    <w:rsid w:val="006F4211"/>
    <w:rsid w:val="006F435D"/>
    <w:rsid w:val="006F51F9"/>
    <w:rsid w:val="006F597D"/>
    <w:rsid w:val="006F5F31"/>
    <w:rsid w:val="007012E4"/>
    <w:rsid w:val="00703F83"/>
    <w:rsid w:val="0070428D"/>
    <w:rsid w:val="007119BD"/>
    <w:rsid w:val="00714130"/>
    <w:rsid w:val="00714473"/>
    <w:rsid w:val="00716F25"/>
    <w:rsid w:val="00724358"/>
    <w:rsid w:val="007253D1"/>
    <w:rsid w:val="00725CC3"/>
    <w:rsid w:val="007273D1"/>
    <w:rsid w:val="00727B59"/>
    <w:rsid w:val="00731506"/>
    <w:rsid w:val="00733BB9"/>
    <w:rsid w:val="007406DF"/>
    <w:rsid w:val="007406E4"/>
    <w:rsid w:val="00746B0F"/>
    <w:rsid w:val="007503FB"/>
    <w:rsid w:val="00753C81"/>
    <w:rsid w:val="007546F2"/>
    <w:rsid w:val="00755B25"/>
    <w:rsid w:val="007560FD"/>
    <w:rsid w:val="007568AC"/>
    <w:rsid w:val="00762BD0"/>
    <w:rsid w:val="007665DF"/>
    <w:rsid w:val="00770521"/>
    <w:rsid w:val="00771A85"/>
    <w:rsid w:val="00781E8E"/>
    <w:rsid w:val="007860E4"/>
    <w:rsid w:val="00787ED3"/>
    <w:rsid w:val="00792E3A"/>
    <w:rsid w:val="00793EAE"/>
    <w:rsid w:val="007A1D34"/>
    <w:rsid w:val="007A1E23"/>
    <w:rsid w:val="007A4313"/>
    <w:rsid w:val="007A5321"/>
    <w:rsid w:val="007A5A23"/>
    <w:rsid w:val="007A710D"/>
    <w:rsid w:val="007A7600"/>
    <w:rsid w:val="007A7740"/>
    <w:rsid w:val="007B0CB4"/>
    <w:rsid w:val="007B5C0B"/>
    <w:rsid w:val="007C1092"/>
    <w:rsid w:val="007C2BE0"/>
    <w:rsid w:val="007C31EF"/>
    <w:rsid w:val="007C6E34"/>
    <w:rsid w:val="007D3522"/>
    <w:rsid w:val="007D5C29"/>
    <w:rsid w:val="007E5989"/>
    <w:rsid w:val="007E69F9"/>
    <w:rsid w:val="007F0D36"/>
    <w:rsid w:val="007F1288"/>
    <w:rsid w:val="007F1476"/>
    <w:rsid w:val="007F15A1"/>
    <w:rsid w:val="007F50CA"/>
    <w:rsid w:val="007F5C2C"/>
    <w:rsid w:val="007F7C8A"/>
    <w:rsid w:val="00804430"/>
    <w:rsid w:val="008046BD"/>
    <w:rsid w:val="0080546A"/>
    <w:rsid w:val="008118E8"/>
    <w:rsid w:val="008133A1"/>
    <w:rsid w:val="0081572D"/>
    <w:rsid w:val="0081621A"/>
    <w:rsid w:val="0081660E"/>
    <w:rsid w:val="00816CB3"/>
    <w:rsid w:val="00821B48"/>
    <w:rsid w:val="00824B2D"/>
    <w:rsid w:val="00824BEB"/>
    <w:rsid w:val="00827956"/>
    <w:rsid w:val="00827ED7"/>
    <w:rsid w:val="00830396"/>
    <w:rsid w:val="00835FE5"/>
    <w:rsid w:val="00841B05"/>
    <w:rsid w:val="00846220"/>
    <w:rsid w:val="0084637F"/>
    <w:rsid w:val="008473DE"/>
    <w:rsid w:val="0085123F"/>
    <w:rsid w:val="00851D2C"/>
    <w:rsid w:val="00854D7D"/>
    <w:rsid w:val="00855CFD"/>
    <w:rsid w:val="0085681E"/>
    <w:rsid w:val="00857EE1"/>
    <w:rsid w:val="0086412C"/>
    <w:rsid w:val="0086534F"/>
    <w:rsid w:val="0087466E"/>
    <w:rsid w:val="008747AA"/>
    <w:rsid w:val="0088073F"/>
    <w:rsid w:val="008816CF"/>
    <w:rsid w:val="00882498"/>
    <w:rsid w:val="0089013F"/>
    <w:rsid w:val="00892B35"/>
    <w:rsid w:val="008A27F5"/>
    <w:rsid w:val="008B20CF"/>
    <w:rsid w:val="008B327E"/>
    <w:rsid w:val="008B3B7B"/>
    <w:rsid w:val="008B3F39"/>
    <w:rsid w:val="008B6176"/>
    <w:rsid w:val="008C090A"/>
    <w:rsid w:val="008C2884"/>
    <w:rsid w:val="008D0C05"/>
    <w:rsid w:val="008D2B7C"/>
    <w:rsid w:val="008D58B8"/>
    <w:rsid w:val="008E1E78"/>
    <w:rsid w:val="008E4AF1"/>
    <w:rsid w:val="008F0066"/>
    <w:rsid w:val="008F0E5B"/>
    <w:rsid w:val="008F2520"/>
    <w:rsid w:val="00901108"/>
    <w:rsid w:val="00902B35"/>
    <w:rsid w:val="00905D13"/>
    <w:rsid w:val="00910C4C"/>
    <w:rsid w:val="009137AE"/>
    <w:rsid w:val="00914751"/>
    <w:rsid w:val="00921187"/>
    <w:rsid w:val="009238FB"/>
    <w:rsid w:val="00925622"/>
    <w:rsid w:val="00927397"/>
    <w:rsid w:val="00935F39"/>
    <w:rsid w:val="009427BD"/>
    <w:rsid w:val="00942C88"/>
    <w:rsid w:val="00944B03"/>
    <w:rsid w:val="00953E2C"/>
    <w:rsid w:val="00954288"/>
    <w:rsid w:val="009548CF"/>
    <w:rsid w:val="009574F8"/>
    <w:rsid w:val="00957E4D"/>
    <w:rsid w:val="00961588"/>
    <w:rsid w:val="009632A9"/>
    <w:rsid w:val="00965233"/>
    <w:rsid w:val="009670A8"/>
    <w:rsid w:val="009677DE"/>
    <w:rsid w:val="00970770"/>
    <w:rsid w:val="00983D0B"/>
    <w:rsid w:val="00985053"/>
    <w:rsid w:val="009851F7"/>
    <w:rsid w:val="00991EA0"/>
    <w:rsid w:val="00992FAB"/>
    <w:rsid w:val="009939B0"/>
    <w:rsid w:val="00994E63"/>
    <w:rsid w:val="00995BAA"/>
    <w:rsid w:val="00995DC1"/>
    <w:rsid w:val="00996952"/>
    <w:rsid w:val="009A00F0"/>
    <w:rsid w:val="009A3928"/>
    <w:rsid w:val="009A393C"/>
    <w:rsid w:val="009A7A72"/>
    <w:rsid w:val="009B3101"/>
    <w:rsid w:val="009B50B4"/>
    <w:rsid w:val="009C0E34"/>
    <w:rsid w:val="009C1F46"/>
    <w:rsid w:val="009C32A1"/>
    <w:rsid w:val="009D119A"/>
    <w:rsid w:val="009D2673"/>
    <w:rsid w:val="009D367E"/>
    <w:rsid w:val="009D3AB8"/>
    <w:rsid w:val="009D502E"/>
    <w:rsid w:val="009E00FA"/>
    <w:rsid w:val="009E2041"/>
    <w:rsid w:val="009E7157"/>
    <w:rsid w:val="009F1395"/>
    <w:rsid w:val="009F3FFD"/>
    <w:rsid w:val="009F576B"/>
    <w:rsid w:val="009F6AD3"/>
    <w:rsid w:val="00A0755A"/>
    <w:rsid w:val="00A13266"/>
    <w:rsid w:val="00A158DD"/>
    <w:rsid w:val="00A21B2A"/>
    <w:rsid w:val="00A23439"/>
    <w:rsid w:val="00A24318"/>
    <w:rsid w:val="00A26F51"/>
    <w:rsid w:val="00A31D38"/>
    <w:rsid w:val="00A32BB2"/>
    <w:rsid w:val="00A36E72"/>
    <w:rsid w:val="00A400D8"/>
    <w:rsid w:val="00A40B2B"/>
    <w:rsid w:val="00A425DF"/>
    <w:rsid w:val="00A42997"/>
    <w:rsid w:val="00A44906"/>
    <w:rsid w:val="00A47A22"/>
    <w:rsid w:val="00A50B41"/>
    <w:rsid w:val="00A52BD0"/>
    <w:rsid w:val="00A52CA0"/>
    <w:rsid w:val="00A5320B"/>
    <w:rsid w:val="00A61895"/>
    <w:rsid w:val="00A61F93"/>
    <w:rsid w:val="00A730B0"/>
    <w:rsid w:val="00A743B2"/>
    <w:rsid w:val="00A7593F"/>
    <w:rsid w:val="00A7623F"/>
    <w:rsid w:val="00A76631"/>
    <w:rsid w:val="00A92BFA"/>
    <w:rsid w:val="00A936D2"/>
    <w:rsid w:val="00A94452"/>
    <w:rsid w:val="00A94691"/>
    <w:rsid w:val="00A95640"/>
    <w:rsid w:val="00A96BE2"/>
    <w:rsid w:val="00AA2A67"/>
    <w:rsid w:val="00AA385F"/>
    <w:rsid w:val="00AA4445"/>
    <w:rsid w:val="00AA47C0"/>
    <w:rsid w:val="00AA712F"/>
    <w:rsid w:val="00AB1F85"/>
    <w:rsid w:val="00AB4AAC"/>
    <w:rsid w:val="00AB619A"/>
    <w:rsid w:val="00AC0565"/>
    <w:rsid w:val="00AC29C0"/>
    <w:rsid w:val="00AC2CA2"/>
    <w:rsid w:val="00AC3E56"/>
    <w:rsid w:val="00AD06C9"/>
    <w:rsid w:val="00AD0ED1"/>
    <w:rsid w:val="00AD27AD"/>
    <w:rsid w:val="00AE4F51"/>
    <w:rsid w:val="00AF20DC"/>
    <w:rsid w:val="00AF5082"/>
    <w:rsid w:val="00AF770D"/>
    <w:rsid w:val="00B041E6"/>
    <w:rsid w:val="00B05210"/>
    <w:rsid w:val="00B13496"/>
    <w:rsid w:val="00B152F7"/>
    <w:rsid w:val="00B20BBF"/>
    <w:rsid w:val="00B23704"/>
    <w:rsid w:val="00B23FDE"/>
    <w:rsid w:val="00B24A9F"/>
    <w:rsid w:val="00B26C67"/>
    <w:rsid w:val="00B2752C"/>
    <w:rsid w:val="00B3157C"/>
    <w:rsid w:val="00B34737"/>
    <w:rsid w:val="00B35988"/>
    <w:rsid w:val="00B367EE"/>
    <w:rsid w:val="00B36D67"/>
    <w:rsid w:val="00B378AC"/>
    <w:rsid w:val="00B40792"/>
    <w:rsid w:val="00B41CD9"/>
    <w:rsid w:val="00B423F0"/>
    <w:rsid w:val="00B42709"/>
    <w:rsid w:val="00B42E66"/>
    <w:rsid w:val="00B433B5"/>
    <w:rsid w:val="00B472A2"/>
    <w:rsid w:val="00B472ED"/>
    <w:rsid w:val="00B47C6E"/>
    <w:rsid w:val="00B50B8A"/>
    <w:rsid w:val="00B541E4"/>
    <w:rsid w:val="00B57B9D"/>
    <w:rsid w:val="00B632EF"/>
    <w:rsid w:val="00B64F6A"/>
    <w:rsid w:val="00B660A5"/>
    <w:rsid w:val="00B71AE0"/>
    <w:rsid w:val="00B748CB"/>
    <w:rsid w:val="00B848E9"/>
    <w:rsid w:val="00B91314"/>
    <w:rsid w:val="00B93588"/>
    <w:rsid w:val="00B94B94"/>
    <w:rsid w:val="00BA2889"/>
    <w:rsid w:val="00BA2B87"/>
    <w:rsid w:val="00BA3DC0"/>
    <w:rsid w:val="00BA7461"/>
    <w:rsid w:val="00BA7AC2"/>
    <w:rsid w:val="00BB30E5"/>
    <w:rsid w:val="00BB56FA"/>
    <w:rsid w:val="00BB76D0"/>
    <w:rsid w:val="00BC1069"/>
    <w:rsid w:val="00BC10F0"/>
    <w:rsid w:val="00BC449D"/>
    <w:rsid w:val="00BC560D"/>
    <w:rsid w:val="00BD2CD8"/>
    <w:rsid w:val="00BE3663"/>
    <w:rsid w:val="00BE76BB"/>
    <w:rsid w:val="00BF5CF6"/>
    <w:rsid w:val="00BF7A3B"/>
    <w:rsid w:val="00C01744"/>
    <w:rsid w:val="00C07677"/>
    <w:rsid w:val="00C10501"/>
    <w:rsid w:val="00C10E91"/>
    <w:rsid w:val="00C11D23"/>
    <w:rsid w:val="00C13C14"/>
    <w:rsid w:val="00C17653"/>
    <w:rsid w:val="00C205A5"/>
    <w:rsid w:val="00C21809"/>
    <w:rsid w:val="00C26C45"/>
    <w:rsid w:val="00C343B1"/>
    <w:rsid w:val="00C35EBF"/>
    <w:rsid w:val="00C40728"/>
    <w:rsid w:val="00C41B8A"/>
    <w:rsid w:val="00C47717"/>
    <w:rsid w:val="00C510C1"/>
    <w:rsid w:val="00C554CA"/>
    <w:rsid w:val="00C6394D"/>
    <w:rsid w:val="00C63995"/>
    <w:rsid w:val="00C66854"/>
    <w:rsid w:val="00C66F12"/>
    <w:rsid w:val="00C73398"/>
    <w:rsid w:val="00C81ED9"/>
    <w:rsid w:val="00C82AC2"/>
    <w:rsid w:val="00C83524"/>
    <w:rsid w:val="00C877CA"/>
    <w:rsid w:val="00C967A8"/>
    <w:rsid w:val="00CA479E"/>
    <w:rsid w:val="00CA5947"/>
    <w:rsid w:val="00CB1F45"/>
    <w:rsid w:val="00CB4579"/>
    <w:rsid w:val="00CB6C30"/>
    <w:rsid w:val="00CC1068"/>
    <w:rsid w:val="00CC5020"/>
    <w:rsid w:val="00CD2C04"/>
    <w:rsid w:val="00CD35A0"/>
    <w:rsid w:val="00CD636E"/>
    <w:rsid w:val="00CD755F"/>
    <w:rsid w:val="00CF0576"/>
    <w:rsid w:val="00CF1809"/>
    <w:rsid w:val="00D00C7F"/>
    <w:rsid w:val="00D02A7C"/>
    <w:rsid w:val="00D032DD"/>
    <w:rsid w:val="00D10276"/>
    <w:rsid w:val="00D10BC2"/>
    <w:rsid w:val="00D113D3"/>
    <w:rsid w:val="00D16C2E"/>
    <w:rsid w:val="00D22246"/>
    <w:rsid w:val="00D252E6"/>
    <w:rsid w:val="00D320C5"/>
    <w:rsid w:val="00D34F55"/>
    <w:rsid w:val="00D3547B"/>
    <w:rsid w:val="00D42AF1"/>
    <w:rsid w:val="00D45609"/>
    <w:rsid w:val="00D45B8B"/>
    <w:rsid w:val="00D47E2A"/>
    <w:rsid w:val="00D54187"/>
    <w:rsid w:val="00D57DA2"/>
    <w:rsid w:val="00D60082"/>
    <w:rsid w:val="00D61C8F"/>
    <w:rsid w:val="00D6211E"/>
    <w:rsid w:val="00D70796"/>
    <w:rsid w:val="00D70913"/>
    <w:rsid w:val="00D778C3"/>
    <w:rsid w:val="00D81791"/>
    <w:rsid w:val="00D82183"/>
    <w:rsid w:val="00D84497"/>
    <w:rsid w:val="00D91A2F"/>
    <w:rsid w:val="00D9302C"/>
    <w:rsid w:val="00D93F18"/>
    <w:rsid w:val="00D961EB"/>
    <w:rsid w:val="00D97E6A"/>
    <w:rsid w:val="00DA2C43"/>
    <w:rsid w:val="00DA751B"/>
    <w:rsid w:val="00DB0317"/>
    <w:rsid w:val="00DB3879"/>
    <w:rsid w:val="00DB58C3"/>
    <w:rsid w:val="00DC4E34"/>
    <w:rsid w:val="00DC5197"/>
    <w:rsid w:val="00DC59BE"/>
    <w:rsid w:val="00DD36FB"/>
    <w:rsid w:val="00DD4725"/>
    <w:rsid w:val="00DE0924"/>
    <w:rsid w:val="00DE5758"/>
    <w:rsid w:val="00DF0607"/>
    <w:rsid w:val="00DF34D5"/>
    <w:rsid w:val="00DF4A7C"/>
    <w:rsid w:val="00DF506B"/>
    <w:rsid w:val="00E00423"/>
    <w:rsid w:val="00E00732"/>
    <w:rsid w:val="00E02B4D"/>
    <w:rsid w:val="00E030FB"/>
    <w:rsid w:val="00E05BA5"/>
    <w:rsid w:val="00E11278"/>
    <w:rsid w:val="00E135D6"/>
    <w:rsid w:val="00E22712"/>
    <w:rsid w:val="00E270CE"/>
    <w:rsid w:val="00E2799D"/>
    <w:rsid w:val="00E330CE"/>
    <w:rsid w:val="00E36ED3"/>
    <w:rsid w:val="00E413DC"/>
    <w:rsid w:val="00E507B7"/>
    <w:rsid w:val="00E5122F"/>
    <w:rsid w:val="00E546FB"/>
    <w:rsid w:val="00E57D3B"/>
    <w:rsid w:val="00E6008D"/>
    <w:rsid w:val="00E614E6"/>
    <w:rsid w:val="00E638E2"/>
    <w:rsid w:val="00E63D7A"/>
    <w:rsid w:val="00E6464E"/>
    <w:rsid w:val="00E702F6"/>
    <w:rsid w:val="00E70688"/>
    <w:rsid w:val="00E70E62"/>
    <w:rsid w:val="00E77625"/>
    <w:rsid w:val="00E83296"/>
    <w:rsid w:val="00E835A1"/>
    <w:rsid w:val="00E8436E"/>
    <w:rsid w:val="00E848F2"/>
    <w:rsid w:val="00E933CF"/>
    <w:rsid w:val="00E96A0C"/>
    <w:rsid w:val="00EA2C27"/>
    <w:rsid w:val="00EA3D99"/>
    <w:rsid w:val="00EA5CAF"/>
    <w:rsid w:val="00EA628F"/>
    <w:rsid w:val="00EB1FD7"/>
    <w:rsid w:val="00EB2400"/>
    <w:rsid w:val="00EB2B83"/>
    <w:rsid w:val="00EB4BE3"/>
    <w:rsid w:val="00EC007B"/>
    <w:rsid w:val="00EC3B32"/>
    <w:rsid w:val="00EC7940"/>
    <w:rsid w:val="00EC7958"/>
    <w:rsid w:val="00ED07EC"/>
    <w:rsid w:val="00ED7543"/>
    <w:rsid w:val="00ED79C7"/>
    <w:rsid w:val="00EE1D40"/>
    <w:rsid w:val="00EE2005"/>
    <w:rsid w:val="00EE3F7B"/>
    <w:rsid w:val="00EE5948"/>
    <w:rsid w:val="00EE606E"/>
    <w:rsid w:val="00EF5680"/>
    <w:rsid w:val="00F02E35"/>
    <w:rsid w:val="00F039F5"/>
    <w:rsid w:val="00F04F30"/>
    <w:rsid w:val="00F10604"/>
    <w:rsid w:val="00F13195"/>
    <w:rsid w:val="00F135EE"/>
    <w:rsid w:val="00F140C9"/>
    <w:rsid w:val="00F148E4"/>
    <w:rsid w:val="00F20CEE"/>
    <w:rsid w:val="00F272B4"/>
    <w:rsid w:val="00F30177"/>
    <w:rsid w:val="00F478FE"/>
    <w:rsid w:val="00F50AA6"/>
    <w:rsid w:val="00F52A49"/>
    <w:rsid w:val="00F549BE"/>
    <w:rsid w:val="00F54ACC"/>
    <w:rsid w:val="00F57F62"/>
    <w:rsid w:val="00F624AA"/>
    <w:rsid w:val="00F62DA3"/>
    <w:rsid w:val="00F6308F"/>
    <w:rsid w:val="00F64357"/>
    <w:rsid w:val="00F64FC1"/>
    <w:rsid w:val="00F80747"/>
    <w:rsid w:val="00F833BB"/>
    <w:rsid w:val="00F83558"/>
    <w:rsid w:val="00F8609B"/>
    <w:rsid w:val="00F87AA7"/>
    <w:rsid w:val="00F87E78"/>
    <w:rsid w:val="00F903AC"/>
    <w:rsid w:val="00F920BF"/>
    <w:rsid w:val="00F9503F"/>
    <w:rsid w:val="00FA14AA"/>
    <w:rsid w:val="00FA1C21"/>
    <w:rsid w:val="00FA2FEF"/>
    <w:rsid w:val="00FA57A3"/>
    <w:rsid w:val="00FA6A7F"/>
    <w:rsid w:val="00FA7471"/>
    <w:rsid w:val="00FB1661"/>
    <w:rsid w:val="00FB2A14"/>
    <w:rsid w:val="00FB4D2B"/>
    <w:rsid w:val="00FC0611"/>
    <w:rsid w:val="00FD1470"/>
    <w:rsid w:val="00FD46E1"/>
    <w:rsid w:val="00FD4F7D"/>
    <w:rsid w:val="00FD746D"/>
    <w:rsid w:val="00FE10A2"/>
    <w:rsid w:val="00FE14A8"/>
    <w:rsid w:val="00FE1F3B"/>
    <w:rsid w:val="00FE2C5E"/>
    <w:rsid w:val="00FE2DF9"/>
    <w:rsid w:val="00FE4122"/>
    <w:rsid w:val="00FF0290"/>
    <w:rsid w:val="00FF0BAA"/>
    <w:rsid w:val="00FF6A69"/>
    <w:rsid w:val="00FF6BBB"/>
    <w:rsid w:val="00FF7465"/>
    <w:rsid w:val="00FF7A8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400C3A"/>
  <w15:docId w15:val="{383775CB-110B-4D6F-9222-EDE7B414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EAE"/>
    <w:rPr>
      <w:sz w:val="24"/>
      <w:szCs w:val="24"/>
      <w:lang w:eastAsia="en-GB"/>
    </w:rPr>
  </w:style>
  <w:style w:type="paragraph" w:styleId="Heading1">
    <w:name w:val="heading 1"/>
    <w:basedOn w:val="Normal"/>
    <w:next w:val="Normal"/>
    <w:link w:val="Heading1Char"/>
    <w:autoRedefine/>
    <w:qFormat/>
    <w:rsid w:val="007F1288"/>
    <w:pPr>
      <w:keepNext/>
      <w:spacing w:before="240" w:after="60"/>
      <w:jc w:val="both"/>
      <w:outlineLvl w:val="0"/>
    </w:pPr>
    <w:rPr>
      <w:rFonts w:asciiTheme="majorHAnsi" w:eastAsiaTheme="majorEastAsia" w:hAnsiTheme="majorHAnsi" w:cstheme="majorBidi"/>
      <w:b/>
      <w:color w:val="365F91" w:themeColor="accent1" w:themeShade="BF"/>
      <w:kern w:val="32"/>
      <w:sz w:val="26"/>
      <w:szCs w:val="26"/>
      <w:u w:val="single"/>
    </w:rPr>
  </w:style>
  <w:style w:type="paragraph" w:styleId="Heading2">
    <w:name w:val="heading 2"/>
    <w:basedOn w:val="Normal"/>
    <w:next w:val="Normal"/>
    <w:link w:val="Heading2Char"/>
    <w:uiPriority w:val="9"/>
    <w:semiHidden/>
    <w:unhideWhenUsed/>
    <w:qFormat/>
    <w:rsid w:val="00235E1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61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B4D2B"/>
    <w:pPr>
      <w:tabs>
        <w:tab w:val="center" w:pos="4320"/>
        <w:tab w:val="right" w:pos="8640"/>
      </w:tabs>
    </w:pPr>
  </w:style>
  <w:style w:type="paragraph" w:styleId="Footer">
    <w:name w:val="footer"/>
    <w:basedOn w:val="Normal"/>
    <w:rsid w:val="00FB4D2B"/>
    <w:pPr>
      <w:tabs>
        <w:tab w:val="center" w:pos="4320"/>
        <w:tab w:val="right" w:pos="8640"/>
      </w:tabs>
    </w:pPr>
  </w:style>
  <w:style w:type="character" w:styleId="PageNumber">
    <w:name w:val="page number"/>
    <w:basedOn w:val="DefaultParagraphFont"/>
    <w:rsid w:val="00B20BBF"/>
  </w:style>
  <w:style w:type="paragraph" w:styleId="BalloonText">
    <w:name w:val="Balloon Text"/>
    <w:basedOn w:val="Normal"/>
    <w:semiHidden/>
    <w:rsid w:val="000A0911"/>
    <w:rPr>
      <w:rFonts w:ascii="Tahoma" w:hAnsi="Tahoma" w:cs="Tahoma"/>
      <w:sz w:val="16"/>
      <w:szCs w:val="16"/>
    </w:rPr>
  </w:style>
  <w:style w:type="paragraph" w:styleId="ListParagraph">
    <w:name w:val="List Paragraph"/>
    <w:basedOn w:val="Normal"/>
    <w:uiPriority w:val="34"/>
    <w:qFormat/>
    <w:rsid w:val="002243DA"/>
    <w:pPr>
      <w:ind w:left="720"/>
      <w:contextualSpacing/>
    </w:pPr>
  </w:style>
  <w:style w:type="character" w:customStyle="1" w:styleId="Heading1Char">
    <w:name w:val="Heading 1 Char"/>
    <w:basedOn w:val="DefaultParagraphFont"/>
    <w:link w:val="Heading1"/>
    <w:rsid w:val="007F1288"/>
    <w:rPr>
      <w:rFonts w:asciiTheme="majorHAnsi" w:eastAsiaTheme="majorEastAsia" w:hAnsiTheme="majorHAnsi" w:cstheme="majorBidi"/>
      <w:b/>
      <w:color w:val="365F91" w:themeColor="accent1" w:themeShade="BF"/>
      <w:kern w:val="32"/>
      <w:sz w:val="26"/>
      <w:szCs w:val="26"/>
      <w:u w:val="single"/>
      <w:lang w:eastAsia="en-GB"/>
    </w:rPr>
  </w:style>
  <w:style w:type="paragraph" w:customStyle="1" w:styleId="Default">
    <w:name w:val="Default"/>
    <w:rsid w:val="0064150E"/>
    <w:pPr>
      <w:autoSpaceDE w:val="0"/>
      <w:autoSpaceDN w:val="0"/>
      <w:adjustRightInd w:val="0"/>
    </w:pPr>
    <w:rPr>
      <w:rFonts w:ascii="Calibri" w:eastAsiaTheme="minorHAnsi" w:hAnsi="Calibri" w:cs="Calibri"/>
      <w:color w:val="000000"/>
      <w:sz w:val="24"/>
      <w:szCs w:val="24"/>
      <w:lang w:eastAsia="en-US"/>
    </w:rPr>
  </w:style>
  <w:style w:type="paragraph" w:styleId="TOCHeading">
    <w:name w:val="TOC Heading"/>
    <w:basedOn w:val="Heading1"/>
    <w:next w:val="Normal"/>
    <w:uiPriority w:val="39"/>
    <w:unhideWhenUsed/>
    <w:qFormat/>
    <w:rsid w:val="00B13496"/>
    <w:pPr>
      <w:keepLines/>
      <w:spacing w:after="0" w:line="259" w:lineRule="auto"/>
      <w:jc w:val="left"/>
      <w:outlineLvl w:val="9"/>
    </w:pPr>
    <w:rPr>
      <w:b w:val="0"/>
      <w:bCs/>
      <w:kern w:val="0"/>
      <w:sz w:val="32"/>
      <w:lang w:val="en-US" w:eastAsia="en-US"/>
    </w:rPr>
  </w:style>
  <w:style w:type="character" w:customStyle="1" w:styleId="Heading2Char">
    <w:name w:val="Heading 2 Char"/>
    <w:basedOn w:val="DefaultParagraphFont"/>
    <w:link w:val="Heading2"/>
    <w:uiPriority w:val="9"/>
    <w:semiHidden/>
    <w:rsid w:val="00235E1E"/>
    <w:rPr>
      <w:rFonts w:asciiTheme="majorHAnsi" w:eastAsiaTheme="majorEastAsia" w:hAnsiTheme="majorHAnsi" w:cstheme="majorBidi"/>
      <w:color w:val="365F91" w:themeColor="accent1" w:themeShade="BF"/>
      <w:sz w:val="26"/>
      <w:szCs w:val="26"/>
      <w:lang w:eastAsia="en-GB"/>
    </w:rPr>
  </w:style>
  <w:style w:type="paragraph" w:styleId="TOC1">
    <w:name w:val="toc 1"/>
    <w:basedOn w:val="Normal"/>
    <w:next w:val="Normal"/>
    <w:autoRedefine/>
    <w:uiPriority w:val="39"/>
    <w:unhideWhenUsed/>
    <w:rsid w:val="0081660E"/>
    <w:pPr>
      <w:tabs>
        <w:tab w:val="right" w:leader="dot" w:pos="9629"/>
      </w:tabs>
      <w:spacing w:after="100"/>
    </w:pPr>
    <w:rPr>
      <w:rFonts w:asciiTheme="majorHAnsi" w:eastAsiaTheme="majorEastAsia" w:hAnsiTheme="majorHAnsi" w:cstheme="majorBidi"/>
      <w:noProof/>
    </w:rPr>
  </w:style>
  <w:style w:type="paragraph" w:styleId="TOC2">
    <w:name w:val="toc 2"/>
    <w:basedOn w:val="Normal"/>
    <w:next w:val="Normal"/>
    <w:autoRedefine/>
    <w:uiPriority w:val="39"/>
    <w:unhideWhenUsed/>
    <w:rsid w:val="0081660E"/>
    <w:pPr>
      <w:spacing w:after="100"/>
      <w:ind w:left="240"/>
    </w:pPr>
  </w:style>
  <w:style w:type="character" w:styleId="Hyperlink">
    <w:name w:val="Hyperlink"/>
    <w:basedOn w:val="DefaultParagraphFont"/>
    <w:uiPriority w:val="99"/>
    <w:unhideWhenUsed/>
    <w:rsid w:val="0081660E"/>
    <w:rPr>
      <w:color w:val="0000FF" w:themeColor="hyperlink"/>
      <w:u w:val="single"/>
    </w:rPr>
  </w:style>
  <w:style w:type="character" w:styleId="IntenseReference">
    <w:name w:val="Intense Reference"/>
    <w:basedOn w:val="DefaultParagraphFont"/>
    <w:uiPriority w:val="32"/>
    <w:qFormat/>
    <w:rsid w:val="0081660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3733">
      <w:bodyDiv w:val="1"/>
      <w:marLeft w:val="0"/>
      <w:marRight w:val="0"/>
      <w:marTop w:val="0"/>
      <w:marBottom w:val="0"/>
      <w:divBdr>
        <w:top w:val="none" w:sz="0" w:space="0" w:color="auto"/>
        <w:left w:val="none" w:sz="0" w:space="0" w:color="auto"/>
        <w:bottom w:val="none" w:sz="0" w:space="0" w:color="auto"/>
        <w:right w:val="none" w:sz="0" w:space="0" w:color="auto"/>
      </w:divBdr>
    </w:div>
    <w:div w:id="194659137">
      <w:bodyDiv w:val="1"/>
      <w:marLeft w:val="0"/>
      <w:marRight w:val="0"/>
      <w:marTop w:val="0"/>
      <w:marBottom w:val="0"/>
      <w:divBdr>
        <w:top w:val="none" w:sz="0" w:space="0" w:color="auto"/>
        <w:left w:val="none" w:sz="0" w:space="0" w:color="auto"/>
        <w:bottom w:val="none" w:sz="0" w:space="0" w:color="auto"/>
        <w:right w:val="none" w:sz="0" w:space="0" w:color="auto"/>
      </w:divBdr>
    </w:div>
    <w:div w:id="281612434">
      <w:bodyDiv w:val="1"/>
      <w:marLeft w:val="0"/>
      <w:marRight w:val="0"/>
      <w:marTop w:val="0"/>
      <w:marBottom w:val="0"/>
      <w:divBdr>
        <w:top w:val="none" w:sz="0" w:space="0" w:color="auto"/>
        <w:left w:val="none" w:sz="0" w:space="0" w:color="auto"/>
        <w:bottom w:val="none" w:sz="0" w:space="0" w:color="auto"/>
        <w:right w:val="none" w:sz="0" w:space="0" w:color="auto"/>
      </w:divBdr>
    </w:div>
    <w:div w:id="295456064">
      <w:bodyDiv w:val="1"/>
      <w:marLeft w:val="0"/>
      <w:marRight w:val="0"/>
      <w:marTop w:val="0"/>
      <w:marBottom w:val="0"/>
      <w:divBdr>
        <w:top w:val="none" w:sz="0" w:space="0" w:color="auto"/>
        <w:left w:val="none" w:sz="0" w:space="0" w:color="auto"/>
        <w:bottom w:val="none" w:sz="0" w:space="0" w:color="auto"/>
        <w:right w:val="none" w:sz="0" w:space="0" w:color="auto"/>
      </w:divBdr>
    </w:div>
    <w:div w:id="309749659">
      <w:bodyDiv w:val="1"/>
      <w:marLeft w:val="0"/>
      <w:marRight w:val="0"/>
      <w:marTop w:val="0"/>
      <w:marBottom w:val="0"/>
      <w:divBdr>
        <w:top w:val="none" w:sz="0" w:space="0" w:color="auto"/>
        <w:left w:val="none" w:sz="0" w:space="0" w:color="auto"/>
        <w:bottom w:val="none" w:sz="0" w:space="0" w:color="auto"/>
        <w:right w:val="none" w:sz="0" w:space="0" w:color="auto"/>
      </w:divBdr>
    </w:div>
    <w:div w:id="375661627">
      <w:bodyDiv w:val="1"/>
      <w:marLeft w:val="0"/>
      <w:marRight w:val="0"/>
      <w:marTop w:val="0"/>
      <w:marBottom w:val="0"/>
      <w:divBdr>
        <w:top w:val="none" w:sz="0" w:space="0" w:color="auto"/>
        <w:left w:val="none" w:sz="0" w:space="0" w:color="auto"/>
        <w:bottom w:val="none" w:sz="0" w:space="0" w:color="auto"/>
        <w:right w:val="none" w:sz="0" w:space="0" w:color="auto"/>
      </w:divBdr>
    </w:div>
    <w:div w:id="440538660">
      <w:bodyDiv w:val="1"/>
      <w:marLeft w:val="0"/>
      <w:marRight w:val="0"/>
      <w:marTop w:val="0"/>
      <w:marBottom w:val="0"/>
      <w:divBdr>
        <w:top w:val="none" w:sz="0" w:space="0" w:color="auto"/>
        <w:left w:val="none" w:sz="0" w:space="0" w:color="auto"/>
        <w:bottom w:val="none" w:sz="0" w:space="0" w:color="auto"/>
        <w:right w:val="none" w:sz="0" w:space="0" w:color="auto"/>
      </w:divBdr>
      <w:divsChild>
        <w:div w:id="461312796">
          <w:marLeft w:val="547"/>
          <w:marRight w:val="0"/>
          <w:marTop w:val="77"/>
          <w:marBottom w:val="0"/>
          <w:divBdr>
            <w:top w:val="none" w:sz="0" w:space="0" w:color="auto"/>
            <w:left w:val="none" w:sz="0" w:space="0" w:color="auto"/>
            <w:bottom w:val="none" w:sz="0" w:space="0" w:color="auto"/>
            <w:right w:val="none" w:sz="0" w:space="0" w:color="auto"/>
          </w:divBdr>
        </w:div>
      </w:divsChild>
    </w:div>
    <w:div w:id="620114976">
      <w:bodyDiv w:val="1"/>
      <w:marLeft w:val="0"/>
      <w:marRight w:val="0"/>
      <w:marTop w:val="0"/>
      <w:marBottom w:val="0"/>
      <w:divBdr>
        <w:top w:val="none" w:sz="0" w:space="0" w:color="auto"/>
        <w:left w:val="none" w:sz="0" w:space="0" w:color="auto"/>
        <w:bottom w:val="none" w:sz="0" w:space="0" w:color="auto"/>
        <w:right w:val="none" w:sz="0" w:space="0" w:color="auto"/>
      </w:divBdr>
    </w:div>
    <w:div w:id="638078049">
      <w:bodyDiv w:val="1"/>
      <w:marLeft w:val="0"/>
      <w:marRight w:val="0"/>
      <w:marTop w:val="0"/>
      <w:marBottom w:val="0"/>
      <w:divBdr>
        <w:top w:val="none" w:sz="0" w:space="0" w:color="auto"/>
        <w:left w:val="none" w:sz="0" w:space="0" w:color="auto"/>
        <w:bottom w:val="none" w:sz="0" w:space="0" w:color="auto"/>
        <w:right w:val="none" w:sz="0" w:space="0" w:color="auto"/>
      </w:divBdr>
    </w:div>
    <w:div w:id="672488529">
      <w:bodyDiv w:val="1"/>
      <w:marLeft w:val="0"/>
      <w:marRight w:val="0"/>
      <w:marTop w:val="0"/>
      <w:marBottom w:val="0"/>
      <w:divBdr>
        <w:top w:val="none" w:sz="0" w:space="0" w:color="auto"/>
        <w:left w:val="none" w:sz="0" w:space="0" w:color="auto"/>
        <w:bottom w:val="none" w:sz="0" w:space="0" w:color="auto"/>
        <w:right w:val="none" w:sz="0" w:space="0" w:color="auto"/>
      </w:divBdr>
    </w:div>
    <w:div w:id="723329315">
      <w:bodyDiv w:val="1"/>
      <w:marLeft w:val="0"/>
      <w:marRight w:val="0"/>
      <w:marTop w:val="0"/>
      <w:marBottom w:val="0"/>
      <w:divBdr>
        <w:top w:val="none" w:sz="0" w:space="0" w:color="auto"/>
        <w:left w:val="none" w:sz="0" w:space="0" w:color="auto"/>
        <w:bottom w:val="none" w:sz="0" w:space="0" w:color="auto"/>
        <w:right w:val="none" w:sz="0" w:space="0" w:color="auto"/>
      </w:divBdr>
    </w:div>
    <w:div w:id="761337581">
      <w:bodyDiv w:val="1"/>
      <w:marLeft w:val="0"/>
      <w:marRight w:val="0"/>
      <w:marTop w:val="0"/>
      <w:marBottom w:val="0"/>
      <w:divBdr>
        <w:top w:val="none" w:sz="0" w:space="0" w:color="auto"/>
        <w:left w:val="none" w:sz="0" w:space="0" w:color="auto"/>
        <w:bottom w:val="none" w:sz="0" w:space="0" w:color="auto"/>
        <w:right w:val="none" w:sz="0" w:space="0" w:color="auto"/>
      </w:divBdr>
      <w:divsChild>
        <w:div w:id="469593387">
          <w:marLeft w:val="547"/>
          <w:marRight w:val="0"/>
          <w:marTop w:val="77"/>
          <w:marBottom w:val="0"/>
          <w:divBdr>
            <w:top w:val="none" w:sz="0" w:space="0" w:color="auto"/>
            <w:left w:val="none" w:sz="0" w:space="0" w:color="auto"/>
            <w:bottom w:val="none" w:sz="0" w:space="0" w:color="auto"/>
            <w:right w:val="none" w:sz="0" w:space="0" w:color="auto"/>
          </w:divBdr>
        </w:div>
      </w:divsChild>
    </w:div>
    <w:div w:id="997270211">
      <w:bodyDiv w:val="1"/>
      <w:marLeft w:val="0"/>
      <w:marRight w:val="0"/>
      <w:marTop w:val="0"/>
      <w:marBottom w:val="0"/>
      <w:divBdr>
        <w:top w:val="none" w:sz="0" w:space="0" w:color="auto"/>
        <w:left w:val="none" w:sz="0" w:space="0" w:color="auto"/>
        <w:bottom w:val="none" w:sz="0" w:space="0" w:color="auto"/>
        <w:right w:val="none" w:sz="0" w:space="0" w:color="auto"/>
      </w:divBdr>
    </w:div>
    <w:div w:id="1092243311">
      <w:bodyDiv w:val="1"/>
      <w:marLeft w:val="0"/>
      <w:marRight w:val="0"/>
      <w:marTop w:val="0"/>
      <w:marBottom w:val="0"/>
      <w:divBdr>
        <w:top w:val="none" w:sz="0" w:space="0" w:color="auto"/>
        <w:left w:val="none" w:sz="0" w:space="0" w:color="auto"/>
        <w:bottom w:val="none" w:sz="0" w:space="0" w:color="auto"/>
        <w:right w:val="none" w:sz="0" w:space="0" w:color="auto"/>
      </w:divBdr>
    </w:div>
    <w:div w:id="1118766321">
      <w:bodyDiv w:val="1"/>
      <w:marLeft w:val="0"/>
      <w:marRight w:val="0"/>
      <w:marTop w:val="0"/>
      <w:marBottom w:val="0"/>
      <w:divBdr>
        <w:top w:val="none" w:sz="0" w:space="0" w:color="auto"/>
        <w:left w:val="none" w:sz="0" w:space="0" w:color="auto"/>
        <w:bottom w:val="none" w:sz="0" w:space="0" w:color="auto"/>
        <w:right w:val="none" w:sz="0" w:space="0" w:color="auto"/>
      </w:divBdr>
    </w:div>
    <w:div w:id="1401437672">
      <w:bodyDiv w:val="1"/>
      <w:marLeft w:val="0"/>
      <w:marRight w:val="0"/>
      <w:marTop w:val="0"/>
      <w:marBottom w:val="0"/>
      <w:divBdr>
        <w:top w:val="none" w:sz="0" w:space="0" w:color="auto"/>
        <w:left w:val="none" w:sz="0" w:space="0" w:color="auto"/>
        <w:bottom w:val="none" w:sz="0" w:space="0" w:color="auto"/>
        <w:right w:val="none" w:sz="0" w:space="0" w:color="auto"/>
      </w:divBdr>
    </w:div>
    <w:div w:id="1767193035">
      <w:bodyDiv w:val="1"/>
      <w:marLeft w:val="0"/>
      <w:marRight w:val="0"/>
      <w:marTop w:val="0"/>
      <w:marBottom w:val="0"/>
      <w:divBdr>
        <w:top w:val="none" w:sz="0" w:space="0" w:color="auto"/>
        <w:left w:val="none" w:sz="0" w:space="0" w:color="auto"/>
        <w:bottom w:val="none" w:sz="0" w:space="0" w:color="auto"/>
        <w:right w:val="none" w:sz="0" w:space="0" w:color="auto"/>
      </w:divBdr>
    </w:div>
    <w:div w:id="1908567698">
      <w:bodyDiv w:val="1"/>
      <w:marLeft w:val="0"/>
      <w:marRight w:val="0"/>
      <w:marTop w:val="0"/>
      <w:marBottom w:val="0"/>
      <w:divBdr>
        <w:top w:val="none" w:sz="0" w:space="0" w:color="auto"/>
        <w:left w:val="none" w:sz="0" w:space="0" w:color="auto"/>
        <w:bottom w:val="none" w:sz="0" w:space="0" w:color="auto"/>
        <w:right w:val="none" w:sz="0" w:space="0" w:color="auto"/>
      </w:divBdr>
    </w:div>
    <w:div w:id="200816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03C7E7E5DCBAC459B3E55772F3DF7FE" ma:contentTypeVersion="4" ma:contentTypeDescription="Create a new document." ma:contentTypeScope="" ma:versionID="e237d420e351f24ab831af412db2d523">
  <xsd:schema xmlns:xsd="http://www.w3.org/2001/XMLSchema" xmlns:xs="http://www.w3.org/2001/XMLSchema" xmlns:p="http://schemas.microsoft.com/office/2006/metadata/properties" xmlns:ns2="a849af4c-0d18-4da1-afd3-d75a0ae470de" targetNamespace="http://schemas.microsoft.com/office/2006/metadata/properties" ma:root="true" ma:fieldsID="ab3b8c34f6bf7b0abf9e269615f0a2bb" ns2:_="">
    <xsd:import namespace="a849af4c-0d18-4da1-afd3-d75a0ae470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49af4c-0d18-4da1-afd3-d75a0ae470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470BCD-65E2-4EE7-93E2-8CF469E14F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4444A0-9057-47B7-A820-04009DF5DC20}">
  <ds:schemaRefs>
    <ds:schemaRef ds:uri="http://schemas.microsoft.com/sharepoint/v3/contenttype/forms"/>
  </ds:schemaRefs>
</ds:datastoreItem>
</file>

<file path=customXml/itemProps3.xml><?xml version="1.0" encoding="utf-8"?>
<ds:datastoreItem xmlns:ds="http://schemas.openxmlformats.org/officeDocument/2006/customXml" ds:itemID="{6B7EC105-AC1F-4453-9B76-7AD98F63D134}">
  <ds:schemaRefs>
    <ds:schemaRef ds:uri="http://schemas.openxmlformats.org/officeDocument/2006/bibliography"/>
  </ds:schemaRefs>
</ds:datastoreItem>
</file>

<file path=customXml/itemProps4.xml><?xml version="1.0" encoding="utf-8"?>
<ds:datastoreItem xmlns:ds="http://schemas.openxmlformats.org/officeDocument/2006/customXml" ds:itemID="{8460D1C7-645F-46FC-A5C7-962CCFBE0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49af4c-0d18-4da1-afd3-d75a0ae470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4072</Words>
  <Characters>23211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Black Book Standard</vt:lpstr>
    </vt:vector>
  </TitlesOfParts>
  <Company>British American Tobacco</Company>
  <LinksUpToDate>false</LinksUpToDate>
  <CharactersWithSpaces>27229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Book Standard</dc:title>
  <dc:creator>Karen Oborn</dc:creator>
  <cp:lastModifiedBy>Andreea Abu Daher</cp:lastModifiedBy>
  <cp:revision>2</cp:revision>
  <cp:lastPrinted>2018-02-23T09:27:00Z</cp:lastPrinted>
  <dcterms:created xsi:type="dcterms:W3CDTF">2022-06-04T06:50:00Z</dcterms:created>
  <dcterms:modified xsi:type="dcterms:W3CDTF">2022-06-04T06:50:00Z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0x010100303C7E7E5DCBAC459B3E55772F3DF7FE</vt:lpwstr>
  </property>
</Properties>
</file>