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DE96" w14:textId="2E9A4724" w:rsidR="006B4737" w:rsidRPr="00E1133A" w:rsidRDefault="002F0C89" w:rsidP="00E50471">
      <w:r w:rsidRPr="00E8113D">
        <w:rPr>
          <w:noProof/>
        </w:rPr>
        <w:drawing>
          <wp:anchor distT="0" distB="0" distL="114300" distR="114300" simplePos="0" relativeHeight="251667456" behindDoc="1" locked="1" layoutInCell="1" allowOverlap="1" wp14:anchorId="6FA7EFD7" wp14:editId="66B822FD">
            <wp:simplePos x="0" y="0"/>
            <wp:positionH relativeFrom="page">
              <wp:posOffset>2517140</wp:posOffset>
            </wp:positionH>
            <wp:positionV relativeFrom="insideMargin">
              <wp:posOffset>1410970</wp:posOffset>
            </wp:positionV>
            <wp:extent cx="2770505" cy="12433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0505"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57BAF">
        <w:t xml:space="preserve"> </w:t>
      </w:r>
    </w:p>
    <w:p w14:paraId="123AFAEF" w14:textId="77777777" w:rsidR="00DA6A64" w:rsidRPr="00E1133A" w:rsidRDefault="00DA6A64" w:rsidP="00E50471"/>
    <w:p w14:paraId="7BB95F83" w14:textId="77777777" w:rsidR="008503AE" w:rsidRPr="00E1133A" w:rsidRDefault="008503AE" w:rsidP="00E50471"/>
    <w:p w14:paraId="119229BE" w14:textId="77777777" w:rsidR="008503AE" w:rsidRPr="00E1133A" w:rsidRDefault="008503AE" w:rsidP="00E50471"/>
    <w:p w14:paraId="2F5808F5" w14:textId="77777777" w:rsidR="008503AE" w:rsidRPr="00E1133A" w:rsidRDefault="008503AE" w:rsidP="00E50471"/>
    <w:p w14:paraId="5F5C7BEA" w14:textId="77777777" w:rsidR="008503AE" w:rsidRPr="00E1133A" w:rsidRDefault="008503AE" w:rsidP="00E50471"/>
    <w:p w14:paraId="7A0AA2D6" w14:textId="77777777" w:rsidR="008503AE" w:rsidRPr="00E1133A" w:rsidRDefault="008503AE" w:rsidP="00E50471"/>
    <w:p w14:paraId="0515DBFD" w14:textId="77777777" w:rsidR="008503AE" w:rsidRPr="00E1133A" w:rsidRDefault="008503AE" w:rsidP="00E50471"/>
    <w:p w14:paraId="32A53049" w14:textId="77777777" w:rsidR="008503AE" w:rsidRPr="00E1133A" w:rsidRDefault="008503AE" w:rsidP="00E50471"/>
    <w:p w14:paraId="063A1CEA" w14:textId="77777777" w:rsidR="008503AE" w:rsidRPr="00E1133A" w:rsidRDefault="008503AE" w:rsidP="00E50471"/>
    <w:p w14:paraId="7E73FFEA" w14:textId="77777777" w:rsidR="008503AE" w:rsidRPr="00E1133A" w:rsidRDefault="008503AE" w:rsidP="00E50471"/>
    <w:p w14:paraId="432DBC14" w14:textId="48C89972" w:rsidR="008503AE" w:rsidRPr="00E1133A" w:rsidRDefault="008503AE" w:rsidP="00E50471"/>
    <w:p w14:paraId="4C951FB6" w14:textId="1DA2ACB8" w:rsidR="008503AE" w:rsidRPr="00E1133A" w:rsidRDefault="008503AE" w:rsidP="00E50471"/>
    <w:p w14:paraId="0FEE57CC" w14:textId="46BD0C86" w:rsidR="00E8196F" w:rsidRPr="00E1133A" w:rsidRDefault="00E8196F" w:rsidP="00E50471"/>
    <w:p w14:paraId="45AAD5F2" w14:textId="2B6333BB" w:rsidR="00E8196F" w:rsidRPr="00E1133A" w:rsidRDefault="00E8196F" w:rsidP="00E50471"/>
    <w:p w14:paraId="45DE7E87" w14:textId="52CF10F8" w:rsidR="008503AE" w:rsidRPr="00E1133A" w:rsidRDefault="008503AE" w:rsidP="00E50471"/>
    <w:p w14:paraId="03A8E42D" w14:textId="341C2772" w:rsidR="008503AE" w:rsidRPr="00E1133A" w:rsidRDefault="008503AE" w:rsidP="00E50471"/>
    <w:p w14:paraId="014651BE" w14:textId="451B2EB5" w:rsidR="008503AE" w:rsidRPr="00E1133A" w:rsidRDefault="008503AE" w:rsidP="00F1792F">
      <w:pPr>
        <w:jc w:val="center"/>
      </w:pPr>
    </w:p>
    <w:p w14:paraId="01BA8CC4" w14:textId="478550A3" w:rsidR="008503AE" w:rsidRPr="00E1133A" w:rsidRDefault="008503AE" w:rsidP="00E50471"/>
    <w:p w14:paraId="6CB6EB28" w14:textId="69DD439F" w:rsidR="008503AE" w:rsidRPr="00DB4B85" w:rsidRDefault="000D3264" w:rsidP="003E237E">
      <w:pPr>
        <w:rPr>
          <w:b/>
          <w:bCs w:val="0"/>
          <w:sz w:val="24"/>
          <w:szCs w:val="30"/>
        </w:rPr>
      </w:pPr>
      <w:r>
        <w:rPr>
          <w:b/>
          <w:bCs w:val="0"/>
          <w:sz w:val="36"/>
          <w:szCs w:val="40"/>
        </w:rPr>
        <w:t xml:space="preserve">    </w:t>
      </w:r>
      <w:r w:rsidR="0047021A" w:rsidRPr="000D3264">
        <w:rPr>
          <w:b/>
          <w:bCs w:val="0"/>
          <w:sz w:val="36"/>
          <w:szCs w:val="40"/>
        </w:rPr>
        <w:t xml:space="preserve">Marketing Finance Instructions </w:t>
      </w:r>
      <w:r w:rsidR="00311627" w:rsidRPr="000D3264">
        <w:rPr>
          <w:b/>
          <w:bCs w:val="0"/>
          <w:sz w:val="36"/>
          <w:szCs w:val="40"/>
        </w:rPr>
        <w:t>SOP</w:t>
      </w:r>
      <w:r w:rsidR="00371740">
        <w:rPr>
          <w:b/>
          <w:bCs w:val="0"/>
          <w:sz w:val="36"/>
          <w:szCs w:val="40"/>
        </w:rPr>
        <w:t>3</w:t>
      </w:r>
      <w:r w:rsidR="00311627" w:rsidRPr="000D3264">
        <w:rPr>
          <w:b/>
          <w:bCs w:val="0"/>
          <w:sz w:val="36"/>
          <w:szCs w:val="40"/>
        </w:rPr>
        <w:t>/</w:t>
      </w:r>
      <w:r w:rsidR="00371740">
        <w:rPr>
          <w:b/>
          <w:bCs w:val="0"/>
          <w:sz w:val="36"/>
          <w:szCs w:val="40"/>
        </w:rPr>
        <w:t>4</w:t>
      </w:r>
    </w:p>
    <w:p w14:paraId="40684C76" w14:textId="77777777" w:rsidR="008503AE" w:rsidRPr="00E1133A" w:rsidRDefault="008503AE" w:rsidP="00E50471"/>
    <w:p w14:paraId="7C4A1DCF" w14:textId="77777777" w:rsidR="008503AE" w:rsidRPr="00E1133A" w:rsidRDefault="008503AE" w:rsidP="00E50471"/>
    <w:p w14:paraId="42669153" w14:textId="77777777" w:rsidR="008503AE" w:rsidRPr="00E1133A" w:rsidRDefault="008503AE" w:rsidP="00E50471"/>
    <w:p w14:paraId="73E1F231" w14:textId="77777777" w:rsidR="008503AE" w:rsidRPr="00E1133A" w:rsidRDefault="008503AE" w:rsidP="00E50471"/>
    <w:p w14:paraId="3E154839" w14:textId="77777777" w:rsidR="008503AE" w:rsidRPr="00E1133A" w:rsidRDefault="008503AE" w:rsidP="00E50471"/>
    <w:p w14:paraId="51808773" w14:textId="77777777" w:rsidR="008503AE" w:rsidRPr="00E1133A" w:rsidRDefault="008503AE" w:rsidP="00E50471"/>
    <w:p w14:paraId="4AD93153" w14:textId="77777777" w:rsidR="008503AE" w:rsidRPr="00E1133A" w:rsidRDefault="008503AE" w:rsidP="00E50471"/>
    <w:p w14:paraId="0946223C" w14:textId="77777777" w:rsidR="008503AE" w:rsidRPr="00E1133A" w:rsidRDefault="008503AE" w:rsidP="00E50471"/>
    <w:p w14:paraId="629C0C8B" w14:textId="77777777" w:rsidR="008503AE" w:rsidRPr="00E1133A" w:rsidRDefault="008503AE" w:rsidP="00E50471"/>
    <w:p w14:paraId="179A2BE8" w14:textId="77777777" w:rsidR="008503AE" w:rsidRPr="00E1133A" w:rsidRDefault="008503AE" w:rsidP="00E50471"/>
    <w:p w14:paraId="10931CFB" w14:textId="77777777" w:rsidR="008503AE" w:rsidRPr="00E1133A" w:rsidRDefault="008503AE" w:rsidP="00E50471"/>
    <w:p w14:paraId="76CB7769" w14:textId="77777777" w:rsidR="00F529D4" w:rsidRPr="00E1133A" w:rsidRDefault="00F529D4" w:rsidP="00E50471"/>
    <w:p w14:paraId="76B0FA1E" w14:textId="77777777" w:rsidR="008503AE" w:rsidRPr="00E1133A" w:rsidRDefault="00E26251" w:rsidP="00E50471">
      <w:r w:rsidRPr="00E1133A">
        <w:rPr>
          <w:noProof/>
          <w:lang w:eastAsia="zh-TW"/>
        </w:rPr>
        <w:t xml:space="preserve"> </w:t>
      </w:r>
    </w:p>
    <w:p w14:paraId="7E783E37" w14:textId="77777777" w:rsidR="008503AE" w:rsidRPr="00E1133A" w:rsidRDefault="008503AE" w:rsidP="00E50471"/>
    <w:p w14:paraId="65F7C4C8" w14:textId="77777777" w:rsidR="00D351A7" w:rsidRDefault="00D351A7" w:rsidP="00E50471"/>
    <w:p w14:paraId="6D450FC9" w14:textId="77777777" w:rsidR="00D351A7" w:rsidRDefault="00D351A7" w:rsidP="00E50471"/>
    <w:p w14:paraId="0D7B77C7" w14:textId="77777777" w:rsidR="00CE7444" w:rsidRDefault="00CE7444" w:rsidP="00E50471"/>
    <w:p w14:paraId="54AEB42E" w14:textId="77777777" w:rsidR="00CE7444" w:rsidRDefault="00CE7444" w:rsidP="00E50471"/>
    <w:p w14:paraId="4D432CF7" w14:textId="77777777" w:rsidR="00E8196F" w:rsidRPr="00E1133A" w:rsidRDefault="00E8196F" w:rsidP="00E50471">
      <w:r w:rsidRPr="00E1133A">
        <w:br w:type="page"/>
      </w:r>
    </w:p>
    <w:p w14:paraId="2BABB81B" w14:textId="77777777" w:rsidR="009D0CC6" w:rsidRPr="00E1133A" w:rsidRDefault="009D0CC6" w:rsidP="00BA04C0">
      <w:pPr>
        <w:pStyle w:val="Heading1"/>
        <w:sectPr w:rsidR="009D0CC6" w:rsidRPr="00E1133A" w:rsidSect="00E57BFA">
          <w:headerReference w:type="even" r:id="rId12"/>
          <w:headerReference w:type="default" r:id="rId13"/>
          <w:footerReference w:type="even" r:id="rId14"/>
          <w:footerReference w:type="default" r:id="rId15"/>
          <w:headerReference w:type="first" r:id="rId16"/>
          <w:footerReference w:type="first" r:id="rId17"/>
          <w:pgSz w:w="11906" w:h="16838" w:code="9"/>
          <w:pgMar w:top="1440" w:right="1797" w:bottom="1440" w:left="1797" w:header="510" w:footer="510" w:gutter="0"/>
          <w:cols w:space="708"/>
          <w:titlePg/>
          <w:docGrid w:linePitch="360"/>
        </w:sectPr>
      </w:pPr>
    </w:p>
    <w:p w14:paraId="29AC0045" w14:textId="6B364ABC" w:rsidR="00BA04C0" w:rsidRDefault="00BA04C0" w:rsidP="00BA04C0">
      <w:pPr>
        <w:pStyle w:val="Heading1"/>
      </w:pPr>
      <w:bookmarkStart w:id="0" w:name="_Toc25747537"/>
      <w:r>
        <w:lastRenderedPageBreak/>
        <w:t xml:space="preserve">SUMMARY OF REQUIREMENTS </w:t>
      </w:r>
    </w:p>
    <w:p w14:paraId="136C97A6" w14:textId="77777777" w:rsidR="00BA04C0" w:rsidRDefault="00BA04C0">
      <w:pPr>
        <w:ind w:left="0"/>
        <w:jc w:val="left"/>
      </w:pPr>
    </w:p>
    <w:p w14:paraId="22B6B0EF" w14:textId="77777777" w:rsidR="00BA04C0" w:rsidRDefault="00BA04C0">
      <w:pPr>
        <w:ind w:left="0"/>
        <w:jc w:val="left"/>
      </w:pPr>
    </w:p>
    <w:p w14:paraId="594B9CB5" w14:textId="065E2C02" w:rsidR="00AE7DAD" w:rsidRPr="00E50471" w:rsidRDefault="00AE7DAD" w:rsidP="00AE7DAD">
      <w:pPr>
        <w:ind w:left="360"/>
        <w:rPr>
          <w:b/>
          <w:bCs w:val="0"/>
        </w:rPr>
      </w:pPr>
      <w:r>
        <w:rPr>
          <w:b/>
          <w:bCs w:val="0"/>
        </w:rPr>
        <w:t xml:space="preserve">SOP </w:t>
      </w:r>
      <w:r w:rsidR="00137444">
        <w:rPr>
          <w:b/>
          <w:bCs w:val="0"/>
        </w:rPr>
        <w:t>3</w:t>
      </w:r>
    </w:p>
    <w:p w14:paraId="44C7BCD2" w14:textId="77777777" w:rsidR="00AE7DAD" w:rsidRDefault="00AE7DAD" w:rsidP="00AE7DAD">
      <w:pPr>
        <w:ind w:left="360"/>
      </w:pPr>
    </w:p>
    <w:p w14:paraId="3FEABF6E" w14:textId="700741F7" w:rsidR="009B0E52" w:rsidRDefault="009B0E52" w:rsidP="009B0E52">
      <w:pPr>
        <w:pStyle w:val="ListParagraph"/>
        <w:numPr>
          <w:ilvl w:val="0"/>
          <w:numId w:val="26"/>
        </w:numPr>
      </w:pPr>
      <w:r>
        <w:t>Pricing update for CY (Cigs, OTP, THP Consumables) highlighting any changes versus SOP2 submission</w:t>
      </w:r>
    </w:p>
    <w:p w14:paraId="36DED532" w14:textId="71D637BC" w:rsidR="009B0E52" w:rsidRDefault="009B0E52" w:rsidP="009B0E52">
      <w:pPr>
        <w:pStyle w:val="ListParagraph"/>
        <w:numPr>
          <w:ilvl w:val="0"/>
          <w:numId w:val="26"/>
        </w:numPr>
      </w:pPr>
      <w:r>
        <w:t>Shared Cost allocation update based on any changes from SOP</w:t>
      </w:r>
      <w:r w:rsidR="00B00CDB">
        <w:t>2</w:t>
      </w:r>
      <w:r>
        <w:t xml:space="preserve"> submission.</w:t>
      </w:r>
    </w:p>
    <w:p w14:paraId="64E4D5BC" w14:textId="47C14CC5" w:rsidR="00DE6B4D" w:rsidRDefault="00DE6B4D" w:rsidP="0055585B">
      <w:pPr>
        <w:pStyle w:val="ListParagraph"/>
        <w:numPr>
          <w:ilvl w:val="0"/>
          <w:numId w:val="26"/>
        </w:numPr>
      </w:pPr>
      <w:r>
        <w:t>Competition Reporting</w:t>
      </w:r>
      <w:r w:rsidR="004137E6">
        <w:t xml:space="preserve"> (separate guidance to be issued)</w:t>
      </w:r>
    </w:p>
    <w:p w14:paraId="690E6E5C" w14:textId="444DDCD4" w:rsidR="000B0850" w:rsidRDefault="000B0850" w:rsidP="000B0850"/>
    <w:p w14:paraId="7A1D9617" w14:textId="5C13F1D5" w:rsidR="000B0850" w:rsidRDefault="000B0850" w:rsidP="000B0850"/>
    <w:p w14:paraId="7274084A" w14:textId="238C3C53" w:rsidR="000B0850" w:rsidRPr="00E50471" w:rsidRDefault="000B0850" w:rsidP="000B0850">
      <w:pPr>
        <w:ind w:left="360"/>
        <w:rPr>
          <w:b/>
          <w:bCs w:val="0"/>
        </w:rPr>
      </w:pPr>
      <w:r>
        <w:rPr>
          <w:b/>
          <w:bCs w:val="0"/>
        </w:rPr>
        <w:t xml:space="preserve">SOP </w:t>
      </w:r>
      <w:r w:rsidR="00137444">
        <w:rPr>
          <w:b/>
          <w:bCs w:val="0"/>
        </w:rPr>
        <w:t>4</w:t>
      </w:r>
    </w:p>
    <w:p w14:paraId="686EF9D7" w14:textId="77777777" w:rsidR="000B0850" w:rsidRDefault="000B0850" w:rsidP="000B0850">
      <w:pPr>
        <w:ind w:left="360"/>
      </w:pPr>
    </w:p>
    <w:p w14:paraId="4CB3518E" w14:textId="77777777" w:rsidR="00137444" w:rsidRDefault="00137444" w:rsidP="00137444">
      <w:pPr>
        <w:pStyle w:val="ListParagraph"/>
        <w:numPr>
          <w:ilvl w:val="0"/>
          <w:numId w:val="26"/>
        </w:numPr>
      </w:pPr>
      <w:r>
        <w:t>Detailed Pricing update for CY and CY+1 (Cigs, OTP, THP Consumables) with Pricing initiatives and excise assumptions</w:t>
      </w:r>
    </w:p>
    <w:p w14:paraId="5190A36B" w14:textId="6289A76F" w:rsidR="00137444" w:rsidRPr="0055585B" w:rsidRDefault="00137444" w:rsidP="0055585B">
      <w:pPr>
        <w:pStyle w:val="ListParagraph"/>
        <w:numPr>
          <w:ilvl w:val="0"/>
          <w:numId w:val="26"/>
        </w:numPr>
      </w:pPr>
      <w:r w:rsidRPr="0055585B">
        <w:t xml:space="preserve">Marketing Investment update for </w:t>
      </w:r>
      <w:r w:rsidR="00395660" w:rsidRPr="0055585B">
        <w:t xml:space="preserve">CY and </w:t>
      </w:r>
      <w:r w:rsidRPr="0055585B">
        <w:t>CY + 1</w:t>
      </w:r>
      <w:r w:rsidR="0055585B">
        <w:t xml:space="preserve"> to be </w:t>
      </w:r>
      <w:r w:rsidR="00395660" w:rsidRPr="0055585B">
        <w:t xml:space="preserve">in line with </w:t>
      </w:r>
      <w:r w:rsidR="0055585B">
        <w:t>C</w:t>
      </w:r>
      <w:r w:rsidR="00395660" w:rsidRPr="0055585B">
        <w:t xml:space="preserve">hannel </w:t>
      </w:r>
      <w:r w:rsidR="0055585B">
        <w:t>R</w:t>
      </w:r>
      <w:r w:rsidR="00395660" w:rsidRPr="0055585B">
        <w:t>eporting guidelines and following the new WBS structure for New Categories</w:t>
      </w:r>
      <w:r w:rsidRPr="0055585B">
        <w:t xml:space="preserve"> </w:t>
      </w:r>
    </w:p>
    <w:p w14:paraId="52CE7063" w14:textId="61272386" w:rsidR="00E52222" w:rsidRDefault="00E52222" w:rsidP="0055585B">
      <w:pPr>
        <w:pStyle w:val="ListParagraph"/>
        <w:numPr>
          <w:ilvl w:val="0"/>
          <w:numId w:val="26"/>
        </w:numPr>
      </w:pPr>
      <w:r>
        <w:t>New Categories Channel Reporting for</w:t>
      </w:r>
      <w:r w:rsidR="000B47CC">
        <w:t xml:space="preserve"> CY and</w:t>
      </w:r>
      <w:r>
        <w:t xml:space="preserve"> CY+1</w:t>
      </w:r>
      <w:r w:rsidR="004137E6">
        <w:t xml:space="preserve"> (this is mandatory for markets with </w:t>
      </w:r>
      <w:r w:rsidR="004137E6" w:rsidRPr="003E237E">
        <w:t>&gt; £1m of the Total NTO in Channels other than Traditional Retail</w:t>
      </w:r>
      <w:r w:rsidR="004137E6">
        <w:t>)</w:t>
      </w:r>
    </w:p>
    <w:p w14:paraId="633462FD" w14:textId="31995537" w:rsidR="009B0E52" w:rsidRDefault="009B0E52" w:rsidP="009B0E52">
      <w:pPr>
        <w:pStyle w:val="ListParagraph"/>
        <w:numPr>
          <w:ilvl w:val="0"/>
          <w:numId w:val="26"/>
        </w:numPr>
      </w:pPr>
      <w:r>
        <w:t>Shared Cost allocation between Combustibles and New Categories for CY and CY+1 based on Global Allocation rules</w:t>
      </w:r>
      <w:r w:rsidR="000A2C10">
        <w:t xml:space="preserve"> given below</w:t>
      </w:r>
    </w:p>
    <w:p w14:paraId="06817853" w14:textId="77777777" w:rsidR="007139C0" w:rsidRDefault="007139C0" w:rsidP="007139C0">
      <w:pPr>
        <w:ind w:left="720"/>
      </w:pPr>
    </w:p>
    <w:p w14:paraId="2ED8D6BC" w14:textId="492097CC" w:rsidR="00E52222" w:rsidRDefault="00E52222" w:rsidP="00E52222">
      <w:pPr>
        <w:ind w:left="0"/>
      </w:pPr>
    </w:p>
    <w:p w14:paraId="026C538A" w14:textId="57BC8E5C" w:rsidR="00E52222" w:rsidRPr="004279C2" w:rsidRDefault="00E52222" w:rsidP="00E52222">
      <w:pPr>
        <w:ind w:left="0"/>
        <w:rPr>
          <w:b/>
          <w:bCs w:val="0"/>
          <w:color w:val="FF0000"/>
        </w:rPr>
      </w:pPr>
      <w:r w:rsidRPr="004279C2">
        <w:rPr>
          <w:b/>
          <w:bCs w:val="0"/>
          <w:color w:val="FF0000"/>
        </w:rPr>
        <w:t>More details on each of the above are provided in the document below.</w:t>
      </w:r>
    </w:p>
    <w:p w14:paraId="04314D6D" w14:textId="77777777" w:rsidR="000B0850" w:rsidRPr="004279C2" w:rsidRDefault="000B0850" w:rsidP="000B0850">
      <w:pPr>
        <w:rPr>
          <w:color w:val="FF0000"/>
        </w:rPr>
      </w:pPr>
    </w:p>
    <w:p w14:paraId="38F9FFD4" w14:textId="69D84992" w:rsidR="000B0850" w:rsidRDefault="000B0850" w:rsidP="000B0850"/>
    <w:p w14:paraId="298B52E9" w14:textId="77777777" w:rsidR="000B0850" w:rsidRDefault="000B0850" w:rsidP="000B0850"/>
    <w:p w14:paraId="70D2DCC6" w14:textId="77777777" w:rsidR="000B0850" w:rsidRDefault="000B0850" w:rsidP="000B0850">
      <w:pPr>
        <w:ind w:left="360"/>
      </w:pPr>
    </w:p>
    <w:p w14:paraId="3DA3A1CD" w14:textId="3B83DC13" w:rsidR="00AE7DAD" w:rsidRPr="00E50471" w:rsidRDefault="00AE7DAD" w:rsidP="000B0850">
      <w:pPr>
        <w:ind w:left="360"/>
      </w:pPr>
      <w:r w:rsidRPr="00E50471">
        <w:t xml:space="preserve"> </w:t>
      </w:r>
    </w:p>
    <w:p w14:paraId="33314D3A" w14:textId="48027E5E" w:rsidR="00BA04C0" w:rsidRDefault="00BA04C0" w:rsidP="00AE7DAD">
      <w:pPr>
        <w:ind w:left="720"/>
        <w:jc w:val="left"/>
      </w:pPr>
      <w:r>
        <w:br w:type="page"/>
      </w:r>
    </w:p>
    <w:p w14:paraId="4FF4394D" w14:textId="4E923584" w:rsidR="008A05B8" w:rsidRDefault="008A05B8" w:rsidP="008A05B8">
      <w:pPr>
        <w:pStyle w:val="Heading1"/>
      </w:pPr>
      <w:r>
        <w:lastRenderedPageBreak/>
        <w:t>PRICING UPDATE</w:t>
      </w:r>
    </w:p>
    <w:p w14:paraId="67472938" w14:textId="77777777" w:rsidR="008A05B8" w:rsidRDefault="008A05B8" w:rsidP="008A05B8">
      <w:pPr>
        <w:pStyle w:val="Heading1"/>
      </w:pPr>
    </w:p>
    <w:p w14:paraId="300538EA" w14:textId="77777777" w:rsidR="008A05B8" w:rsidRPr="008800C2" w:rsidRDefault="008A05B8" w:rsidP="008A05B8">
      <w:pPr>
        <w:pStyle w:val="Heading1"/>
        <w:ind w:firstLine="720"/>
        <w:jc w:val="both"/>
      </w:pPr>
      <w:r w:rsidRPr="008800C2">
        <w:t>Reporting Requirements for upcoming cycles</w:t>
      </w:r>
    </w:p>
    <w:p w14:paraId="53652E3E" w14:textId="77777777" w:rsidR="008A05B8" w:rsidRPr="008800C2" w:rsidRDefault="008A05B8" w:rsidP="008A05B8">
      <w:pPr>
        <w:ind w:left="0"/>
      </w:pPr>
    </w:p>
    <w:p w14:paraId="6BABD411" w14:textId="70F5F9D0" w:rsidR="008A05B8" w:rsidRDefault="008A05B8" w:rsidP="008A05B8">
      <w:pPr>
        <w:ind w:left="720"/>
      </w:pPr>
      <w:r w:rsidRPr="008800C2">
        <w:t xml:space="preserve">The pricing tracker submission is required for CY as per the standard monthly practice. </w:t>
      </w:r>
      <w:r>
        <w:t>For SOP</w:t>
      </w:r>
      <w:r w:rsidR="00B00CDB">
        <w:t>4</w:t>
      </w:r>
      <w:r w:rsidR="00114CD0">
        <w:t>, CY+1 and</w:t>
      </w:r>
      <w:r>
        <w:t xml:space="preserve"> detailed pricing submission</w:t>
      </w:r>
      <w:r w:rsidR="00114CD0">
        <w:t>s</w:t>
      </w:r>
      <w:r>
        <w:t xml:space="preserve"> including pricing initiatives and excise assumptions will be required.</w:t>
      </w:r>
    </w:p>
    <w:p w14:paraId="39F37E52" w14:textId="77777777" w:rsidR="008A05B8" w:rsidRDefault="008A05B8" w:rsidP="008A05B8">
      <w:pPr>
        <w:ind w:left="720"/>
      </w:pPr>
    </w:p>
    <w:p w14:paraId="4D41EA3A" w14:textId="750BF605" w:rsidR="008A05B8" w:rsidRDefault="008A05B8" w:rsidP="008A05B8">
      <w:pPr>
        <w:ind w:left="720"/>
      </w:pPr>
      <w:r>
        <w:t>For SOP</w:t>
      </w:r>
      <w:r w:rsidR="00B00CDB">
        <w:t>3</w:t>
      </w:r>
      <w:r>
        <w:t xml:space="preserve">, </w:t>
      </w:r>
      <w:r w:rsidRPr="00DE6B4D">
        <w:t xml:space="preserve">Pricing update </w:t>
      </w:r>
      <w:r>
        <w:t xml:space="preserve">is required </w:t>
      </w:r>
      <w:r w:rsidRPr="00DE6B4D">
        <w:t xml:space="preserve">for </w:t>
      </w:r>
      <w:r w:rsidRPr="00424F82">
        <w:t xml:space="preserve">CY </w:t>
      </w:r>
      <w:r w:rsidRPr="00DE6B4D">
        <w:t>highlighting any changes versus SOP</w:t>
      </w:r>
      <w:r w:rsidR="00B00CDB">
        <w:t>2</w:t>
      </w:r>
      <w:r w:rsidRPr="00DE6B4D">
        <w:t xml:space="preserve"> submission</w:t>
      </w:r>
    </w:p>
    <w:p w14:paraId="74C3961F" w14:textId="77777777" w:rsidR="008A05B8" w:rsidRDefault="008A05B8" w:rsidP="008A05B8">
      <w:pPr>
        <w:ind w:left="720"/>
      </w:pPr>
      <w:r>
        <w:t xml:space="preserve"> </w:t>
      </w:r>
    </w:p>
    <w:p w14:paraId="0E63286A" w14:textId="77777777" w:rsidR="008A05B8" w:rsidRPr="008800C2" w:rsidRDefault="008A05B8" w:rsidP="008A05B8">
      <w:pPr>
        <w:ind w:left="720"/>
      </w:pPr>
      <w:r w:rsidRPr="008800C2">
        <w:t xml:space="preserve">Further details on the automated pricing tracker are included </w:t>
      </w:r>
      <w:r>
        <w:t>below</w:t>
      </w:r>
      <w:r w:rsidRPr="008800C2">
        <w:t>.</w:t>
      </w:r>
    </w:p>
    <w:p w14:paraId="0D121572" w14:textId="77777777" w:rsidR="008A05B8" w:rsidRPr="003E237E" w:rsidRDefault="008A05B8" w:rsidP="008A05B8">
      <w:pPr>
        <w:ind w:left="0"/>
        <w:rPr>
          <w:highlight w:val="yellow"/>
        </w:rPr>
      </w:pPr>
    </w:p>
    <w:p w14:paraId="09CD6CF7" w14:textId="77777777" w:rsidR="008A05B8" w:rsidRPr="000B7DE6" w:rsidRDefault="008A05B8" w:rsidP="008A05B8">
      <w:pPr>
        <w:ind w:left="720"/>
      </w:pPr>
    </w:p>
    <w:p w14:paraId="28D9FC33" w14:textId="64D427FE" w:rsidR="008A05B8" w:rsidRPr="000B7DE6" w:rsidRDefault="008A05B8" w:rsidP="008A05B8">
      <w:pPr>
        <w:pStyle w:val="Heading1"/>
        <w:ind w:firstLine="720"/>
        <w:jc w:val="both"/>
      </w:pPr>
      <w:r w:rsidRPr="000B7DE6">
        <w:t>Focus areas for SOP</w:t>
      </w:r>
      <w:r w:rsidR="009B0E52">
        <w:t>3</w:t>
      </w:r>
      <w:r w:rsidRPr="000B7DE6">
        <w:t>/</w:t>
      </w:r>
      <w:r w:rsidR="009B0E52">
        <w:t>4</w:t>
      </w:r>
      <w:r w:rsidRPr="000B7DE6">
        <w:t xml:space="preserve"> Reporting</w:t>
      </w:r>
    </w:p>
    <w:p w14:paraId="4DACFA68" w14:textId="77777777" w:rsidR="008A05B8" w:rsidRPr="000B7DE6" w:rsidRDefault="008A05B8" w:rsidP="008A05B8">
      <w:pPr>
        <w:ind w:left="720"/>
      </w:pPr>
    </w:p>
    <w:p w14:paraId="000F455F" w14:textId="77777777" w:rsidR="008A05B8" w:rsidRPr="000B7DE6" w:rsidRDefault="008A05B8" w:rsidP="008A05B8">
      <w:pPr>
        <w:pStyle w:val="ListParagraph"/>
        <w:numPr>
          <w:ilvl w:val="0"/>
          <w:numId w:val="15"/>
        </w:numPr>
        <w:ind w:left="1080"/>
        <w:rPr>
          <w:b/>
          <w:bCs w:val="0"/>
        </w:rPr>
      </w:pPr>
      <w:r w:rsidRPr="000B7DE6">
        <w:rPr>
          <w:b/>
          <w:bCs w:val="0"/>
        </w:rPr>
        <w:t xml:space="preserve">Automated Pricing Tracker </w:t>
      </w:r>
    </w:p>
    <w:p w14:paraId="64E4FBF7" w14:textId="77777777" w:rsidR="008A05B8" w:rsidRPr="000B7DE6" w:rsidRDefault="008A05B8" w:rsidP="008A05B8">
      <w:pPr>
        <w:ind w:left="720"/>
        <w:rPr>
          <w:b/>
          <w:bCs w:val="0"/>
          <w:color w:val="FF0000"/>
        </w:rPr>
      </w:pPr>
    </w:p>
    <w:p w14:paraId="3FA32440" w14:textId="77777777" w:rsidR="008A05B8" w:rsidRPr="000B7DE6" w:rsidRDefault="008A05B8" w:rsidP="008A05B8">
      <w:pPr>
        <w:ind w:left="720"/>
      </w:pPr>
      <w:r w:rsidRPr="000B7DE6">
        <w:t>•</w:t>
      </w:r>
      <w:r w:rsidRPr="000B7DE6">
        <w:tab/>
        <w:t>The pricing tracker is available in BPC under: Company folder -&gt; profit and loss -&gt; 123 - Pricing Tracker</w:t>
      </w:r>
    </w:p>
    <w:p w14:paraId="70B2737A" w14:textId="77777777" w:rsidR="008A05B8" w:rsidRPr="003E237E" w:rsidRDefault="008A05B8" w:rsidP="008A05B8">
      <w:pPr>
        <w:ind w:left="720"/>
        <w:rPr>
          <w:highlight w:val="yellow"/>
        </w:rPr>
      </w:pPr>
      <w:r w:rsidRPr="003E237E">
        <w:rPr>
          <w:highlight w:val="yellow"/>
        </w:rPr>
        <w:t xml:space="preserve">                       </w:t>
      </w:r>
    </w:p>
    <w:p w14:paraId="0905136C" w14:textId="77777777" w:rsidR="008A05B8" w:rsidRPr="003E237E" w:rsidRDefault="008A05B8" w:rsidP="008A05B8">
      <w:pPr>
        <w:ind w:left="720"/>
        <w:rPr>
          <w:highlight w:val="yellow"/>
        </w:rPr>
      </w:pPr>
      <w:r w:rsidRPr="003E237E">
        <w:rPr>
          <w:noProof/>
          <w:snapToGrid/>
          <w:highlight w:val="yellow"/>
        </w:rPr>
        <w:drawing>
          <wp:inline distT="0" distB="0" distL="0" distR="0" wp14:anchorId="0FC5813A" wp14:editId="26FB3ACE">
            <wp:extent cx="3796748" cy="17815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1687" cy="1812034"/>
                    </a:xfrm>
                    <a:prstGeom prst="rect">
                      <a:avLst/>
                    </a:prstGeom>
                  </pic:spPr>
                </pic:pic>
              </a:graphicData>
            </a:graphic>
          </wp:inline>
        </w:drawing>
      </w:r>
      <w:r w:rsidRPr="003E237E">
        <w:rPr>
          <w:highlight w:val="yellow"/>
        </w:rPr>
        <w:t xml:space="preserve">                                                                                                                                                                                                                     </w:t>
      </w:r>
    </w:p>
    <w:p w14:paraId="22C6D2B4" w14:textId="77777777" w:rsidR="008A05B8" w:rsidRPr="003E237E" w:rsidRDefault="008A05B8" w:rsidP="008A05B8">
      <w:pPr>
        <w:ind w:left="720"/>
        <w:rPr>
          <w:highlight w:val="yellow"/>
        </w:rPr>
      </w:pPr>
    </w:p>
    <w:p w14:paraId="408E0D45" w14:textId="77777777" w:rsidR="008A05B8" w:rsidRPr="003E237E" w:rsidRDefault="008A05B8" w:rsidP="008A05B8">
      <w:pPr>
        <w:ind w:left="720"/>
        <w:rPr>
          <w:highlight w:val="yellow"/>
        </w:rPr>
      </w:pPr>
    </w:p>
    <w:p w14:paraId="1A68AD8E" w14:textId="08FD7E3A" w:rsidR="008A05B8" w:rsidRPr="000B7DE6" w:rsidRDefault="008A05B8" w:rsidP="008A05B8">
      <w:pPr>
        <w:ind w:left="720"/>
      </w:pPr>
      <w:r w:rsidRPr="000B7DE6">
        <w:t>•</w:t>
      </w:r>
      <w:r w:rsidRPr="000B7DE6">
        <w:tab/>
        <w:t>Report can be utilised by markets if it meets the required expectations.</w:t>
      </w:r>
    </w:p>
    <w:p w14:paraId="3CD6F21C" w14:textId="77777777" w:rsidR="008A05B8" w:rsidRPr="000B7DE6" w:rsidRDefault="008A05B8" w:rsidP="008A05B8">
      <w:pPr>
        <w:ind w:left="720"/>
      </w:pPr>
    </w:p>
    <w:p w14:paraId="794CBB97" w14:textId="14DC7A8C" w:rsidR="008A05B8" w:rsidRDefault="008A05B8" w:rsidP="008A05B8">
      <w:pPr>
        <w:ind w:left="720"/>
      </w:pPr>
      <w:r w:rsidRPr="000B7DE6">
        <w:t>•</w:t>
      </w:r>
      <w:r w:rsidRPr="000B7DE6">
        <w:tab/>
        <w:t>Offline submission will be collected as per the current process for both CY (including YTD) and CY+1</w:t>
      </w:r>
      <w:r w:rsidR="009B0E52">
        <w:t xml:space="preserve"> (SOP4)</w:t>
      </w:r>
    </w:p>
    <w:p w14:paraId="3873D209" w14:textId="77777777" w:rsidR="008A05B8" w:rsidRDefault="008A05B8">
      <w:pPr>
        <w:ind w:left="0"/>
        <w:jc w:val="left"/>
      </w:pPr>
    </w:p>
    <w:p w14:paraId="41D6F66F" w14:textId="77777777" w:rsidR="008A05B8" w:rsidRDefault="008A05B8" w:rsidP="008A05B8">
      <w:pPr>
        <w:pStyle w:val="Heading1"/>
      </w:pPr>
    </w:p>
    <w:p w14:paraId="4E4D71CB" w14:textId="3C1D0F0B" w:rsidR="008A05B8" w:rsidRDefault="008A05B8" w:rsidP="008A05B8">
      <w:pPr>
        <w:pStyle w:val="Heading1"/>
      </w:pPr>
      <w:r>
        <w:t>MARKETING INVESTMENT</w:t>
      </w:r>
    </w:p>
    <w:p w14:paraId="41BF0FA6" w14:textId="77777777" w:rsidR="008A05B8" w:rsidRDefault="008A05B8">
      <w:pPr>
        <w:ind w:left="0"/>
        <w:jc w:val="left"/>
      </w:pPr>
    </w:p>
    <w:p w14:paraId="4C845853" w14:textId="3E909D4F" w:rsidR="008A05B8" w:rsidRPr="0055585B" w:rsidRDefault="008A05B8" w:rsidP="008A05B8">
      <w:pPr>
        <w:ind w:left="0"/>
        <w:jc w:val="left"/>
      </w:pPr>
      <w:r>
        <w:tab/>
      </w:r>
      <w:r w:rsidRPr="0055585B">
        <w:t>For the SOP</w:t>
      </w:r>
      <w:r w:rsidR="00D44EEB" w:rsidRPr="0055585B">
        <w:t>4</w:t>
      </w:r>
      <w:r w:rsidRPr="0055585B">
        <w:t xml:space="preserve"> exercise, it is important the correct level of granularity for CY and CY+1 is reported for the following:</w:t>
      </w:r>
    </w:p>
    <w:p w14:paraId="5053974F" w14:textId="41746DC4" w:rsidR="008A05B8" w:rsidRPr="0055585B" w:rsidRDefault="008A05B8" w:rsidP="008A05B8">
      <w:pPr>
        <w:pStyle w:val="ListParagraph"/>
        <w:numPr>
          <w:ilvl w:val="0"/>
          <w:numId w:val="26"/>
        </w:numPr>
      </w:pPr>
      <w:r w:rsidRPr="0055585B">
        <w:t>Product Category (e.g. Combustibles, THP, Modern Oral, Vapour)</w:t>
      </w:r>
    </w:p>
    <w:p w14:paraId="2AA3C083" w14:textId="7D9EEC26" w:rsidR="008A05B8" w:rsidRPr="0055585B" w:rsidRDefault="008A05B8" w:rsidP="008A05B8">
      <w:pPr>
        <w:pStyle w:val="ListParagraph"/>
        <w:numPr>
          <w:ilvl w:val="0"/>
          <w:numId w:val="26"/>
        </w:numPr>
      </w:pPr>
      <w:r w:rsidRPr="0055585B">
        <w:t>Half year phasing</w:t>
      </w:r>
    </w:p>
    <w:p w14:paraId="54D66F5B" w14:textId="58DEAB0E" w:rsidR="008A05B8" w:rsidRPr="0055585B" w:rsidRDefault="0055585B" w:rsidP="008A05B8">
      <w:pPr>
        <w:pStyle w:val="ListParagraph"/>
        <w:numPr>
          <w:ilvl w:val="0"/>
          <w:numId w:val="26"/>
        </w:numPr>
      </w:pPr>
      <w:r w:rsidRPr="0055585B">
        <w:t>Channels (For NC only)</w:t>
      </w:r>
    </w:p>
    <w:p w14:paraId="2A2A60D3" w14:textId="36C992A0" w:rsidR="008A05B8" w:rsidRPr="0055585B" w:rsidRDefault="008A05B8" w:rsidP="008A05B8">
      <w:pPr>
        <w:pStyle w:val="ListParagraph"/>
        <w:numPr>
          <w:ilvl w:val="0"/>
          <w:numId w:val="26"/>
        </w:numPr>
      </w:pPr>
      <w:r w:rsidRPr="0055585B">
        <w:t>Cost Element Group</w:t>
      </w:r>
    </w:p>
    <w:p w14:paraId="0AF40000" w14:textId="77777777" w:rsidR="008A05B8" w:rsidRDefault="008A05B8">
      <w:pPr>
        <w:ind w:left="0"/>
        <w:jc w:val="left"/>
      </w:pPr>
      <w:r>
        <w:br w:type="page"/>
      </w:r>
    </w:p>
    <w:p w14:paraId="15DCBD37" w14:textId="77777777" w:rsidR="008A05B8" w:rsidRDefault="008A05B8" w:rsidP="008A05B8">
      <w:pPr>
        <w:ind w:left="0"/>
        <w:jc w:val="left"/>
      </w:pPr>
    </w:p>
    <w:p w14:paraId="37C1B23A" w14:textId="77777777" w:rsidR="008A05B8" w:rsidRDefault="008A05B8">
      <w:pPr>
        <w:ind w:left="0"/>
        <w:jc w:val="left"/>
      </w:pPr>
    </w:p>
    <w:p w14:paraId="7B23DB37" w14:textId="0C7FD6E2" w:rsidR="000D3264" w:rsidRDefault="004137E6" w:rsidP="00BA04C0">
      <w:pPr>
        <w:pStyle w:val="Heading1"/>
      </w:pPr>
      <w:r>
        <w:t>SHARED COST ALLOCATION</w:t>
      </w:r>
      <w:r w:rsidR="006D758E">
        <w:t xml:space="preserve"> (Not applicable to US)</w:t>
      </w:r>
    </w:p>
    <w:p w14:paraId="6029A0D4" w14:textId="380BC0A7" w:rsidR="000D3264" w:rsidRDefault="000D3264" w:rsidP="000D3264"/>
    <w:p w14:paraId="3A9C149F" w14:textId="10412535" w:rsidR="007A2C74" w:rsidRDefault="000D3264" w:rsidP="000D3264">
      <w:pPr>
        <w:ind w:left="360"/>
      </w:pPr>
      <w:r w:rsidRPr="000D3264">
        <w:t>The purpose of this section is to summarise the Group’s approach to accounting for shared and dedicated costs for Marketing in terms of allocation to respective Material Groups (Combustibles, New Categories etc).</w:t>
      </w:r>
      <w:r w:rsidR="007A2C74">
        <w:t xml:space="preserve"> The guidance applies to both 202</w:t>
      </w:r>
      <w:r w:rsidR="00E02F69">
        <w:t>1</w:t>
      </w:r>
      <w:r w:rsidR="007A2C74">
        <w:t xml:space="preserve"> and 202</w:t>
      </w:r>
      <w:r w:rsidR="00E02F69">
        <w:t>2</w:t>
      </w:r>
      <w:r w:rsidR="007A2C74">
        <w:t xml:space="preserve">. </w:t>
      </w:r>
    </w:p>
    <w:p w14:paraId="1485B1D8" w14:textId="77777777" w:rsidR="007A2C74" w:rsidRDefault="007A2C74" w:rsidP="000D3264">
      <w:pPr>
        <w:ind w:left="360"/>
      </w:pPr>
    </w:p>
    <w:p w14:paraId="47B63FA3" w14:textId="68046C21" w:rsidR="000D3264" w:rsidRPr="000D3264" w:rsidRDefault="000D3264" w:rsidP="000D3264">
      <w:pPr>
        <w:ind w:left="360"/>
      </w:pPr>
      <w:r w:rsidRPr="000D3264">
        <w:t xml:space="preserve">As an example, dedicated costs would include employee expenses for Trade Representatives covering New Categories only. Shared costs would include a Head of Marketing Finance who would split their time between Traditional and New Categories. Allocation rules are required to split Shared Costs between different categories.  </w:t>
      </w:r>
    </w:p>
    <w:p w14:paraId="18B79D52" w14:textId="77777777" w:rsidR="000D3264" w:rsidRDefault="000D3264" w:rsidP="000D3264">
      <w:pPr>
        <w:pStyle w:val="Bodytext0"/>
        <w:spacing w:after="0"/>
        <w:rPr>
          <w:rFonts w:asciiTheme="minorHAnsi" w:eastAsiaTheme="minorHAnsi" w:hAnsiTheme="minorHAnsi" w:cstheme="minorHAnsi"/>
          <w:b/>
          <w:color w:val="auto"/>
          <w:sz w:val="18"/>
          <w:szCs w:val="18"/>
        </w:rPr>
      </w:pPr>
    </w:p>
    <w:p w14:paraId="35B4208A" w14:textId="5CD955A6" w:rsidR="000D3264" w:rsidRPr="000D3264" w:rsidRDefault="000D3264" w:rsidP="000D3264">
      <w:pPr>
        <w:pStyle w:val="Bodytext0"/>
        <w:spacing w:after="0"/>
        <w:ind w:left="360"/>
        <w:rPr>
          <w:rFonts w:asciiTheme="minorHAnsi" w:eastAsiaTheme="minorHAnsi" w:hAnsiTheme="minorHAnsi" w:cstheme="minorHAnsi"/>
          <w:b/>
          <w:color w:val="auto"/>
          <w:sz w:val="18"/>
          <w:szCs w:val="18"/>
        </w:rPr>
      </w:pPr>
      <w:r w:rsidRPr="000D3264">
        <w:rPr>
          <w:rFonts w:asciiTheme="minorHAnsi" w:eastAsiaTheme="minorHAnsi" w:hAnsiTheme="minorHAnsi" w:cstheme="minorHAnsi"/>
          <w:b/>
          <w:color w:val="auto"/>
          <w:sz w:val="18"/>
          <w:szCs w:val="18"/>
        </w:rPr>
        <w:t>Approach to be followed</w:t>
      </w:r>
    </w:p>
    <w:p w14:paraId="74D95FC0" w14:textId="77777777" w:rsidR="000D3264" w:rsidRPr="000D3264" w:rsidRDefault="000D3264" w:rsidP="000D3264">
      <w:pPr>
        <w:pStyle w:val="ListParagraph"/>
        <w:ind w:left="0"/>
        <w:rPr>
          <w:szCs w:val="18"/>
        </w:rPr>
      </w:pPr>
    </w:p>
    <w:tbl>
      <w:tblPr>
        <w:tblStyle w:val="TableGrid"/>
        <w:tblW w:w="10485" w:type="dxa"/>
        <w:tblInd w:w="-5" w:type="dxa"/>
        <w:tblLook w:val="04A0" w:firstRow="1" w:lastRow="0" w:firstColumn="1" w:lastColumn="0" w:noHBand="0" w:noVBand="1"/>
      </w:tblPr>
      <w:tblGrid>
        <w:gridCol w:w="1577"/>
        <w:gridCol w:w="2040"/>
        <w:gridCol w:w="6868"/>
      </w:tblGrid>
      <w:tr w:rsidR="0055585B" w:rsidRPr="0055585B" w14:paraId="1F8942C9" w14:textId="77777777" w:rsidTr="0055585B">
        <w:trPr>
          <w:trHeight w:val="106"/>
        </w:trPr>
        <w:tc>
          <w:tcPr>
            <w:tcW w:w="1577" w:type="dxa"/>
          </w:tcPr>
          <w:p w14:paraId="31859539" w14:textId="77777777" w:rsidR="0055585B" w:rsidRPr="0055585B" w:rsidRDefault="0055585B" w:rsidP="0055585B">
            <w:pPr>
              <w:pStyle w:val="ListParagraph"/>
              <w:ind w:left="0"/>
              <w:jc w:val="center"/>
              <w:rPr>
                <w:rFonts w:asciiTheme="majorHAnsi" w:hAnsiTheme="majorHAnsi" w:cstheme="majorHAnsi"/>
                <w:b/>
                <w:bCs w:val="0"/>
                <w:sz w:val="16"/>
                <w:szCs w:val="22"/>
              </w:rPr>
            </w:pPr>
            <w:r w:rsidRPr="0055585B">
              <w:rPr>
                <w:rFonts w:asciiTheme="majorHAnsi" w:hAnsiTheme="majorHAnsi" w:cstheme="majorHAnsi"/>
                <w:b/>
                <w:bCs w:val="0"/>
                <w:sz w:val="16"/>
                <w:szCs w:val="22"/>
              </w:rPr>
              <w:t>P&amp;L Line</w:t>
            </w:r>
          </w:p>
        </w:tc>
        <w:tc>
          <w:tcPr>
            <w:tcW w:w="2040" w:type="dxa"/>
          </w:tcPr>
          <w:p w14:paraId="6CBA6EFE" w14:textId="77777777" w:rsidR="0055585B" w:rsidRPr="0055585B" w:rsidRDefault="0055585B" w:rsidP="0055585B">
            <w:pPr>
              <w:pStyle w:val="ListParagraph"/>
              <w:ind w:left="0"/>
              <w:jc w:val="center"/>
              <w:rPr>
                <w:rFonts w:asciiTheme="majorHAnsi" w:hAnsiTheme="majorHAnsi" w:cstheme="majorHAnsi"/>
                <w:b/>
                <w:bCs w:val="0"/>
                <w:sz w:val="16"/>
                <w:szCs w:val="22"/>
              </w:rPr>
            </w:pPr>
            <w:r w:rsidRPr="0055585B">
              <w:rPr>
                <w:rFonts w:asciiTheme="majorHAnsi" w:hAnsiTheme="majorHAnsi" w:cstheme="majorHAnsi"/>
                <w:b/>
                <w:bCs w:val="0"/>
                <w:sz w:val="16"/>
                <w:szCs w:val="22"/>
              </w:rPr>
              <w:t>Direct Cost Allocation</w:t>
            </w:r>
          </w:p>
        </w:tc>
        <w:tc>
          <w:tcPr>
            <w:tcW w:w="6868" w:type="dxa"/>
          </w:tcPr>
          <w:p w14:paraId="4740E475" w14:textId="77777777" w:rsidR="0055585B" w:rsidRPr="0055585B" w:rsidRDefault="0055585B" w:rsidP="0055585B">
            <w:pPr>
              <w:pStyle w:val="ListParagraph"/>
              <w:ind w:left="0"/>
              <w:jc w:val="center"/>
              <w:rPr>
                <w:rFonts w:asciiTheme="majorHAnsi" w:hAnsiTheme="majorHAnsi" w:cstheme="majorHAnsi"/>
                <w:b/>
                <w:bCs w:val="0"/>
                <w:sz w:val="16"/>
                <w:szCs w:val="22"/>
              </w:rPr>
            </w:pPr>
            <w:r w:rsidRPr="0055585B">
              <w:rPr>
                <w:rFonts w:asciiTheme="majorHAnsi" w:hAnsiTheme="majorHAnsi" w:cstheme="majorHAnsi"/>
                <w:b/>
                <w:bCs w:val="0"/>
                <w:sz w:val="16"/>
                <w:szCs w:val="22"/>
              </w:rPr>
              <w:t>Shared Cost Allocation</w:t>
            </w:r>
          </w:p>
        </w:tc>
      </w:tr>
      <w:tr w:rsidR="0055585B" w:rsidRPr="0055585B" w14:paraId="17859BAB" w14:textId="77777777" w:rsidTr="0055585B">
        <w:trPr>
          <w:trHeight w:val="268"/>
        </w:trPr>
        <w:tc>
          <w:tcPr>
            <w:tcW w:w="1577" w:type="dxa"/>
            <w:vAlign w:val="center"/>
          </w:tcPr>
          <w:p w14:paraId="6FD3CA2B"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Above NTO lines</w:t>
            </w:r>
          </w:p>
        </w:tc>
        <w:tc>
          <w:tcPr>
            <w:tcW w:w="2040" w:type="dxa"/>
            <w:vAlign w:val="center"/>
          </w:tcPr>
          <w:p w14:paraId="2AFFD9D2"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Automatically allocated at SKU level</w:t>
            </w:r>
          </w:p>
        </w:tc>
        <w:tc>
          <w:tcPr>
            <w:tcW w:w="6868" w:type="dxa"/>
            <w:shd w:val="clear" w:color="auto" w:fill="808080" w:themeFill="background1" w:themeFillShade="80"/>
            <w:vAlign w:val="center"/>
          </w:tcPr>
          <w:p w14:paraId="34540D0E" w14:textId="77777777" w:rsidR="0055585B" w:rsidRPr="0055585B" w:rsidRDefault="0055585B" w:rsidP="0055585B">
            <w:pPr>
              <w:pStyle w:val="ListParagraph"/>
              <w:ind w:left="0"/>
              <w:rPr>
                <w:rFonts w:asciiTheme="majorHAnsi" w:hAnsiTheme="majorHAnsi" w:cstheme="majorHAnsi"/>
                <w:szCs w:val="18"/>
              </w:rPr>
            </w:pPr>
          </w:p>
        </w:tc>
      </w:tr>
      <w:tr w:rsidR="0055585B" w:rsidRPr="0055585B" w14:paraId="2A6B7731" w14:textId="77777777" w:rsidTr="0055585B">
        <w:trPr>
          <w:trHeight w:val="276"/>
        </w:trPr>
        <w:tc>
          <w:tcPr>
            <w:tcW w:w="1577" w:type="dxa"/>
            <w:vAlign w:val="center"/>
          </w:tcPr>
          <w:p w14:paraId="7BB1B0D4"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MI in GTO</w:t>
            </w:r>
          </w:p>
        </w:tc>
        <w:tc>
          <w:tcPr>
            <w:tcW w:w="2040" w:type="dxa"/>
            <w:vAlign w:val="center"/>
          </w:tcPr>
          <w:p w14:paraId="6AD9C0AE"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Automatically allocated based on WBS</w:t>
            </w:r>
          </w:p>
        </w:tc>
        <w:tc>
          <w:tcPr>
            <w:tcW w:w="6868" w:type="dxa"/>
            <w:shd w:val="clear" w:color="auto" w:fill="808080" w:themeFill="background1" w:themeFillShade="80"/>
            <w:vAlign w:val="center"/>
          </w:tcPr>
          <w:p w14:paraId="3EC1C33B" w14:textId="77777777" w:rsidR="0055585B" w:rsidRPr="0055585B" w:rsidRDefault="0055585B" w:rsidP="0055585B">
            <w:pPr>
              <w:pStyle w:val="ListParagraph"/>
              <w:ind w:left="0"/>
              <w:rPr>
                <w:rFonts w:asciiTheme="majorHAnsi" w:hAnsiTheme="majorHAnsi" w:cstheme="majorHAnsi"/>
                <w:szCs w:val="18"/>
              </w:rPr>
            </w:pPr>
          </w:p>
        </w:tc>
      </w:tr>
      <w:tr w:rsidR="0055585B" w:rsidRPr="0055585B" w14:paraId="283B6412" w14:textId="77777777" w:rsidTr="0055585B">
        <w:trPr>
          <w:trHeight w:val="268"/>
        </w:trPr>
        <w:tc>
          <w:tcPr>
            <w:tcW w:w="1577" w:type="dxa"/>
            <w:vAlign w:val="center"/>
          </w:tcPr>
          <w:p w14:paraId="77C85496"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Cost of Sales</w:t>
            </w:r>
          </w:p>
        </w:tc>
        <w:tc>
          <w:tcPr>
            <w:tcW w:w="2040" w:type="dxa"/>
            <w:vAlign w:val="center"/>
          </w:tcPr>
          <w:p w14:paraId="5B61EAC3"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Automatically allocated at SKU level and Cost Centres</w:t>
            </w:r>
          </w:p>
        </w:tc>
        <w:tc>
          <w:tcPr>
            <w:tcW w:w="6868" w:type="dxa"/>
            <w:vAlign w:val="center"/>
          </w:tcPr>
          <w:p w14:paraId="567826CF"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Shared Cost to be allocated based on NTO proportion ONLY if the TOTAL New Categories NTO is more than 10% of Market NTO.</w:t>
            </w:r>
          </w:p>
          <w:p w14:paraId="5A75C996"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 xml:space="preserve">In the case where a market has more than one New Category products (THP, Vapour, Modern Oral), cost should be allocated if the total NTO of combined New Categories exceed 10% of Market NTO. </w:t>
            </w:r>
          </w:p>
          <w:p w14:paraId="73C35907"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e.g. If a market has 3% THP NTO, 5% Vapour NTO and 4% Modern Oral NTO, it needs to allocate shared costs to New Categories as combined NTO is more than 10%. Shared Costs should be proportioned between different Products based on their NTO. So, 3% of Shared Costs should go to THP, 5% to Vapour and 4% of Modern Oral.</w:t>
            </w:r>
          </w:p>
        </w:tc>
      </w:tr>
      <w:tr w:rsidR="0055585B" w:rsidRPr="0055585B" w14:paraId="3095A97A" w14:textId="77777777" w:rsidTr="0055585B">
        <w:trPr>
          <w:trHeight w:val="268"/>
        </w:trPr>
        <w:tc>
          <w:tcPr>
            <w:tcW w:w="1577" w:type="dxa"/>
            <w:vAlign w:val="center"/>
          </w:tcPr>
          <w:p w14:paraId="097ACA34"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Brand Expenditure</w:t>
            </w:r>
          </w:p>
        </w:tc>
        <w:tc>
          <w:tcPr>
            <w:tcW w:w="2040" w:type="dxa"/>
            <w:vAlign w:val="center"/>
          </w:tcPr>
          <w:p w14:paraId="46ABE131"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Automatically allocated based on WBS</w:t>
            </w:r>
          </w:p>
        </w:tc>
        <w:tc>
          <w:tcPr>
            <w:tcW w:w="6868" w:type="dxa"/>
            <w:shd w:val="clear" w:color="auto" w:fill="808080" w:themeFill="background1" w:themeFillShade="80"/>
            <w:vAlign w:val="center"/>
          </w:tcPr>
          <w:p w14:paraId="4AEAE666" w14:textId="77777777" w:rsidR="0055585B" w:rsidRPr="0055585B" w:rsidRDefault="0055585B" w:rsidP="0055585B">
            <w:pPr>
              <w:pStyle w:val="ListParagraph"/>
              <w:ind w:left="0"/>
              <w:rPr>
                <w:rFonts w:asciiTheme="majorHAnsi" w:hAnsiTheme="majorHAnsi" w:cstheme="majorHAnsi"/>
                <w:szCs w:val="18"/>
              </w:rPr>
            </w:pPr>
          </w:p>
        </w:tc>
      </w:tr>
      <w:tr w:rsidR="0055585B" w:rsidRPr="0055585B" w14:paraId="5ABC6F8A" w14:textId="77777777" w:rsidTr="0055585B">
        <w:trPr>
          <w:trHeight w:val="583"/>
        </w:trPr>
        <w:tc>
          <w:tcPr>
            <w:tcW w:w="1577" w:type="dxa"/>
            <w:vAlign w:val="center"/>
          </w:tcPr>
          <w:p w14:paraId="78937FAA"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NBE: RTM Overheads</w:t>
            </w:r>
          </w:p>
        </w:tc>
        <w:tc>
          <w:tcPr>
            <w:tcW w:w="2040" w:type="dxa"/>
            <w:vMerge w:val="restart"/>
            <w:vAlign w:val="center"/>
          </w:tcPr>
          <w:p w14:paraId="4D958E80"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To be allocated if 100% dedicated to New Categories</w:t>
            </w:r>
          </w:p>
        </w:tc>
        <w:tc>
          <w:tcPr>
            <w:tcW w:w="6868" w:type="dxa"/>
            <w:vMerge w:val="restart"/>
            <w:vAlign w:val="center"/>
          </w:tcPr>
          <w:p w14:paraId="7D889425"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Shared Cost to be allocated based on NTO proportion ONLY if the TOTAL New Categories NTO is more than 10% of Market NTO.</w:t>
            </w:r>
          </w:p>
          <w:p w14:paraId="7BA852DD"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 xml:space="preserve">In the case where a market has more than one New Category products (THP, Vapour, Modern Oral), cost should be allocated if the total NTO of combined New Categories exceed 10% of Market NTO. </w:t>
            </w:r>
          </w:p>
          <w:p w14:paraId="037FD935"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e.g. If a market has 3% THP NTO, 5% Vapour NTO and 4% Modern Oral NTO, it needs to allocate shared costs to New Categories as combined NTO is more than 10%. Shared Costs should be proportioned between different Products based on their NTO. So, 3% of Shared Costs should go to THP, 5% to Vapour and 4% of Modern Oral.</w:t>
            </w:r>
          </w:p>
        </w:tc>
      </w:tr>
      <w:tr w:rsidR="0055585B" w:rsidRPr="0055585B" w14:paraId="209B832F" w14:textId="77777777" w:rsidTr="0055585B">
        <w:trPr>
          <w:trHeight w:val="583"/>
        </w:trPr>
        <w:tc>
          <w:tcPr>
            <w:tcW w:w="1577" w:type="dxa"/>
            <w:vAlign w:val="center"/>
          </w:tcPr>
          <w:p w14:paraId="0A0FDE33"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NBE: Marketing Overheads</w:t>
            </w:r>
          </w:p>
        </w:tc>
        <w:tc>
          <w:tcPr>
            <w:tcW w:w="2040" w:type="dxa"/>
            <w:vMerge/>
            <w:vAlign w:val="center"/>
          </w:tcPr>
          <w:p w14:paraId="1DCBEE92" w14:textId="77777777" w:rsidR="0055585B" w:rsidRPr="0055585B" w:rsidRDefault="0055585B" w:rsidP="0055585B">
            <w:pPr>
              <w:pStyle w:val="ListParagraph"/>
              <w:ind w:left="0"/>
              <w:rPr>
                <w:rFonts w:asciiTheme="majorHAnsi" w:hAnsiTheme="majorHAnsi" w:cstheme="majorHAnsi"/>
                <w:szCs w:val="18"/>
              </w:rPr>
            </w:pPr>
          </w:p>
        </w:tc>
        <w:tc>
          <w:tcPr>
            <w:tcW w:w="6868" w:type="dxa"/>
            <w:vMerge/>
            <w:vAlign w:val="center"/>
          </w:tcPr>
          <w:p w14:paraId="338C18AD" w14:textId="77777777" w:rsidR="0055585B" w:rsidRPr="0055585B" w:rsidRDefault="0055585B" w:rsidP="0055585B">
            <w:pPr>
              <w:pStyle w:val="ListParagraph"/>
              <w:ind w:left="0"/>
              <w:rPr>
                <w:rFonts w:asciiTheme="majorHAnsi" w:hAnsiTheme="majorHAnsi" w:cstheme="majorHAnsi"/>
                <w:szCs w:val="18"/>
              </w:rPr>
            </w:pPr>
          </w:p>
        </w:tc>
      </w:tr>
      <w:tr w:rsidR="0055585B" w:rsidRPr="0055585B" w14:paraId="0AF20687" w14:textId="77777777" w:rsidTr="0055585B">
        <w:trPr>
          <w:trHeight w:val="79"/>
        </w:trPr>
        <w:tc>
          <w:tcPr>
            <w:tcW w:w="1577" w:type="dxa"/>
            <w:vAlign w:val="center"/>
          </w:tcPr>
          <w:p w14:paraId="09046FDA"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R&amp;D Costs</w:t>
            </w:r>
          </w:p>
        </w:tc>
        <w:tc>
          <w:tcPr>
            <w:tcW w:w="2040" w:type="dxa"/>
            <w:vMerge/>
            <w:vAlign w:val="center"/>
          </w:tcPr>
          <w:p w14:paraId="0A43C681" w14:textId="77777777" w:rsidR="0055585B" w:rsidRPr="0055585B" w:rsidRDefault="0055585B" w:rsidP="0055585B">
            <w:pPr>
              <w:pStyle w:val="ListParagraph"/>
              <w:ind w:left="0"/>
              <w:rPr>
                <w:rFonts w:asciiTheme="majorHAnsi" w:hAnsiTheme="majorHAnsi" w:cstheme="majorHAnsi"/>
                <w:szCs w:val="18"/>
              </w:rPr>
            </w:pPr>
          </w:p>
        </w:tc>
        <w:tc>
          <w:tcPr>
            <w:tcW w:w="6868" w:type="dxa"/>
            <w:vMerge/>
            <w:vAlign w:val="center"/>
          </w:tcPr>
          <w:p w14:paraId="65230134" w14:textId="77777777" w:rsidR="0055585B" w:rsidRPr="0055585B" w:rsidRDefault="0055585B" w:rsidP="0055585B">
            <w:pPr>
              <w:pStyle w:val="ListParagraph"/>
              <w:ind w:left="0"/>
              <w:rPr>
                <w:rFonts w:asciiTheme="majorHAnsi" w:hAnsiTheme="majorHAnsi" w:cstheme="majorHAnsi"/>
                <w:szCs w:val="18"/>
              </w:rPr>
            </w:pPr>
          </w:p>
        </w:tc>
      </w:tr>
      <w:tr w:rsidR="0055585B" w:rsidRPr="0055585B" w14:paraId="33AFE3FC" w14:textId="77777777" w:rsidTr="0055585B">
        <w:trPr>
          <w:trHeight w:val="583"/>
        </w:trPr>
        <w:tc>
          <w:tcPr>
            <w:tcW w:w="1577" w:type="dxa"/>
            <w:vAlign w:val="center"/>
          </w:tcPr>
          <w:p w14:paraId="01F12C55"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*Admin Overheads</w:t>
            </w:r>
          </w:p>
        </w:tc>
        <w:tc>
          <w:tcPr>
            <w:tcW w:w="2040" w:type="dxa"/>
            <w:vMerge/>
            <w:vAlign w:val="center"/>
          </w:tcPr>
          <w:p w14:paraId="1C3E70B4" w14:textId="77777777" w:rsidR="0055585B" w:rsidRPr="0055585B" w:rsidRDefault="0055585B" w:rsidP="0055585B">
            <w:pPr>
              <w:pStyle w:val="ListParagraph"/>
              <w:ind w:left="0"/>
              <w:rPr>
                <w:rFonts w:asciiTheme="majorHAnsi" w:hAnsiTheme="majorHAnsi" w:cstheme="majorHAnsi"/>
                <w:szCs w:val="18"/>
              </w:rPr>
            </w:pPr>
          </w:p>
        </w:tc>
        <w:tc>
          <w:tcPr>
            <w:tcW w:w="6868" w:type="dxa"/>
            <w:vMerge w:val="restart"/>
            <w:vAlign w:val="center"/>
          </w:tcPr>
          <w:p w14:paraId="2276693C" w14:textId="77777777" w:rsidR="0055585B" w:rsidRPr="0055585B" w:rsidRDefault="0055585B" w:rsidP="0055585B">
            <w:pPr>
              <w:pStyle w:val="ListParagraph"/>
              <w:ind w:left="0"/>
              <w:rPr>
                <w:rFonts w:asciiTheme="majorHAnsi" w:hAnsiTheme="majorHAnsi" w:cstheme="majorHAnsi"/>
                <w:szCs w:val="18"/>
              </w:rPr>
            </w:pPr>
            <w:r w:rsidRPr="0055585B">
              <w:rPr>
                <w:rFonts w:asciiTheme="majorHAnsi" w:hAnsiTheme="majorHAnsi" w:cstheme="majorHAnsi"/>
                <w:szCs w:val="18"/>
              </w:rPr>
              <w:t xml:space="preserve">Shared Costs allocation not required. </w:t>
            </w:r>
          </w:p>
        </w:tc>
      </w:tr>
      <w:tr w:rsidR="0055585B" w:rsidRPr="0055585B" w14:paraId="032E8FD8" w14:textId="77777777" w:rsidTr="0055585B">
        <w:trPr>
          <w:trHeight w:val="583"/>
        </w:trPr>
        <w:tc>
          <w:tcPr>
            <w:tcW w:w="1577" w:type="dxa"/>
            <w:vAlign w:val="center"/>
          </w:tcPr>
          <w:p w14:paraId="7DCA156E" w14:textId="77777777" w:rsidR="0055585B" w:rsidRPr="0055585B" w:rsidRDefault="0055585B" w:rsidP="0055585B">
            <w:pPr>
              <w:pStyle w:val="ListParagraph"/>
              <w:ind w:left="0"/>
              <w:jc w:val="center"/>
              <w:rPr>
                <w:rFonts w:asciiTheme="majorHAnsi" w:hAnsiTheme="majorHAnsi" w:cstheme="majorHAnsi"/>
                <w:szCs w:val="18"/>
              </w:rPr>
            </w:pPr>
            <w:r w:rsidRPr="0055585B">
              <w:rPr>
                <w:rFonts w:asciiTheme="majorHAnsi" w:hAnsiTheme="majorHAnsi" w:cstheme="majorHAnsi"/>
                <w:szCs w:val="18"/>
              </w:rPr>
              <w:t>*OIE</w:t>
            </w:r>
          </w:p>
          <w:p w14:paraId="4CA529D3" w14:textId="77777777" w:rsidR="0055585B" w:rsidRPr="0055585B" w:rsidRDefault="0055585B" w:rsidP="0055585B">
            <w:pPr>
              <w:rPr>
                <w:sz w:val="16"/>
                <w:szCs w:val="22"/>
              </w:rPr>
            </w:pPr>
          </w:p>
        </w:tc>
        <w:tc>
          <w:tcPr>
            <w:tcW w:w="2040" w:type="dxa"/>
            <w:vMerge/>
          </w:tcPr>
          <w:p w14:paraId="77427012" w14:textId="77777777" w:rsidR="0055585B" w:rsidRPr="0055585B" w:rsidRDefault="0055585B" w:rsidP="0055585B">
            <w:pPr>
              <w:pStyle w:val="ListParagraph"/>
              <w:ind w:left="0"/>
              <w:jc w:val="center"/>
              <w:rPr>
                <w:rFonts w:asciiTheme="majorHAnsi" w:hAnsiTheme="majorHAnsi" w:cstheme="majorHAnsi"/>
                <w:szCs w:val="18"/>
              </w:rPr>
            </w:pPr>
          </w:p>
        </w:tc>
        <w:tc>
          <w:tcPr>
            <w:tcW w:w="6868" w:type="dxa"/>
            <w:vMerge/>
          </w:tcPr>
          <w:p w14:paraId="4AD25C5F" w14:textId="77777777" w:rsidR="0055585B" w:rsidRPr="0055585B" w:rsidRDefault="0055585B" w:rsidP="0055585B">
            <w:pPr>
              <w:pStyle w:val="ListParagraph"/>
              <w:ind w:left="0"/>
              <w:jc w:val="center"/>
              <w:rPr>
                <w:rFonts w:asciiTheme="majorHAnsi" w:hAnsiTheme="majorHAnsi" w:cstheme="majorHAnsi"/>
                <w:szCs w:val="18"/>
              </w:rPr>
            </w:pPr>
          </w:p>
        </w:tc>
      </w:tr>
    </w:tbl>
    <w:p w14:paraId="46AE601E" w14:textId="77777777" w:rsidR="000D3264" w:rsidRPr="0055585B" w:rsidRDefault="000D3264" w:rsidP="000D3264">
      <w:pPr>
        <w:ind w:left="720"/>
        <w:rPr>
          <w:b/>
          <w:bCs w:val="0"/>
          <w:sz w:val="16"/>
          <w:szCs w:val="16"/>
        </w:rPr>
      </w:pPr>
    </w:p>
    <w:p w14:paraId="7621B9E1" w14:textId="77777777" w:rsidR="0055585B" w:rsidRPr="00B70139" w:rsidRDefault="0055585B" w:rsidP="0055585B">
      <w:pPr>
        <w:pStyle w:val="Footer"/>
        <w:ind w:left="0"/>
      </w:pPr>
      <w:r>
        <w:t>*These lines are not required for Category Contribution but are used for assessing LRD profitability, hence the requirement.</w:t>
      </w:r>
    </w:p>
    <w:p w14:paraId="06E4EE25" w14:textId="77777777" w:rsidR="0055585B" w:rsidRPr="00B717FC" w:rsidRDefault="0055585B" w:rsidP="0055585B">
      <w:pPr>
        <w:ind w:left="284"/>
        <w:rPr>
          <w:rFonts w:asciiTheme="majorHAnsi" w:hAnsiTheme="majorHAnsi" w:cstheme="majorHAnsi"/>
          <w:b/>
          <w:bCs w:val="0"/>
        </w:rPr>
      </w:pPr>
      <w:r>
        <w:rPr>
          <w:rFonts w:asciiTheme="majorHAnsi" w:hAnsiTheme="majorHAnsi" w:cstheme="majorHAnsi"/>
          <w:b/>
          <w:bCs w:val="0"/>
        </w:rPr>
        <w:t xml:space="preserve">Markets will need to create dedicated New Categories cost centres (if not already set up) to enable the correct reporting.  </w:t>
      </w:r>
      <w:r w:rsidRPr="00B717FC">
        <w:rPr>
          <w:rFonts w:asciiTheme="majorHAnsi" w:hAnsiTheme="majorHAnsi" w:cstheme="majorHAnsi"/>
          <w:b/>
          <w:bCs w:val="0"/>
        </w:rPr>
        <w:t>Material Group related to New Categories’ product must be assigned to each New Categories’ cost centre.</w:t>
      </w:r>
    </w:p>
    <w:p w14:paraId="35EAA621" w14:textId="77777777" w:rsidR="000D3264" w:rsidRPr="000D3264" w:rsidRDefault="000D3264" w:rsidP="000D3264"/>
    <w:p w14:paraId="2476A59A" w14:textId="77777777" w:rsidR="000D3264" w:rsidRDefault="000D3264" w:rsidP="00BA04C0">
      <w:pPr>
        <w:pStyle w:val="Heading1"/>
      </w:pPr>
    </w:p>
    <w:p w14:paraId="1C3426AC" w14:textId="77777777" w:rsidR="000D3264" w:rsidRDefault="000D3264" w:rsidP="00BA04C0">
      <w:pPr>
        <w:pStyle w:val="Heading1"/>
      </w:pPr>
    </w:p>
    <w:p w14:paraId="31FB422C" w14:textId="2101568C" w:rsidR="000D3264" w:rsidRDefault="000D3264">
      <w:pPr>
        <w:ind w:left="0"/>
        <w:jc w:val="left"/>
        <w:rPr>
          <w:rFonts w:cs="Arial"/>
          <w:b/>
          <w:bCs w:val="0"/>
          <w:kern w:val="32"/>
          <w:sz w:val="22"/>
          <w:szCs w:val="32"/>
        </w:rPr>
      </w:pPr>
      <w:r>
        <w:br w:type="page"/>
      </w:r>
    </w:p>
    <w:p w14:paraId="60ECB52D" w14:textId="2308E1A2" w:rsidR="000D3264" w:rsidRDefault="000D3264" w:rsidP="000D3264">
      <w:pPr>
        <w:ind w:left="0"/>
        <w:jc w:val="left"/>
        <w:rPr>
          <w:b/>
          <w:bCs w:val="0"/>
        </w:rPr>
      </w:pPr>
      <w:bookmarkStart w:id="1" w:name="_Hlk25590369"/>
      <w:bookmarkEnd w:id="0"/>
    </w:p>
    <w:p w14:paraId="78FC0978" w14:textId="77777777" w:rsidR="00B5444D" w:rsidRDefault="00B5444D" w:rsidP="00B5444D">
      <w:pPr>
        <w:pStyle w:val="ListParagraph"/>
        <w:ind w:left="644"/>
        <w:rPr>
          <w:b/>
          <w:bCs w:val="0"/>
        </w:rPr>
      </w:pPr>
    </w:p>
    <w:p w14:paraId="3C48EEA0" w14:textId="2F459A61" w:rsidR="00964814" w:rsidRPr="00E50471" w:rsidRDefault="00964814" w:rsidP="00BA04C0">
      <w:pPr>
        <w:pStyle w:val="Heading1"/>
      </w:pPr>
      <w:r w:rsidRPr="00E50471">
        <w:t>N</w:t>
      </w:r>
      <w:r w:rsidR="003E237E">
        <w:t>EW CATEGORIES INSTRUCTIONS FOR SOP</w:t>
      </w:r>
      <w:r w:rsidR="00424F82">
        <w:t>4</w:t>
      </w:r>
    </w:p>
    <w:bookmarkEnd w:id="1"/>
    <w:p w14:paraId="2DD1DAEC" w14:textId="77777777" w:rsidR="008F3063" w:rsidRPr="00E50471" w:rsidRDefault="008F3063" w:rsidP="00E50471"/>
    <w:p w14:paraId="66C8533E" w14:textId="76429C88" w:rsidR="00CF62F8" w:rsidRPr="00E50471" w:rsidRDefault="003E237E" w:rsidP="000D3264">
      <w:pPr>
        <w:ind w:left="360"/>
      </w:pPr>
      <w:bookmarkStart w:id="2" w:name="_Hlk25590376"/>
      <w:r>
        <w:t xml:space="preserve">Unless specified otherwise, the </w:t>
      </w:r>
      <w:r w:rsidR="006D758E">
        <w:t xml:space="preserve">below </w:t>
      </w:r>
      <w:r>
        <w:t>r</w:t>
      </w:r>
      <w:r w:rsidR="005729AE" w:rsidRPr="00E50471">
        <w:t xml:space="preserve">eporting requirements for New Categories </w:t>
      </w:r>
      <w:r>
        <w:t>apply to</w:t>
      </w:r>
      <w:r w:rsidR="005729AE" w:rsidRPr="00E50471">
        <w:t xml:space="preserve"> </w:t>
      </w:r>
      <w:r w:rsidR="00D713F2" w:rsidRPr="00E50471">
        <w:t>202</w:t>
      </w:r>
      <w:r w:rsidR="00685527">
        <w:t>1</w:t>
      </w:r>
      <w:r w:rsidR="00D713F2" w:rsidRPr="00E50471">
        <w:t xml:space="preserve"> and 202</w:t>
      </w:r>
      <w:r w:rsidR="00685527">
        <w:t>2</w:t>
      </w:r>
      <w:r w:rsidR="005729AE" w:rsidRPr="00E50471">
        <w:t>:</w:t>
      </w:r>
    </w:p>
    <w:bookmarkEnd w:id="2"/>
    <w:p w14:paraId="2E2E649D" w14:textId="77777777" w:rsidR="005729AE" w:rsidRPr="00E50471" w:rsidRDefault="005729AE" w:rsidP="000D3264">
      <w:pPr>
        <w:ind w:left="360"/>
      </w:pPr>
    </w:p>
    <w:p w14:paraId="44D6B4E0" w14:textId="77777777" w:rsidR="005729AE" w:rsidRPr="00E50471" w:rsidRDefault="005729AE" w:rsidP="000D3264">
      <w:pPr>
        <w:ind w:left="360"/>
        <w:rPr>
          <w:b/>
          <w:bCs w:val="0"/>
        </w:rPr>
      </w:pPr>
      <w:bookmarkStart w:id="3" w:name="_Toc270684168"/>
      <w:bookmarkStart w:id="4" w:name="_Toc436381668"/>
      <w:bookmarkStart w:id="5" w:name="_Toc522789945"/>
      <w:bookmarkStart w:id="6" w:name="_Toc522790287"/>
      <w:r w:rsidRPr="00E50471">
        <w:rPr>
          <w:b/>
          <w:bCs w:val="0"/>
        </w:rPr>
        <w:t>Net Turnover</w:t>
      </w:r>
    </w:p>
    <w:p w14:paraId="741F6094" w14:textId="77777777" w:rsidR="00BF66A8" w:rsidRDefault="00BF66A8" w:rsidP="000D3264">
      <w:pPr>
        <w:ind w:left="360"/>
      </w:pPr>
    </w:p>
    <w:p w14:paraId="7BE5C70B" w14:textId="31C88191" w:rsidR="005729AE" w:rsidRPr="00E50471" w:rsidRDefault="005729AE" w:rsidP="000D3264">
      <w:pPr>
        <w:ind w:left="360"/>
      </w:pPr>
      <w:r w:rsidRPr="00E50471">
        <w:t>•</w:t>
      </w:r>
      <w:r w:rsidRPr="00E50471">
        <w:tab/>
        <w:t xml:space="preserve">Review the NTO/unit for each Brand Range to </w:t>
      </w:r>
      <w:r w:rsidR="00BF66A8">
        <w:t>ensure</w:t>
      </w:r>
      <w:r w:rsidRPr="00E50471">
        <w:t xml:space="preserve"> the reporting is accurate</w:t>
      </w:r>
      <w:r w:rsidR="00BF66A8">
        <w:t>ly reflected</w:t>
      </w:r>
      <w:r w:rsidRPr="00E50471">
        <w:t xml:space="preserve">. </w:t>
      </w:r>
    </w:p>
    <w:p w14:paraId="3911F0C0" w14:textId="77777777" w:rsidR="005729AE" w:rsidRPr="00E50471" w:rsidRDefault="005729AE" w:rsidP="000D3264">
      <w:pPr>
        <w:ind w:left="360"/>
      </w:pPr>
      <w:r w:rsidRPr="00E50471">
        <w:t xml:space="preserve">                                                                                                                                                                                                                                            </w:t>
      </w:r>
    </w:p>
    <w:p w14:paraId="004DC40E" w14:textId="2D400D15" w:rsidR="005729AE" w:rsidRPr="00E50471" w:rsidRDefault="00DA78CE" w:rsidP="000D3264">
      <w:pPr>
        <w:ind w:left="360"/>
        <w:rPr>
          <w:b/>
          <w:bCs w:val="0"/>
        </w:rPr>
      </w:pPr>
      <w:r>
        <w:rPr>
          <w:b/>
          <w:bCs w:val="0"/>
        </w:rPr>
        <w:t>Brand Range Reporting</w:t>
      </w:r>
    </w:p>
    <w:p w14:paraId="24A5A63A" w14:textId="77777777" w:rsidR="00BF66A8" w:rsidRDefault="00BF66A8" w:rsidP="000D3264">
      <w:pPr>
        <w:ind w:left="360"/>
      </w:pPr>
    </w:p>
    <w:p w14:paraId="688A662B" w14:textId="77777777" w:rsidR="00D5510D" w:rsidRDefault="005729AE" w:rsidP="00D5510D">
      <w:pPr>
        <w:ind w:left="720" w:hanging="360"/>
      </w:pPr>
      <w:r w:rsidRPr="00E50471">
        <w:t>•</w:t>
      </w:r>
      <w:r w:rsidRPr="00E50471">
        <w:tab/>
        <w:t xml:space="preserve">Reporting for </w:t>
      </w:r>
      <w:r w:rsidR="00DA78CE">
        <w:t xml:space="preserve">all </w:t>
      </w:r>
      <w:r w:rsidR="00BF66A8" w:rsidRPr="00E50471">
        <w:t>markets</w:t>
      </w:r>
      <w:r w:rsidR="00BF66A8">
        <w:t xml:space="preserve"> </w:t>
      </w:r>
      <w:r w:rsidR="00DA78CE">
        <w:t xml:space="preserve">(including </w:t>
      </w:r>
      <w:r w:rsidRPr="00E50471">
        <w:t>Non-TaO</w:t>
      </w:r>
      <w:r w:rsidR="00DA78CE">
        <w:t>)</w:t>
      </w:r>
      <w:r w:rsidRPr="00E50471">
        <w:t xml:space="preserve"> should be focused on specific Brand Ranges only, e.g. epen3. Action for Markets/Regions: Attached is a list of the Brand Ranges which markets should focus on – please ensure that the reporting of NTO and CoS (absolute and per unit) is addressed</w:t>
      </w:r>
      <w:r w:rsidR="00BF66A8">
        <w:t>, particularly</w:t>
      </w:r>
      <w:r w:rsidRPr="00E50471">
        <w:t xml:space="preserve"> for these ranges only. </w:t>
      </w:r>
    </w:p>
    <w:p w14:paraId="4266F972" w14:textId="6B4F9EC2" w:rsidR="005729AE" w:rsidRDefault="00D5510D" w:rsidP="00D5510D">
      <w:pPr>
        <w:pStyle w:val="ListParagraph"/>
        <w:numPr>
          <w:ilvl w:val="0"/>
          <w:numId w:val="25"/>
        </w:numPr>
      </w:pPr>
      <w:r w:rsidRPr="00D5510D">
        <w:t>Though there are currently no THP consumable Brand Ranges, it must be ensured that the financials are allocated correctly to either the King Size Demi-Slim (KDS) or King Size Super-Slim (KSSS) formats</w:t>
      </w:r>
    </w:p>
    <w:p w14:paraId="4F2FA7D4" w14:textId="77777777" w:rsidR="00DA78CE" w:rsidRPr="00E50471" w:rsidRDefault="00DA78CE" w:rsidP="000D3264">
      <w:pPr>
        <w:ind w:left="0"/>
      </w:pPr>
    </w:p>
    <w:bookmarkStart w:id="7" w:name="_MON_1644041643"/>
    <w:bookmarkEnd w:id="7"/>
    <w:p w14:paraId="536D10B5" w14:textId="4E482CA7" w:rsidR="001F6507" w:rsidRPr="00E50471" w:rsidRDefault="00BF2D45" w:rsidP="000D3264">
      <w:pPr>
        <w:ind w:left="360"/>
      </w:pPr>
      <w:r>
        <w:object w:dxaOrig="1632" w:dyaOrig="1056" w14:anchorId="36792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52.5pt" o:ole="">
            <v:imagedata r:id="rId19" o:title=""/>
          </v:shape>
          <o:OLEObject Type="Embed" ProgID="Excel.Sheet.12" ShapeID="_x0000_i1025" DrawAspect="Icon" ObjectID="_1715862881" r:id="rId20"/>
        </w:object>
      </w:r>
    </w:p>
    <w:p w14:paraId="60C53336" w14:textId="1153A7EA" w:rsidR="005729AE" w:rsidRPr="00E50471" w:rsidRDefault="0055585B" w:rsidP="000D3264">
      <w:pPr>
        <w:ind w:left="360"/>
        <w:rPr>
          <w:b/>
          <w:bCs w:val="0"/>
        </w:rPr>
      </w:pPr>
      <w:r>
        <w:rPr>
          <w:b/>
          <w:bCs w:val="0"/>
        </w:rPr>
        <w:t>Channel</w:t>
      </w:r>
      <w:r w:rsidR="00DA78CE">
        <w:rPr>
          <w:b/>
          <w:bCs w:val="0"/>
        </w:rPr>
        <w:t xml:space="preserve"> </w:t>
      </w:r>
      <w:r w:rsidR="00D5510D">
        <w:rPr>
          <w:b/>
          <w:bCs w:val="0"/>
        </w:rPr>
        <w:t xml:space="preserve">and Cost of Fulfilment </w:t>
      </w:r>
      <w:r w:rsidR="00DA78CE">
        <w:rPr>
          <w:b/>
          <w:bCs w:val="0"/>
        </w:rPr>
        <w:t>Reporting</w:t>
      </w:r>
    </w:p>
    <w:p w14:paraId="0D30D5F2" w14:textId="77777777" w:rsidR="00BF66A8" w:rsidRDefault="00BF66A8" w:rsidP="000D3264">
      <w:pPr>
        <w:ind w:left="360"/>
      </w:pPr>
    </w:p>
    <w:p w14:paraId="084A8D24" w14:textId="62C60A0D" w:rsidR="00C26540" w:rsidRDefault="005729AE" w:rsidP="00D5510D">
      <w:pPr>
        <w:ind w:left="720" w:hanging="360"/>
      </w:pPr>
      <w:r w:rsidRPr="00E50471">
        <w:t>•</w:t>
      </w:r>
      <w:r w:rsidRPr="00E50471">
        <w:tab/>
      </w:r>
      <w:r w:rsidR="00BF66A8">
        <w:t>Brand Expenditure should be reported in accordance with the Pink Book</w:t>
      </w:r>
      <w:r w:rsidR="0055585B">
        <w:t xml:space="preserve"> and Orange Book</w:t>
      </w:r>
      <w:r w:rsidR="00BF66A8">
        <w:t xml:space="preserve"> guidelines.</w:t>
      </w:r>
      <w:r w:rsidRPr="00E50471">
        <w:t xml:space="preserve"> B</w:t>
      </w:r>
      <w:r w:rsidR="00BF66A8">
        <w:t xml:space="preserve">rand </w:t>
      </w:r>
      <w:r w:rsidRPr="00E50471">
        <w:t>E</w:t>
      </w:r>
      <w:r w:rsidR="00BF66A8">
        <w:t xml:space="preserve">xpenditure should be </w:t>
      </w:r>
      <w:r w:rsidRPr="00E50471">
        <w:t xml:space="preserve">allocated accordingly to the relevant </w:t>
      </w:r>
      <w:r w:rsidR="00BF66A8">
        <w:t>Cost Element Group (</w:t>
      </w:r>
      <w:r w:rsidRPr="00E50471">
        <w:t>CEG</w:t>
      </w:r>
      <w:r w:rsidR="00BF66A8">
        <w:t>)</w:t>
      </w:r>
      <w:r w:rsidRPr="00E50471">
        <w:t xml:space="preserve">, </w:t>
      </w:r>
      <w:r w:rsidR="00BF66A8">
        <w:t>whilst the CEG</w:t>
      </w:r>
      <w:r w:rsidRPr="00E50471">
        <w:t xml:space="preserve"> ‘Other Consumer/Customer Focused’ should not exceed 5% of the </w:t>
      </w:r>
      <w:r w:rsidR="00BF66A8">
        <w:t>T</w:t>
      </w:r>
      <w:r w:rsidRPr="00E50471">
        <w:t>otal B</w:t>
      </w:r>
      <w:r w:rsidR="00BF66A8">
        <w:t xml:space="preserve">rand </w:t>
      </w:r>
      <w:r w:rsidRPr="00E50471">
        <w:t>E</w:t>
      </w:r>
      <w:r w:rsidR="00BF66A8">
        <w:t>xpenditure</w:t>
      </w:r>
      <w:r w:rsidRPr="00E50471">
        <w:t xml:space="preserve"> </w:t>
      </w:r>
      <w:r w:rsidR="00BF66A8" w:rsidRPr="00E50471">
        <w:t>in each</w:t>
      </w:r>
      <w:r w:rsidRPr="00E50471">
        <w:t xml:space="preserve"> market.</w:t>
      </w:r>
    </w:p>
    <w:p w14:paraId="21782BBC" w14:textId="311FEAF1" w:rsidR="00D5510D" w:rsidRDefault="00DA78CE" w:rsidP="00D5510D">
      <w:pPr>
        <w:pStyle w:val="ListParagraph"/>
        <w:numPr>
          <w:ilvl w:val="0"/>
          <w:numId w:val="21"/>
        </w:numPr>
        <w:ind w:left="720"/>
      </w:pPr>
      <w:r>
        <w:t xml:space="preserve">Markets with New Categories are required to report </w:t>
      </w:r>
      <w:r w:rsidR="0055585B">
        <w:t>MI by Channel</w:t>
      </w:r>
      <w:r w:rsidR="003E237E">
        <w:t xml:space="preserve"> for 202</w:t>
      </w:r>
      <w:r w:rsidR="00D44EEB">
        <w:t>1</w:t>
      </w:r>
      <w:r w:rsidR="003E237E">
        <w:t xml:space="preserve"> and 202</w:t>
      </w:r>
      <w:r w:rsidR="00D44EEB">
        <w:t>2</w:t>
      </w:r>
      <w:r w:rsidR="0055585B">
        <w:t xml:space="preserve"> according to the Orange Book</w:t>
      </w:r>
    </w:p>
    <w:p w14:paraId="7C0F505B" w14:textId="2465C264" w:rsidR="00D5510D" w:rsidRDefault="00D5510D" w:rsidP="00D5510D">
      <w:pPr>
        <w:pStyle w:val="ListParagraph"/>
        <w:numPr>
          <w:ilvl w:val="0"/>
          <w:numId w:val="21"/>
        </w:numPr>
        <w:ind w:left="720"/>
      </w:pPr>
      <w:r>
        <w:t>For all markets who sale through channels other than Traditional retail, the following Cost Centres need to be correctly reported t</w:t>
      </w:r>
      <w:r w:rsidRPr="00D5510D">
        <w:t xml:space="preserve">o be used in New Categories cost of fulfilment </w:t>
      </w:r>
      <w:r>
        <w:t xml:space="preserve">reporting </w:t>
      </w:r>
    </w:p>
    <w:p w14:paraId="728ABF3F" w14:textId="2E032DA6" w:rsidR="00D5510D" w:rsidRDefault="00D5510D" w:rsidP="00D5510D">
      <w:pPr>
        <w:pStyle w:val="ListParagraph"/>
        <w:numPr>
          <w:ilvl w:val="0"/>
          <w:numId w:val="21"/>
        </w:numPr>
      </w:pPr>
      <w:r>
        <w:t>NBE - Marketing Overheads - Consumer Retail Outlets</w:t>
      </w:r>
    </w:p>
    <w:p w14:paraId="4FD7CE65" w14:textId="4AFB061B" w:rsidR="00D5510D" w:rsidRDefault="00D5510D" w:rsidP="00D5510D">
      <w:pPr>
        <w:pStyle w:val="ListParagraph"/>
        <w:numPr>
          <w:ilvl w:val="0"/>
          <w:numId w:val="21"/>
        </w:numPr>
      </w:pPr>
      <w:r>
        <w:t xml:space="preserve">NBE - Marketing Overheads - Consumer Digital Activation: Ecommerce (ISSC) </w:t>
      </w:r>
    </w:p>
    <w:p w14:paraId="3B555B80" w14:textId="34C745CC" w:rsidR="00D5510D" w:rsidRDefault="00D5510D" w:rsidP="00D5510D">
      <w:pPr>
        <w:pStyle w:val="ListParagraph"/>
      </w:pPr>
    </w:p>
    <w:p w14:paraId="055F72C3" w14:textId="3084E9A8" w:rsidR="000B717D" w:rsidRPr="00E50471" w:rsidRDefault="000B717D" w:rsidP="0055585B">
      <w:pPr>
        <w:ind w:left="0"/>
      </w:pPr>
    </w:p>
    <w:p w14:paraId="26C610F3" w14:textId="77777777" w:rsidR="0051200C" w:rsidRPr="00E50471" w:rsidRDefault="0051200C" w:rsidP="000D3264">
      <w:pPr>
        <w:ind w:left="360"/>
      </w:pPr>
    </w:p>
    <w:p w14:paraId="27E33779" w14:textId="7A5B20F7" w:rsidR="003E237E" w:rsidRPr="003E237E" w:rsidRDefault="003E237E" w:rsidP="003C2749">
      <w:pPr>
        <w:ind w:left="0" w:firstLine="360"/>
        <w:rPr>
          <w:b/>
          <w:bCs w:val="0"/>
        </w:rPr>
      </w:pPr>
      <w:bookmarkStart w:id="8" w:name="_Hlk33014827"/>
      <w:bookmarkStart w:id="9" w:name="_Hlk33014804"/>
      <w:r>
        <w:rPr>
          <w:b/>
          <w:bCs w:val="0"/>
        </w:rPr>
        <w:t>Channel Reporting</w:t>
      </w:r>
    </w:p>
    <w:p w14:paraId="2431F583" w14:textId="77777777" w:rsidR="003E237E" w:rsidRDefault="003E237E" w:rsidP="000D3264">
      <w:pPr>
        <w:ind w:left="0" w:firstLine="720"/>
        <w:rPr>
          <w:b/>
          <w:bCs w:val="0"/>
        </w:rPr>
      </w:pPr>
    </w:p>
    <w:p w14:paraId="442C3A3F" w14:textId="237FB525" w:rsidR="00985659" w:rsidRDefault="003E237E" w:rsidP="000D3264">
      <w:pPr>
        <w:ind w:left="360"/>
      </w:pPr>
      <w:r w:rsidRPr="0055585B">
        <w:t xml:space="preserve">There is an increasing Group focus on the channels through which New Categories are sold. Because of this, Channel Reporting in BPC will be required for </w:t>
      </w:r>
      <w:r w:rsidR="0055585B" w:rsidRPr="0055585B">
        <w:rPr>
          <w:b/>
          <w:bCs w:val="0"/>
        </w:rPr>
        <w:t xml:space="preserve">CY and CY+1 </w:t>
      </w:r>
      <w:r w:rsidRPr="0055585B">
        <w:rPr>
          <w:b/>
          <w:bCs w:val="0"/>
        </w:rPr>
        <w:t xml:space="preserve">Forecast </w:t>
      </w:r>
      <w:r w:rsidR="003C2749" w:rsidRPr="0055585B">
        <w:rPr>
          <w:b/>
          <w:bCs w:val="0"/>
        </w:rPr>
        <w:t>V</w:t>
      </w:r>
      <w:r w:rsidRPr="0055585B">
        <w:rPr>
          <w:b/>
          <w:bCs w:val="0"/>
        </w:rPr>
        <w:t xml:space="preserve">olumes and </w:t>
      </w:r>
      <w:r w:rsidR="003C2749" w:rsidRPr="0055585B">
        <w:rPr>
          <w:b/>
          <w:bCs w:val="0"/>
        </w:rPr>
        <w:t>F</w:t>
      </w:r>
      <w:r w:rsidRPr="0055585B">
        <w:rPr>
          <w:b/>
          <w:bCs w:val="0"/>
        </w:rPr>
        <w:t>inancials</w:t>
      </w:r>
      <w:r w:rsidRPr="0055585B">
        <w:t xml:space="preserve"> in markets that have &gt; £1m of the Total NTO in Channels other than Traditional Retail. The requirement for Channel Reporting covers TaO and Non-TaO markets.</w:t>
      </w:r>
    </w:p>
    <w:p w14:paraId="33450EB4" w14:textId="77777777" w:rsidR="00985659" w:rsidRDefault="00985659" w:rsidP="000D3264">
      <w:pPr>
        <w:ind w:left="360"/>
      </w:pPr>
    </w:p>
    <w:p w14:paraId="2E8EBBE8" w14:textId="6FC3529C" w:rsidR="00326C77" w:rsidRPr="00985659" w:rsidRDefault="003E237E" w:rsidP="000D3264">
      <w:pPr>
        <w:ind w:left="360"/>
        <w:rPr>
          <w:b/>
          <w:bCs w:val="0"/>
        </w:rPr>
      </w:pPr>
      <w:r w:rsidRPr="00985659">
        <w:rPr>
          <w:b/>
          <w:bCs w:val="0"/>
        </w:rPr>
        <w:t xml:space="preserve">Markets that cannot perform Channel Reporting due to RTM Model or any system limitations should inform the Central New Categories Finance team in advance. </w:t>
      </w:r>
    </w:p>
    <w:p w14:paraId="7B8AE2A0" w14:textId="77777777" w:rsidR="00326C77" w:rsidRDefault="00326C77" w:rsidP="000D3264">
      <w:pPr>
        <w:ind w:left="360"/>
      </w:pPr>
    </w:p>
    <w:p w14:paraId="15476AC1" w14:textId="49FF2131" w:rsidR="00326C77" w:rsidRDefault="003E237E" w:rsidP="000D3264">
      <w:pPr>
        <w:ind w:left="360"/>
      </w:pPr>
      <w:r w:rsidRPr="003E237E">
        <w:t xml:space="preserve">A full channel breakdown is required for P&amp;L all lines from Sales Volume to External Net Turnover. </w:t>
      </w:r>
      <w:r w:rsidR="00326C77" w:rsidRPr="003E237E">
        <w:t xml:space="preserve">Channel splits for COS are not currently required. </w:t>
      </w:r>
    </w:p>
    <w:p w14:paraId="29F9FD7F" w14:textId="77777777" w:rsidR="00326C77" w:rsidRDefault="00326C77" w:rsidP="000D3264">
      <w:pPr>
        <w:ind w:left="-644"/>
      </w:pPr>
    </w:p>
    <w:p w14:paraId="2A1D7136" w14:textId="77777777" w:rsidR="003E237E" w:rsidRPr="003E237E" w:rsidRDefault="003E237E" w:rsidP="000D3264">
      <w:pPr>
        <w:ind w:left="360"/>
      </w:pPr>
      <w:r w:rsidRPr="003E237E">
        <w:t>The key channels which need to be reported are:</w:t>
      </w:r>
    </w:p>
    <w:p w14:paraId="468CF949" w14:textId="77777777" w:rsidR="003E237E" w:rsidRPr="003E237E" w:rsidRDefault="003E237E" w:rsidP="000D3264">
      <w:pPr>
        <w:ind w:left="360" w:firstLine="720"/>
      </w:pPr>
      <w:r w:rsidRPr="003E237E">
        <w:t>-Traditional retail</w:t>
      </w:r>
    </w:p>
    <w:p w14:paraId="2944491A" w14:textId="77777777" w:rsidR="003E237E" w:rsidRPr="003E237E" w:rsidRDefault="003E237E" w:rsidP="000D3264">
      <w:pPr>
        <w:ind w:left="360" w:firstLine="720"/>
      </w:pPr>
      <w:r w:rsidRPr="003E237E">
        <w:t>-NGP shops owned by BAT</w:t>
      </w:r>
    </w:p>
    <w:p w14:paraId="3BB52D48" w14:textId="77777777" w:rsidR="003E237E" w:rsidRPr="003E237E" w:rsidRDefault="003E237E" w:rsidP="000D3264">
      <w:pPr>
        <w:ind w:left="360" w:firstLine="720"/>
      </w:pPr>
      <w:r w:rsidRPr="003E237E">
        <w:t>-NGP shops owned by 3rd parties</w:t>
      </w:r>
    </w:p>
    <w:p w14:paraId="3096FDE5" w14:textId="77777777" w:rsidR="003E237E" w:rsidRPr="003E237E" w:rsidRDefault="003E237E" w:rsidP="000D3264">
      <w:pPr>
        <w:ind w:left="360" w:firstLine="720"/>
      </w:pPr>
      <w:r w:rsidRPr="003E237E">
        <w:t>-Online BAT owned</w:t>
      </w:r>
    </w:p>
    <w:p w14:paraId="2B9712C2" w14:textId="5CCD29F5" w:rsidR="003E237E" w:rsidRDefault="003E237E" w:rsidP="000D3264">
      <w:pPr>
        <w:ind w:left="360" w:firstLine="720"/>
      </w:pPr>
      <w:r w:rsidRPr="003E237E">
        <w:t>-Online owned by 3rd parties</w:t>
      </w:r>
    </w:p>
    <w:p w14:paraId="5F1A96F1" w14:textId="77777777" w:rsidR="003E237E" w:rsidRDefault="003E237E" w:rsidP="000D3264">
      <w:pPr>
        <w:ind w:left="360"/>
      </w:pPr>
    </w:p>
    <w:p w14:paraId="5DB76AC6" w14:textId="71FFB4FD" w:rsidR="003E237E" w:rsidRPr="003E237E" w:rsidRDefault="003E237E" w:rsidP="000D3264">
      <w:pPr>
        <w:ind w:left="360"/>
      </w:pPr>
      <w:r w:rsidRPr="003E237E">
        <w:t xml:space="preserve">In order to report Channel Volumes and Financials, markets are required to use the Analysis Dimension in BPC. No further granularity past the above Channels is required. However, it must be ensured that, the split of the Channels </w:t>
      </w:r>
      <w:r w:rsidR="006D758E">
        <w:t>is</w:t>
      </w:r>
      <w:r w:rsidRPr="003E237E">
        <w:t xml:space="preserve"> correct and there are no volumes or revenue financials remaining under the “No Analysis” category. </w:t>
      </w:r>
    </w:p>
    <w:p w14:paraId="247FFB01" w14:textId="77777777" w:rsidR="003E237E" w:rsidRDefault="003E237E" w:rsidP="000D3264">
      <w:pPr>
        <w:ind w:left="360" w:firstLine="720"/>
      </w:pPr>
    </w:p>
    <w:p w14:paraId="624D8C4F" w14:textId="79CF3BE7" w:rsidR="003E237E" w:rsidRPr="003E237E" w:rsidRDefault="003E237E" w:rsidP="000D3264">
      <w:pPr>
        <w:ind w:left="360"/>
      </w:pPr>
      <w:r w:rsidRPr="003E237E">
        <w:t>In order to report volumes and revenue by Channel, a one-time set up must be completed in ECC. Each existing customer in SAP will be mapped to the relevant customer group in its Masterdata. Once this has been done, Actual sales will flow to the correct Channel without any other intervention. Also, going forward any new customers must have the customer group entry data field completed when raising a new Masterdata request.</w:t>
      </w:r>
    </w:p>
    <w:p w14:paraId="7B4F1F68" w14:textId="77777777" w:rsidR="003E237E" w:rsidRDefault="003E237E" w:rsidP="000D3264">
      <w:pPr>
        <w:ind w:left="360"/>
      </w:pPr>
    </w:p>
    <w:p w14:paraId="60071C7A" w14:textId="0A8E202B" w:rsidR="003E237E" w:rsidRDefault="006D758E" w:rsidP="000D3264">
      <w:pPr>
        <w:ind w:left="360"/>
      </w:pPr>
      <w:r>
        <w:t>Markets</w:t>
      </w:r>
      <w:r w:rsidR="003E237E" w:rsidRPr="003E237E">
        <w:t xml:space="preserve"> must </w:t>
      </w:r>
      <w:r w:rsidR="003C2749">
        <w:t xml:space="preserve">then </w:t>
      </w:r>
      <w:r w:rsidR="003E237E" w:rsidRPr="003E237E">
        <w:t xml:space="preserve">use drivers-based forecast. This means End Markets must maintain drivers for each Channel in BPC. This can be done by copying the drivers from ECC to BPC. </w:t>
      </w:r>
      <w:r w:rsidR="00297219">
        <w:t xml:space="preserve">SPI will </w:t>
      </w:r>
      <w:r w:rsidR="003C2749">
        <w:t xml:space="preserve">then </w:t>
      </w:r>
      <w:r w:rsidR="00297219">
        <w:t xml:space="preserve">have to report volumes by Channel. </w:t>
      </w:r>
      <w:r w:rsidR="003E237E" w:rsidRPr="003E237E">
        <w:t>The drivers will then ensure Financials are populated by Channel.</w:t>
      </w:r>
    </w:p>
    <w:p w14:paraId="0DC2F2FC" w14:textId="77777777" w:rsidR="006D758E" w:rsidRDefault="006D758E" w:rsidP="0055585B">
      <w:pPr>
        <w:ind w:left="0"/>
        <w:rPr>
          <w:b/>
          <w:bCs w:val="0"/>
        </w:rPr>
      </w:pPr>
    </w:p>
    <w:p w14:paraId="57FE2EE6" w14:textId="77777777" w:rsidR="003E237E" w:rsidRDefault="003E237E" w:rsidP="000D3264">
      <w:pPr>
        <w:ind w:left="0" w:firstLine="720"/>
        <w:rPr>
          <w:b/>
          <w:bCs w:val="0"/>
        </w:rPr>
      </w:pPr>
    </w:p>
    <w:p w14:paraId="1784EF54" w14:textId="407A63D6" w:rsidR="0051200C" w:rsidRPr="003E237E" w:rsidRDefault="0051200C" w:rsidP="003C2749">
      <w:pPr>
        <w:ind w:left="0" w:firstLine="360"/>
        <w:rPr>
          <w:b/>
          <w:bCs w:val="0"/>
        </w:rPr>
      </w:pPr>
      <w:r w:rsidRPr="003E237E">
        <w:rPr>
          <w:b/>
          <w:bCs w:val="0"/>
        </w:rPr>
        <w:t>MI in GTO Allocation</w:t>
      </w:r>
    </w:p>
    <w:p w14:paraId="1D1C98A0" w14:textId="77777777" w:rsidR="00BF66A8" w:rsidRDefault="00BF66A8" w:rsidP="000D3264">
      <w:pPr>
        <w:ind w:left="360"/>
      </w:pPr>
    </w:p>
    <w:p w14:paraId="282270A8" w14:textId="77777777" w:rsidR="0038676B" w:rsidRPr="0038676B" w:rsidRDefault="0038676B" w:rsidP="000D3264">
      <w:pPr>
        <w:ind w:left="360"/>
        <w:rPr>
          <w:szCs w:val="18"/>
        </w:rPr>
      </w:pPr>
      <w:r w:rsidRPr="0038676B">
        <w:rPr>
          <w:szCs w:val="18"/>
        </w:rPr>
        <w:t>Markets are to ensure that BE: Customer Investment is reported accordingly for all Product Categories / Brands to generate an accurate MI in GTO reflected in NTO. As guiding principles:</w:t>
      </w:r>
    </w:p>
    <w:p w14:paraId="4C48B61F" w14:textId="77777777" w:rsidR="0038676B" w:rsidRPr="0038676B" w:rsidRDefault="0038676B" w:rsidP="000D3264">
      <w:pPr>
        <w:pStyle w:val="ListParagraph"/>
        <w:numPr>
          <w:ilvl w:val="0"/>
          <w:numId w:val="19"/>
        </w:numPr>
        <w:snapToGrid w:val="0"/>
        <w:ind w:left="720"/>
        <w:rPr>
          <w:szCs w:val="18"/>
        </w:rPr>
      </w:pPr>
      <w:r w:rsidRPr="0038676B">
        <w:rPr>
          <w:szCs w:val="18"/>
        </w:rPr>
        <w:t xml:space="preserve">If a contract clearly states the investment breakdown by Product Category and/or Brand, then the MI must be reported accordingly, using the relevant WBS. </w:t>
      </w:r>
    </w:p>
    <w:p w14:paraId="1C7F9BFB" w14:textId="77777777" w:rsidR="0038676B" w:rsidRPr="0038676B" w:rsidRDefault="0038676B" w:rsidP="000D3264">
      <w:pPr>
        <w:pStyle w:val="ListParagraph"/>
        <w:numPr>
          <w:ilvl w:val="0"/>
          <w:numId w:val="19"/>
        </w:numPr>
        <w:snapToGrid w:val="0"/>
        <w:ind w:left="720"/>
        <w:rPr>
          <w:szCs w:val="18"/>
        </w:rPr>
      </w:pPr>
      <w:r w:rsidRPr="0038676B">
        <w:rPr>
          <w:szCs w:val="18"/>
        </w:rPr>
        <w:t>In cases whereby a single contract covers multiple Product Categories / Brands, markets are advised to reflect the MI between different Product Categories / Brands based on:</w:t>
      </w:r>
      <w:r w:rsidRPr="0038676B">
        <w:rPr>
          <w:szCs w:val="18"/>
        </w:rPr>
        <w:tab/>
      </w:r>
    </w:p>
    <w:p w14:paraId="668FA20E" w14:textId="77777777" w:rsidR="0038676B" w:rsidRPr="0038676B" w:rsidRDefault="0038676B" w:rsidP="000D3264">
      <w:pPr>
        <w:pStyle w:val="ListParagraph"/>
        <w:numPr>
          <w:ilvl w:val="1"/>
          <w:numId w:val="19"/>
        </w:numPr>
        <w:snapToGrid w:val="0"/>
        <w:ind w:left="1440"/>
        <w:rPr>
          <w:szCs w:val="18"/>
        </w:rPr>
      </w:pPr>
      <w:r w:rsidRPr="0038676B">
        <w:rPr>
          <w:szCs w:val="18"/>
        </w:rPr>
        <w:t>Share of space used (e.g. Assortment and Listing Fees) or;</w:t>
      </w:r>
    </w:p>
    <w:p w14:paraId="2F48E3EE" w14:textId="77777777" w:rsidR="0038676B" w:rsidRPr="0038676B" w:rsidRDefault="0038676B" w:rsidP="000D3264">
      <w:pPr>
        <w:pStyle w:val="ListParagraph"/>
        <w:numPr>
          <w:ilvl w:val="1"/>
          <w:numId w:val="19"/>
        </w:numPr>
        <w:snapToGrid w:val="0"/>
        <w:ind w:left="1440"/>
        <w:rPr>
          <w:szCs w:val="18"/>
        </w:rPr>
      </w:pPr>
      <w:r w:rsidRPr="0038676B">
        <w:rPr>
          <w:szCs w:val="18"/>
        </w:rPr>
        <w:t>Duration of the promotion or;</w:t>
      </w:r>
    </w:p>
    <w:p w14:paraId="1A5CEA12" w14:textId="77777777" w:rsidR="0038676B" w:rsidRPr="0038676B" w:rsidRDefault="0038676B" w:rsidP="000D3264">
      <w:pPr>
        <w:pStyle w:val="ListParagraph"/>
        <w:numPr>
          <w:ilvl w:val="1"/>
          <w:numId w:val="19"/>
        </w:numPr>
        <w:snapToGrid w:val="0"/>
        <w:ind w:left="1440"/>
        <w:rPr>
          <w:szCs w:val="18"/>
        </w:rPr>
      </w:pPr>
      <w:r w:rsidRPr="0038676B">
        <w:rPr>
          <w:szCs w:val="18"/>
        </w:rPr>
        <w:t>Any other criteria that generates an appropriate reflection of spend</w:t>
      </w:r>
    </w:p>
    <w:p w14:paraId="798C6863" w14:textId="77777777" w:rsidR="0038676B" w:rsidRPr="0038676B" w:rsidRDefault="0038676B" w:rsidP="000D3264">
      <w:pPr>
        <w:ind w:left="360"/>
        <w:rPr>
          <w:szCs w:val="18"/>
        </w:rPr>
      </w:pPr>
    </w:p>
    <w:p w14:paraId="1A8D927B" w14:textId="77777777" w:rsidR="0038676B" w:rsidRPr="0038676B" w:rsidRDefault="0038676B" w:rsidP="000D3264">
      <w:pPr>
        <w:ind w:left="360"/>
        <w:rPr>
          <w:szCs w:val="18"/>
          <w:lang w:val="en-US"/>
        </w:rPr>
      </w:pPr>
      <w:r w:rsidRPr="0038676B">
        <w:rPr>
          <w:szCs w:val="18"/>
          <w:lang w:val="en-US"/>
        </w:rPr>
        <w:t>For consistency, defined WBSs and SKUs should be assigned and the use of dummy SKU/WBS should be kept to an absolute minimum.</w:t>
      </w:r>
    </w:p>
    <w:p w14:paraId="44393D8B" w14:textId="77777777" w:rsidR="0038676B" w:rsidRPr="0038676B" w:rsidRDefault="0038676B" w:rsidP="000D3264">
      <w:pPr>
        <w:ind w:left="360"/>
        <w:rPr>
          <w:szCs w:val="18"/>
        </w:rPr>
      </w:pPr>
      <w:r w:rsidRPr="0038676B">
        <w:rPr>
          <w:szCs w:val="18"/>
        </w:rPr>
        <w:t xml:space="preserve">Allocation from below to above NTO should be based on GTO of each SKU within the Brand specified in the WBS. This is required for both Actuals and Forecast reporting going forward. </w:t>
      </w:r>
      <w:r w:rsidRPr="0038676B">
        <w:rPr>
          <w:b/>
          <w:szCs w:val="18"/>
        </w:rPr>
        <w:t>Markets and GBS teams are required to ensure that no other allocation method is used</w:t>
      </w:r>
      <w:r w:rsidRPr="0038676B">
        <w:rPr>
          <w:szCs w:val="18"/>
        </w:rPr>
        <w:t>. Below is an example of this:</w:t>
      </w:r>
    </w:p>
    <w:p w14:paraId="62FAD490" w14:textId="5996E98E" w:rsidR="0038676B" w:rsidRPr="0038676B" w:rsidRDefault="00B5444D" w:rsidP="000D3264">
      <w:pPr>
        <w:ind w:left="360"/>
        <w:rPr>
          <w:szCs w:val="18"/>
        </w:rPr>
      </w:pPr>
      <w:r w:rsidRPr="0038676B">
        <w:rPr>
          <w:noProof/>
          <w:szCs w:val="18"/>
        </w:rPr>
        <w:drawing>
          <wp:anchor distT="0" distB="0" distL="114300" distR="114300" simplePos="0" relativeHeight="251663360" behindDoc="0" locked="0" layoutInCell="1" allowOverlap="1" wp14:anchorId="663B02D5" wp14:editId="3B5868ED">
            <wp:simplePos x="0" y="0"/>
            <wp:positionH relativeFrom="margin">
              <wp:posOffset>640080</wp:posOffset>
            </wp:positionH>
            <wp:positionV relativeFrom="paragraph">
              <wp:posOffset>480695</wp:posOffset>
            </wp:positionV>
            <wp:extent cx="1775460" cy="90995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5460" cy="909955"/>
                    </a:xfrm>
                    <a:prstGeom prst="rect">
                      <a:avLst/>
                    </a:prstGeom>
                    <a:noFill/>
                  </pic:spPr>
                </pic:pic>
              </a:graphicData>
            </a:graphic>
            <wp14:sizeRelH relativeFrom="page">
              <wp14:pctWidth>0</wp14:pctWidth>
            </wp14:sizeRelH>
            <wp14:sizeRelV relativeFrom="page">
              <wp14:pctHeight>0</wp14:pctHeight>
            </wp14:sizeRelV>
          </wp:anchor>
        </w:drawing>
      </w:r>
      <w:r w:rsidRPr="0038676B">
        <w:rPr>
          <w:noProof/>
          <w:szCs w:val="18"/>
        </w:rPr>
        <w:drawing>
          <wp:anchor distT="0" distB="0" distL="114300" distR="114300" simplePos="0" relativeHeight="251664384" behindDoc="0" locked="0" layoutInCell="1" allowOverlap="1" wp14:anchorId="5D370A65" wp14:editId="143DF0B3">
            <wp:simplePos x="0" y="0"/>
            <wp:positionH relativeFrom="margin">
              <wp:posOffset>2536190</wp:posOffset>
            </wp:positionH>
            <wp:positionV relativeFrom="paragraph">
              <wp:posOffset>233680</wp:posOffset>
            </wp:positionV>
            <wp:extent cx="1924050" cy="151574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4050" cy="1515745"/>
                    </a:xfrm>
                    <a:prstGeom prst="rect">
                      <a:avLst/>
                    </a:prstGeom>
                    <a:noFill/>
                  </pic:spPr>
                </pic:pic>
              </a:graphicData>
            </a:graphic>
            <wp14:sizeRelH relativeFrom="page">
              <wp14:pctWidth>0</wp14:pctWidth>
            </wp14:sizeRelH>
            <wp14:sizeRelV relativeFrom="page">
              <wp14:pctHeight>0</wp14:pctHeight>
            </wp14:sizeRelV>
          </wp:anchor>
        </w:drawing>
      </w:r>
      <w:r w:rsidR="0038676B" w:rsidRPr="0038676B">
        <w:rPr>
          <w:noProof/>
          <w:szCs w:val="18"/>
        </w:rPr>
        <w:drawing>
          <wp:anchor distT="0" distB="0" distL="114300" distR="114300" simplePos="0" relativeHeight="251665408" behindDoc="0" locked="0" layoutInCell="1" allowOverlap="1" wp14:anchorId="7A8C146D" wp14:editId="5059B009">
            <wp:simplePos x="0" y="0"/>
            <wp:positionH relativeFrom="margin">
              <wp:align>right</wp:align>
            </wp:positionH>
            <wp:positionV relativeFrom="paragraph">
              <wp:posOffset>410845</wp:posOffset>
            </wp:positionV>
            <wp:extent cx="2007870" cy="9099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7870" cy="909955"/>
                    </a:xfrm>
                    <a:prstGeom prst="rect">
                      <a:avLst/>
                    </a:prstGeom>
                    <a:noFill/>
                  </pic:spPr>
                </pic:pic>
              </a:graphicData>
            </a:graphic>
            <wp14:sizeRelH relativeFrom="margin">
              <wp14:pctWidth>0</wp14:pctWidth>
            </wp14:sizeRelH>
            <wp14:sizeRelV relativeFrom="margin">
              <wp14:pctHeight>0</wp14:pctHeight>
            </wp14:sizeRelV>
          </wp:anchor>
        </w:drawing>
      </w:r>
      <w:r w:rsidR="0038676B" w:rsidRPr="0038676B">
        <w:rPr>
          <w:szCs w:val="18"/>
        </w:rPr>
        <w:t xml:space="preserve">  </w:t>
      </w:r>
      <w:r w:rsidR="008A05B8">
        <w:rPr>
          <w:szCs w:val="18"/>
        </w:rPr>
        <w:t xml:space="preserve">            </w:t>
      </w:r>
      <w:r w:rsidR="0038676B" w:rsidRPr="0038676B">
        <w:rPr>
          <w:szCs w:val="18"/>
        </w:rPr>
        <w:t xml:space="preserve"> Step 1: Cost posted against WBS          </w:t>
      </w:r>
      <w:r w:rsidR="008A05B8">
        <w:rPr>
          <w:szCs w:val="18"/>
        </w:rPr>
        <w:t xml:space="preserve">         </w:t>
      </w:r>
      <w:r w:rsidR="0038676B" w:rsidRPr="0038676B">
        <w:rPr>
          <w:szCs w:val="18"/>
        </w:rPr>
        <w:t>Step 2: Assessment of GTO of each SKU     Step 3: Posting above NTO based on GTO</w:t>
      </w:r>
    </w:p>
    <w:p w14:paraId="4BB974B3" w14:textId="77777777" w:rsidR="0038676B" w:rsidRPr="0038676B" w:rsidRDefault="0038676B" w:rsidP="000D3264">
      <w:pPr>
        <w:ind w:left="360"/>
        <w:rPr>
          <w:szCs w:val="18"/>
        </w:rPr>
      </w:pPr>
    </w:p>
    <w:p w14:paraId="24BECF72" w14:textId="77777777" w:rsidR="0038676B" w:rsidRPr="0038676B" w:rsidRDefault="0038676B" w:rsidP="000D3264">
      <w:pPr>
        <w:ind w:left="360"/>
        <w:rPr>
          <w:szCs w:val="18"/>
          <w:lang w:val="en-US"/>
        </w:rPr>
      </w:pPr>
      <w:r w:rsidRPr="0038676B">
        <w:rPr>
          <w:szCs w:val="18"/>
          <w:lang w:val="en-US"/>
        </w:rPr>
        <w:t>GBS will perform the above allocation during month-end reporting (utilizing Alteryx / VBA), and will liaise with End Markets to deliver an accurate allocation.</w:t>
      </w:r>
    </w:p>
    <w:p w14:paraId="472908C7" w14:textId="77777777" w:rsidR="0038676B" w:rsidRPr="0038676B" w:rsidRDefault="0038676B" w:rsidP="000D3264">
      <w:pPr>
        <w:ind w:left="360"/>
        <w:rPr>
          <w:szCs w:val="18"/>
          <w:lang w:val="en-US"/>
        </w:rPr>
      </w:pPr>
      <w:r w:rsidRPr="0038676B">
        <w:rPr>
          <w:szCs w:val="18"/>
          <w:lang w:val="en-US"/>
        </w:rPr>
        <w:t xml:space="preserve">The allocation will be made for </w:t>
      </w:r>
      <w:r w:rsidRPr="0038676B">
        <w:rPr>
          <w:b/>
          <w:szCs w:val="18"/>
          <w:lang w:val="en-US"/>
        </w:rPr>
        <w:t>all SKUs</w:t>
      </w:r>
      <w:r w:rsidRPr="0038676B">
        <w:rPr>
          <w:szCs w:val="18"/>
          <w:lang w:val="en-US"/>
        </w:rPr>
        <w:t xml:space="preserve"> and therefore cover </w:t>
      </w:r>
      <w:r w:rsidRPr="0038676B">
        <w:rPr>
          <w:b/>
          <w:szCs w:val="18"/>
          <w:lang w:val="en-US"/>
        </w:rPr>
        <w:t>all Product Categories.</w:t>
      </w:r>
    </w:p>
    <w:p w14:paraId="0C429542" w14:textId="77777777" w:rsidR="0038676B" w:rsidRPr="0038676B" w:rsidRDefault="0038676B" w:rsidP="000D3264">
      <w:pPr>
        <w:ind w:left="360"/>
        <w:rPr>
          <w:szCs w:val="18"/>
          <w:lang w:val="en-US"/>
        </w:rPr>
      </w:pPr>
      <w:r w:rsidRPr="0038676B">
        <w:rPr>
          <w:szCs w:val="18"/>
          <w:lang w:val="en-US"/>
        </w:rPr>
        <w:t>Below are examples of unique cases whereby GBS will liaise with End Markets to ensure the allocation is applied correctly:</w:t>
      </w:r>
    </w:p>
    <w:p w14:paraId="7164CC15" w14:textId="77777777" w:rsidR="0038676B" w:rsidRPr="0038676B" w:rsidRDefault="0038676B" w:rsidP="000D3264">
      <w:pPr>
        <w:ind w:left="1516"/>
        <w:rPr>
          <w:szCs w:val="18"/>
          <w:lang w:val="en-US"/>
        </w:rPr>
      </w:pPr>
    </w:p>
    <w:p w14:paraId="42F629EE" w14:textId="77777777" w:rsidR="0038676B" w:rsidRPr="0038676B" w:rsidRDefault="0038676B" w:rsidP="000D3264">
      <w:pPr>
        <w:pStyle w:val="ListParagraph"/>
        <w:numPr>
          <w:ilvl w:val="0"/>
          <w:numId w:val="22"/>
        </w:numPr>
        <w:ind w:left="1232"/>
        <w:jc w:val="left"/>
        <w:rPr>
          <w:b/>
          <w:szCs w:val="18"/>
          <w:lang w:val="en-US"/>
        </w:rPr>
      </w:pPr>
      <w:r w:rsidRPr="0038676B">
        <w:rPr>
          <w:b/>
          <w:bCs w:val="0"/>
          <w:szCs w:val="18"/>
          <w:lang w:val="en-US"/>
        </w:rPr>
        <w:t>Different Material Group in Product settings (SKU) versus WBS settings.   </w:t>
      </w:r>
    </w:p>
    <w:p w14:paraId="78B3634D" w14:textId="77777777" w:rsidR="0038676B" w:rsidRPr="0038676B" w:rsidRDefault="0038676B" w:rsidP="000D3264">
      <w:pPr>
        <w:pStyle w:val="ListParagraph"/>
        <w:ind w:left="1232"/>
        <w:rPr>
          <w:rFonts w:eastAsiaTheme="minorHAnsi"/>
          <w:bCs w:val="0"/>
          <w:szCs w:val="18"/>
          <w:lang w:val="en-US"/>
        </w:rPr>
      </w:pPr>
      <w:r w:rsidRPr="0038676B">
        <w:rPr>
          <w:szCs w:val="18"/>
          <w:lang w:val="en-US"/>
        </w:rPr>
        <w:t>E</w:t>
      </w:r>
      <w:r w:rsidRPr="0038676B">
        <w:rPr>
          <w:i/>
          <w:iCs/>
          <w:szCs w:val="18"/>
          <w:lang w:val="en-US"/>
        </w:rPr>
        <w:t>xample: The Material Group for a WBS EPOK was settled as FG Oral Nicotine Pou (ZFG13500</w:t>
      </w:r>
      <w:r w:rsidRPr="0038676B">
        <w:rPr>
          <w:b/>
          <w:bCs w:val="0"/>
          <w:i/>
          <w:iCs/>
          <w:szCs w:val="18"/>
          <w:lang w:val="en-US"/>
        </w:rPr>
        <w:t>3</w:t>
      </w:r>
      <w:r w:rsidRPr="0038676B">
        <w:rPr>
          <w:i/>
          <w:iCs/>
          <w:szCs w:val="18"/>
          <w:lang w:val="en-US"/>
        </w:rPr>
        <w:t>) and the sales were posted under SKUs with material group FG Oral Tob Pouch (ZFG13500</w:t>
      </w:r>
      <w:r w:rsidRPr="0038676B">
        <w:rPr>
          <w:b/>
          <w:bCs w:val="0"/>
          <w:i/>
          <w:iCs/>
          <w:szCs w:val="18"/>
          <w:lang w:val="en-US"/>
        </w:rPr>
        <w:t>4</w:t>
      </w:r>
      <w:r w:rsidRPr="0038676B">
        <w:rPr>
          <w:i/>
          <w:iCs/>
          <w:szCs w:val="18"/>
          <w:lang w:val="en-US"/>
        </w:rPr>
        <w:t xml:space="preserve">). </w:t>
      </w:r>
    </w:p>
    <w:p w14:paraId="14F58AFE" w14:textId="77777777" w:rsidR="0038676B" w:rsidRPr="0038676B" w:rsidRDefault="0038676B" w:rsidP="000D3264">
      <w:pPr>
        <w:pStyle w:val="ListParagraph"/>
        <w:ind w:left="1232"/>
        <w:rPr>
          <w:szCs w:val="18"/>
          <w:lang w:val="en-US"/>
        </w:rPr>
      </w:pPr>
      <w:r w:rsidRPr="0038676B">
        <w:rPr>
          <w:szCs w:val="18"/>
          <w:lang w:val="en-US"/>
        </w:rPr>
        <w:t>Solution: End Markets must reclassify the amount to another WBS, taking into consideration the Sales registered in the current month  </w:t>
      </w:r>
    </w:p>
    <w:p w14:paraId="62C2B52E" w14:textId="77777777" w:rsidR="0038676B" w:rsidRPr="00B5444D" w:rsidRDefault="0038676B" w:rsidP="000D3264">
      <w:pPr>
        <w:ind w:left="512"/>
        <w:rPr>
          <w:szCs w:val="18"/>
          <w:lang w:val="en-US"/>
        </w:rPr>
      </w:pPr>
    </w:p>
    <w:p w14:paraId="62AD8325" w14:textId="77777777" w:rsidR="0038676B" w:rsidRPr="0038676B" w:rsidRDefault="0038676B" w:rsidP="000D3264">
      <w:pPr>
        <w:pStyle w:val="ListParagraph"/>
        <w:numPr>
          <w:ilvl w:val="0"/>
          <w:numId w:val="22"/>
        </w:numPr>
        <w:ind w:left="1232"/>
        <w:jc w:val="left"/>
        <w:rPr>
          <w:szCs w:val="18"/>
          <w:lang w:val="en-US"/>
        </w:rPr>
      </w:pPr>
      <w:r w:rsidRPr="0038676B">
        <w:rPr>
          <w:b/>
          <w:bCs w:val="0"/>
          <w:szCs w:val="18"/>
          <w:lang w:val="en-US"/>
        </w:rPr>
        <w:t>Customer Investments costs booked without sales</w:t>
      </w:r>
      <w:r w:rsidRPr="0038676B">
        <w:rPr>
          <w:szCs w:val="18"/>
          <w:lang w:val="en-US"/>
        </w:rPr>
        <w:t xml:space="preserve"> (Pre-sales marketing expenses, automated SAP settings for WBS amounts distributed as percentages per different brands, etc.)</w:t>
      </w:r>
    </w:p>
    <w:p w14:paraId="358D0FB0" w14:textId="77777777" w:rsidR="0038676B" w:rsidRPr="0038676B" w:rsidRDefault="0038676B" w:rsidP="000D3264">
      <w:pPr>
        <w:ind w:left="1516"/>
        <w:rPr>
          <w:i/>
          <w:iCs/>
          <w:szCs w:val="18"/>
          <w:lang w:val="en-US"/>
        </w:rPr>
      </w:pPr>
      <w:r w:rsidRPr="0038676B">
        <w:rPr>
          <w:i/>
          <w:iCs/>
          <w:szCs w:val="18"/>
          <w:lang w:val="en-US"/>
        </w:rPr>
        <w:t>              Example:  Epok WBS expenses registered in April, without any sale booked during the month</w:t>
      </w:r>
    </w:p>
    <w:p w14:paraId="7F9FA654" w14:textId="77777777" w:rsidR="0038676B" w:rsidRPr="0038676B" w:rsidRDefault="0038676B" w:rsidP="000D3264">
      <w:pPr>
        <w:ind w:left="1516" w:firstLine="720"/>
        <w:rPr>
          <w:i/>
          <w:iCs/>
          <w:szCs w:val="18"/>
          <w:lang w:val="en-US"/>
        </w:rPr>
      </w:pPr>
      <w:r w:rsidRPr="0038676B">
        <w:rPr>
          <w:szCs w:val="18"/>
          <w:lang w:val="en-US"/>
        </w:rPr>
        <w:t xml:space="preserve">Solution: To reallocate the amount on dummy SKUs with EM approval </w:t>
      </w:r>
    </w:p>
    <w:p w14:paraId="2ABCEB17" w14:textId="77777777" w:rsidR="0038676B" w:rsidRPr="0038676B" w:rsidRDefault="0038676B" w:rsidP="000D3264">
      <w:pPr>
        <w:pStyle w:val="ListParagraph"/>
        <w:ind w:left="1232"/>
        <w:rPr>
          <w:szCs w:val="18"/>
          <w:lang w:val="en-US"/>
        </w:rPr>
      </w:pPr>
    </w:p>
    <w:p w14:paraId="2C938D86" w14:textId="77777777" w:rsidR="0038676B" w:rsidRPr="0038676B" w:rsidRDefault="0038676B" w:rsidP="000D3264">
      <w:pPr>
        <w:pStyle w:val="ListParagraph"/>
        <w:numPr>
          <w:ilvl w:val="0"/>
          <w:numId w:val="22"/>
        </w:numPr>
        <w:ind w:left="1232"/>
        <w:jc w:val="left"/>
        <w:rPr>
          <w:szCs w:val="18"/>
          <w:lang w:val="en-US"/>
        </w:rPr>
      </w:pPr>
      <w:r w:rsidRPr="0038676B">
        <w:rPr>
          <w:b/>
          <w:bCs w:val="0"/>
          <w:szCs w:val="18"/>
          <w:lang w:val="en-US"/>
        </w:rPr>
        <w:t>Customer Investments costs booked with negative sales (GTO) only</w:t>
      </w:r>
    </w:p>
    <w:p w14:paraId="326D477B" w14:textId="7DEE4EDE" w:rsidR="00964814" w:rsidRDefault="0038676B" w:rsidP="0055585B">
      <w:pPr>
        <w:ind w:left="1516"/>
        <w:rPr>
          <w:szCs w:val="18"/>
          <w:lang w:val="en-US"/>
        </w:rPr>
      </w:pPr>
      <w:r w:rsidRPr="0038676B">
        <w:rPr>
          <w:szCs w:val="18"/>
          <w:lang w:val="en-US"/>
        </w:rPr>
        <w:t xml:space="preserve">              Solution: To reallocate the amount on dummy SKUs with EM approval </w:t>
      </w:r>
      <w:bookmarkEnd w:id="3"/>
      <w:bookmarkEnd w:id="4"/>
      <w:bookmarkEnd w:id="5"/>
      <w:bookmarkEnd w:id="6"/>
      <w:bookmarkEnd w:id="8"/>
      <w:bookmarkEnd w:id="9"/>
    </w:p>
    <w:p w14:paraId="0E10C20F" w14:textId="33F15F10" w:rsidR="0055585B" w:rsidRDefault="0055585B" w:rsidP="0055585B">
      <w:pPr>
        <w:ind w:left="0"/>
        <w:rPr>
          <w:szCs w:val="18"/>
          <w:lang w:val="en-US"/>
        </w:rPr>
      </w:pPr>
    </w:p>
    <w:p w14:paraId="4DD8C9B2" w14:textId="10BE8630" w:rsidR="0055585B" w:rsidRDefault="0055585B" w:rsidP="0055585B">
      <w:pPr>
        <w:ind w:left="0"/>
        <w:rPr>
          <w:szCs w:val="18"/>
          <w:lang w:val="en-US"/>
        </w:rPr>
      </w:pPr>
    </w:p>
    <w:p w14:paraId="782E8EB7" w14:textId="1E1C52A7" w:rsidR="0055585B" w:rsidRPr="0055585B" w:rsidRDefault="0055585B" w:rsidP="0055585B">
      <w:pPr>
        <w:ind w:left="285"/>
        <w:rPr>
          <w:szCs w:val="18"/>
          <w:lang w:val="en-US"/>
        </w:rPr>
      </w:pPr>
      <w:r w:rsidRPr="0055585B">
        <w:rPr>
          <w:szCs w:val="18"/>
          <w:lang w:val="en-US"/>
        </w:rPr>
        <w:t xml:space="preserve">MI in GTO spend for New Categories will be automatically allocated in General Stores – GS (Traditional Retail Channel) for both actual and </w:t>
      </w:r>
      <w:r>
        <w:rPr>
          <w:szCs w:val="18"/>
          <w:lang w:val="en-US"/>
        </w:rPr>
        <w:t xml:space="preserve">          </w:t>
      </w:r>
      <w:r w:rsidRPr="0055585B">
        <w:rPr>
          <w:szCs w:val="18"/>
          <w:lang w:val="en-US"/>
        </w:rPr>
        <w:t>forecast, the only exceptions being the entities which are currently using the Customer/Territory breakdown: Australia, SAA DF, Indo China DF, Japan DF, GTR, HK China DF, Channel Islands</w:t>
      </w:r>
    </w:p>
    <w:sectPr w:rsidR="0055585B" w:rsidRPr="0055585B" w:rsidSect="00431BAA">
      <w:headerReference w:type="even" r:id="rId24"/>
      <w:pgSz w:w="11906" w:h="16838" w:code="9"/>
      <w:pgMar w:top="720" w:right="720" w:bottom="720" w:left="720"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2735" w14:textId="77777777" w:rsidR="004E5476" w:rsidRDefault="004E5476" w:rsidP="00E50471">
      <w:r>
        <w:separator/>
      </w:r>
    </w:p>
    <w:p w14:paraId="3E57C743" w14:textId="77777777" w:rsidR="004E5476" w:rsidRDefault="004E5476" w:rsidP="00E50471"/>
    <w:p w14:paraId="48843938" w14:textId="77777777" w:rsidR="004E5476" w:rsidRDefault="004E5476" w:rsidP="00E50471"/>
    <w:p w14:paraId="1393F80E" w14:textId="77777777" w:rsidR="004E5476" w:rsidRDefault="004E5476" w:rsidP="00E50471"/>
    <w:p w14:paraId="2E9FFB57" w14:textId="77777777" w:rsidR="004E5476" w:rsidRDefault="004E5476" w:rsidP="00E50471"/>
    <w:p w14:paraId="4A7A12AB" w14:textId="77777777" w:rsidR="004E5476" w:rsidRDefault="004E5476" w:rsidP="00E50471"/>
    <w:p w14:paraId="482B10B3" w14:textId="77777777" w:rsidR="004E5476" w:rsidRDefault="004E5476" w:rsidP="00E50471"/>
    <w:p w14:paraId="372C700E" w14:textId="77777777" w:rsidR="004E5476" w:rsidRDefault="004E5476" w:rsidP="00E50471"/>
    <w:p w14:paraId="3ED3986F" w14:textId="77777777" w:rsidR="004E5476" w:rsidRDefault="004E5476" w:rsidP="00E50471"/>
    <w:p w14:paraId="568BC1E0" w14:textId="77777777" w:rsidR="004E5476" w:rsidRDefault="004E5476" w:rsidP="00E50471"/>
    <w:p w14:paraId="4A998943" w14:textId="77777777" w:rsidR="004E5476" w:rsidRDefault="004E5476" w:rsidP="00E50471"/>
    <w:p w14:paraId="7F33B5D7" w14:textId="77777777" w:rsidR="004E5476" w:rsidRDefault="004E5476" w:rsidP="00E50471"/>
    <w:p w14:paraId="7DD3E586" w14:textId="77777777" w:rsidR="004E5476" w:rsidRDefault="004E5476" w:rsidP="00E50471"/>
    <w:p w14:paraId="45193F97" w14:textId="77777777" w:rsidR="004E5476" w:rsidRDefault="004E5476" w:rsidP="00E50471"/>
    <w:p w14:paraId="74A94BB5" w14:textId="77777777" w:rsidR="004E5476" w:rsidRDefault="004E5476" w:rsidP="00E50471"/>
    <w:p w14:paraId="1DCA6660" w14:textId="77777777" w:rsidR="004E5476" w:rsidRDefault="004E5476" w:rsidP="00E50471"/>
    <w:p w14:paraId="78C64205" w14:textId="77777777" w:rsidR="004E5476" w:rsidRDefault="004E5476" w:rsidP="00E50471"/>
    <w:p w14:paraId="68DFAF27" w14:textId="77777777" w:rsidR="004E5476" w:rsidRDefault="004E5476" w:rsidP="00E50471"/>
    <w:p w14:paraId="684F5663" w14:textId="77777777" w:rsidR="004E5476" w:rsidRDefault="004E5476" w:rsidP="00E50471"/>
    <w:p w14:paraId="46B21165" w14:textId="77777777" w:rsidR="004E5476" w:rsidRDefault="004E5476" w:rsidP="00E50471"/>
    <w:p w14:paraId="38522C14" w14:textId="77777777" w:rsidR="004E5476" w:rsidRDefault="004E5476" w:rsidP="00E50471"/>
    <w:p w14:paraId="4371D3AE" w14:textId="77777777" w:rsidR="004E5476" w:rsidRDefault="004E5476" w:rsidP="00E50471"/>
    <w:p w14:paraId="00D2A0F1" w14:textId="77777777" w:rsidR="004E5476" w:rsidRDefault="004E5476" w:rsidP="00E50471"/>
    <w:p w14:paraId="2B74F227" w14:textId="77777777" w:rsidR="004E5476" w:rsidRDefault="004E5476" w:rsidP="00E50471"/>
    <w:p w14:paraId="407A8947" w14:textId="77777777" w:rsidR="004E5476" w:rsidRDefault="004E5476" w:rsidP="00E50471"/>
    <w:p w14:paraId="37F1363B" w14:textId="77777777" w:rsidR="004E5476" w:rsidRDefault="004E5476" w:rsidP="00E50471"/>
    <w:p w14:paraId="3BBA57E4" w14:textId="77777777" w:rsidR="004E5476" w:rsidRDefault="004E5476" w:rsidP="00E50471"/>
    <w:p w14:paraId="76CA933A" w14:textId="77777777" w:rsidR="004E5476" w:rsidRDefault="004E5476" w:rsidP="00E50471"/>
    <w:p w14:paraId="547F0A43" w14:textId="77777777" w:rsidR="004E5476" w:rsidRDefault="004E5476" w:rsidP="00E50471"/>
    <w:p w14:paraId="28B97F4A" w14:textId="77777777" w:rsidR="004E5476" w:rsidRDefault="004E5476" w:rsidP="00E50471"/>
    <w:p w14:paraId="6F54F047" w14:textId="77777777" w:rsidR="004E5476" w:rsidRDefault="004E5476" w:rsidP="00E50471"/>
    <w:p w14:paraId="2892CF0D" w14:textId="77777777" w:rsidR="004E5476" w:rsidRDefault="004E5476" w:rsidP="00E50471"/>
    <w:p w14:paraId="231DF7EC" w14:textId="77777777" w:rsidR="004E5476" w:rsidRDefault="004E5476" w:rsidP="00E50471"/>
    <w:p w14:paraId="4FBCD62D" w14:textId="77777777" w:rsidR="004E5476" w:rsidRDefault="004E5476" w:rsidP="00E50471"/>
    <w:p w14:paraId="1A715417" w14:textId="77777777" w:rsidR="004E5476" w:rsidRDefault="004E5476" w:rsidP="00E50471"/>
    <w:p w14:paraId="08B3C4BC" w14:textId="77777777" w:rsidR="004E5476" w:rsidRDefault="004E5476" w:rsidP="00E50471"/>
    <w:p w14:paraId="738F139F" w14:textId="77777777" w:rsidR="004E5476" w:rsidRDefault="004E5476" w:rsidP="00E50471"/>
    <w:p w14:paraId="52F0A4DC" w14:textId="77777777" w:rsidR="004E5476" w:rsidRDefault="004E5476" w:rsidP="00E50471"/>
    <w:p w14:paraId="74F16D8D" w14:textId="77777777" w:rsidR="004E5476" w:rsidRDefault="004E5476" w:rsidP="00E50471"/>
    <w:p w14:paraId="6D04AE0F" w14:textId="77777777" w:rsidR="004E5476" w:rsidRDefault="004E5476" w:rsidP="00E50471"/>
    <w:p w14:paraId="67966EC2" w14:textId="77777777" w:rsidR="004E5476" w:rsidRDefault="004E5476" w:rsidP="00E50471"/>
    <w:p w14:paraId="1123E551" w14:textId="77777777" w:rsidR="004E5476" w:rsidRDefault="004E5476" w:rsidP="00E50471"/>
    <w:p w14:paraId="292109ED" w14:textId="77777777" w:rsidR="004E5476" w:rsidRDefault="004E5476" w:rsidP="00E50471"/>
    <w:p w14:paraId="73869718" w14:textId="77777777" w:rsidR="004E5476" w:rsidRDefault="004E5476" w:rsidP="00E50471"/>
    <w:p w14:paraId="0D5F774C" w14:textId="77777777" w:rsidR="004E5476" w:rsidRDefault="004E5476" w:rsidP="00E50471"/>
    <w:p w14:paraId="22705097" w14:textId="77777777" w:rsidR="004E5476" w:rsidRDefault="004E5476" w:rsidP="00E50471"/>
    <w:p w14:paraId="49D06A40" w14:textId="77777777" w:rsidR="004E5476" w:rsidRDefault="004E5476" w:rsidP="00E50471"/>
    <w:p w14:paraId="5B88F855" w14:textId="77777777" w:rsidR="004E5476" w:rsidRDefault="004E5476" w:rsidP="00E50471"/>
    <w:p w14:paraId="30ABC1FA" w14:textId="77777777" w:rsidR="004E5476" w:rsidRDefault="004E5476" w:rsidP="00E50471"/>
    <w:p w14:paraId="483D5947" w14:textId="77777777" w:rsidR="004E5476" w:rsidRDefault="004E5476" w:rsidP="00E50471"/>
    <w:p w14:paraId="7496E13D" w14:textId="77777777" w:rsidR="004E5476" w:rsidRDefault="004E5476" w:rsidP="00E50471"/>
    <w:p w14:paraId="5B4BE94E" w14:textId="77777777" w:rsidR="004E5476" w:rsidRDefault="004E5476" w:rsidP="00E50471"/>
    <w:p w14:paraId="0A4230D4" w14:textId="77777777" w:rsidR="004E5476" w:rsidRDefault="004E5476" w:rsidP="00E50471"/>
    <w:p w14:paraId="2857E02D" w14:textId="77777777" w:rsidR="004E5476" w:rsidRDefault="004E5476" w:rsidP="00E50471"/>
    <w:p w14:paraId="4E3FE9CD" w14:textId="77777777" w:rsidR="004E5476" w:rsidRDefault="004E5476" w:rsidP="00E50471"/>
    <w:p w14:paraId="04F933F2" w14:textId="77777777" w:rsidR="004E5476" w:rsidRDefault="004E5476" w:rsidP="00E50471"/>
    <w:p w14:paraId="674A6F8D" w14:textId="77777777" w:rsidR="004E5476" w:rsidRDefault="004E5476" w:rsidP="00E50471"/>
    <w:p w14:paraId="2DA66D9C" w14:textId="77777777" w:rsidR="004E5476" w:rsidRDefault="004E5476" w:rsidP="00E50471"/>
    <w:p w14:paraId="64C7B709" w14:textId="77777777" w:rsidR="004E5476" w:rsidRDefault="004E5476" w:rsidP="00E50471"/>
    <w:p w14:paraId="5CC5CB67" w14:textId="77777777" w:rsidR="004E5476" w:rsidRDefault="004E5476" w:rsidP="00E50471"/>
    <w:p w14:paraId="2B192747" w14:textId="77777777" w:rsidR="004E5476" w:rsidRDefault="004E5476" w:rsidP="00E50471"/>
    <w:p w14:paraId="7F04A81B" w14:textId="77777777" w:rsidR="004E5476" w:rsidRDefault="004E5476" w:rsidP="00E50471"/>
    <w:p w14:paraId="70B2016D" w14:textId="77777777" w:rsidR="004E5476" w:rsidRDefault="004E5476" w:rsidP="00E50471"/>
    <w:p w14:paraId="77EDA8E8" w14:textId="77777777" w:rsidR="004E5476" w:rsidRDefault="004E5476" w:rsidP="00E50471"/>
    <w:p w14:paraId="7375C54A" w14:textId="77777777" w:rsidR="004E5476" w:rsidRDefault="004E5476" w:rsidP="00E50471"/>
    <w:p w14:paraId="081E8F36" w14:textId="77777777" w:rsidR="004E5476" w:rsidRDefault="004E5476" w:rsidP="00E50471"/>
    <w:p w14:paraId="1768D0AE" w14:textId="77777777" w:rsidR="004E5476" w:rsidRDefault="004E5476" w:rsidP="00E50471"/>
    <w:p w14:paraId="2B1A5052" w14:textId="77777777" w:rsidR="004E5476" w:rsidRDefault="004E5476" w:rsidP="00E50471"/>
    <w:p w14:paraId="2B881A9B" w14:textId="77777777" w:rsidR="004E5476" w:rsidRDefault="004E5476" w:rsidP="00E50471"/>
    <w:p w14:paraId="1F71645B" w14:textId="77777777" w:rsidR="004E5476" w:rsidRDefault="004E5476" w:rsidP="00E50471"/>
    <w:p w14:paraId="5C23CBCD" w14:textId="77777777" w:rsidR="004E5476" w:rsidRDefault="004E5476" w:rsidP="00E50471"/>
    <w:p w14:paraId="644E6205" w14:textId="77777777" w:rsidR="004E5476" w:rsidRDefault="004E5476" w:rsidP="00E50471"/>
    <w:p w14:paraId="2E133EE5" w14:textId="77777777" w:rsidR="004E5476" w:rsidRDefault="004E5476" w:rsidP="00E50471"/>
    <w:p w14:paraId="3360B24E" w14:textId="77777777" w:rsidR="004E5476" w:rsidRDefault="004E5476" w:rsidP="00E50471"/>
    <w:p w14:paraId="1FA52F62" w14:textId="77777777" w:rsidR="004E5476" w:rsidRDefault="004E5476" w:rsidP="00E50471"/>
    <w:p w14:paraId="1F177C4C" w14:textId="77777777" w:rsidR="004E5476" w:rsidRDefault="004E5476" w:rsidP="00E50471"/>
    <w:p w14:paraId="63084434" w14:textId="77777777" w:rsidR="004E5476" w:rsidRDefault="004E5476" w:rsidP="00E50471"/>
    <w:p w14:paraId="4F2D5B80" w14:textId="77777777" w:rsidR="004E5476" w:rsidRDefault="004E5476" w:rsidP="00E50471"/>
    <w:p w14:paraId="1A1C2AD3" w14:textId="77777777" w:rsidR="004E5476" w:rsidRDefault="004E5476" w:rsidP="00E50471"/>
    <w:p w14:paraId="45A394A7" w14:textId="77777777" w:rsidR="004E5476" w:rsidRDefault="004E5476" w:rsidP="00E50471"/>
    <w:p w14:paraId="2F8AA6C2" w14:textId="77777777" w:rsidR="004E5476" w:rsidRDefault="004E5476" w:rsidP="00E50471"/>
    <w:p w14:paraId="752C1D04" w14:textId="77777777" w:rsidR="004E5476" w:rsidRDefault="004E5476" w:rsidP="00E50471"/>
    <w:p w14:paraId="386219AA" w14:textId="77777777" w:rsidR="004E5476" w:rsidRDefault="004E5476" w:rsidP="00E50471"/>
    <w:p w14:paraId="267F684D" w14:textId="77777777" w:rsidR="004E5476" w:rsidRDefault="004E5476" w:rsidP="00E50471"/>
    <w:p w14:paraId="00D107C6" w14:textId="77777777" w:rsidR="004E5476" w:rsidRDefault="004E5476" w:rsidP="00E50471"/>
    <w:p w14:paraId="6E23FA70" w14:textId="77777777" w:rsidR="004E5476" w:rsidRDefault="004E5476" w:rsidP="00E50471"/>
    <w:p w14:paraId="754B8DC7" w14:textId="77777777" w:rsidR="004E5476" w:rsidRDefault="004E5476" w:rsidP="00E50471"/>
    <w:p w14:paraId="6E8AF0AB" w14:textId="77777777" w:rsidR="004E5476" w:rsidRDefault="004E5476" w:rsidP="00E50471"/>
    <w:p w14:paraId="633FC72E" w14:textId="77777777" w:rsidR="004E5476" w:rsidRDefault="004E5476" w:rsidP="00E50471"/>
    <w:p w14:paraId="20C921AE" w14:textId="77777777" w:rsidR="004E5476" w:rsidRDefault="004E5476" w:rsidP="00E50471"/>
    <w:p w14:paraId="5F1DCE40" w14:textId="77777777" w:rsidR="004E5476" w:rsidRDefault="004E5476" w:rsidP="00E50471"/>
    <w:p w14:paraId="157E5661" w14:textId="77777777" w:rsidR="004E5476" w:rsidRDefault="004E5476" w:rsidP="00E50471"/>
    <w:p w14:paraId="2AC474A5" w14:textId="77777777" w:rsidR="004E5476" w:rsidRDefault="004E5476" w:rsidP="00E50471"/>
    <w:p w14:paraId="4DBBBAA1" w14:textId="77777777" w:rsidR="004E5476" w:rsidRDefault="004E5476" w:rsidP="00E50471"/>
    <w:p w14:paraId="35F3806A" w14:textId="77777777" w:rsidR="004E5476" w:rsidRDefault="004E5476" w:rsidP="00E50471"/>
    <w:p w14:paraId="599238C0" w14:textId="77777777" w:rsidR="004E5476" w:rsidRDefault="004E5476" w:rsidP="00E50471"/>
    <w:p w14:paraId="5997FA36" w14:textId="77777777" w:rsidR="004E5476" w:rsidRDefault="004E5476" w:rsidP="00E50471"/>
    <w:p w14:paraId="3666C900" w14:textId="77777777" w:rsidR="004E5476" w:rsidRDefault="004E5476" w:rsidP="00E50471"/>
    <w:p w14:paraId="2039E79C" w14:textId="77777777" w:rsidR="004E5476" w:rsidRDefault="004E5476" w:rsidP="00E50471"/>
    <w:p w14:paraId="687700A5" w14:textId="77777777" w:rsidR="004E5476" w:rsidRDefault="004E5476" w:rsidP="00E50471"/>
    <w:p w14:paraId="3860A3E4" w14:textId="77777777" w:rsidR="004E5476" w:rsidRDefault="004E5476" w:rsidP="00E50471"/>
    <w:p w14:paraId="6E7C3585" w14:textId="77777777" w:rsidR="004E5476" w:rsidRDefault="004E5476" w:rsidP="00E50471"/>
    <w:p w14:paraId="2E1E2B66" w14:textId="77777777" w:rsidR="004E5476" w:rsidRDefault="004E5476" w:rsidP="00E50471"/>
    <w:p w14:paraId="5673BA1A" w14:textId="77777777" w:rsidR="004E5476" w:rsidRDefault="004E5476" w:rsidP="00E50471"/>
    <w:p w14:paraId="30B74D50" w14:textId="77777777" w:rsidR="004E5476" w:rsidRDefault="004E5476" w:rsidP="00E50471"/>
    <w:p w14:paraId="031DD60D" w14:textId="77777777" w:rsidR="004E5476" w:rsidRDefault="004E5476" w:rsidP="00E50471"/>
    <w:p w14:paraId="2AA957FD" w14:textId="77777777" w:rsidR="004E5476" w:rsidRDefault="004E5476" w:rsidP="00E50471"/>
    <w:p w14:paraId="3DA13F48" w14:textId="77777777" w:rsidR="004E5476" w:rsidRDefault="004E5476" w:rsidP="00E50471"/>
    <w:p w14:paraId="6E058ABD" w14:textId="77777777" w:rsidR="004E5476" w:rsidRDefault="004E5476" w:rsidP="00E50471"/>
    <w:p w14:paraId="65A86FD7" w14:textId="77777777" w:rsidR="004E5476" w:rsidRDefault="004E5476" w:rsidP="00E50471"/>
    <w:p w14:paraId="09D77CA0" w14:textId="77777777" w:rsidR="004E5476" w:rsidRDefault="004E5476" w:rsidP="00E50471"/>
    <w:p w14:paraId="2AD4C0B8" w14:textId="77777777" w:rsidR="004E5476" w:rsidRDefault="004E5476" w:rsidP="00E50471"/>
    <w:p w14:paraId="3EF22E55" w14:textId="77777777" w:rsidR="004E5476" w:rsidRDefault="004E5476" w:rsidP="00E50471"/>
    <w:p w14:paraId="6BE84466" w14:textId="77777777" w:rsidR="004E5476" w:rsidRDefault="004E5476" w:rsidP="00E50471"/>
    <w:p w14:paraId="4894EEDF" w14:textId="77777777" w:rsidR="004E5476" w:rsidRDefault="004E5476" w:rsidP="00E50471"/>
    <w:p w14:paraId="149CB78F" w14:textId="77777777" w:rsidR="004E5476" w:rsidRDefault="004E5476" w:rsidP="00E50471"/>
    <w:p w14:paraId="5B3A948E" w14:textId="77777777" w:rsidR="004E5476" w:rsidRDefault="004E5476" w:rsidP="00E50471"/>
    <w:p w14:paraId="716200D9" w14:textId="77777777" w:rsidR="004E5476" w:rsidRDefault="004E5476" w:rsidP="00E50471"/>
    <w:p w14:paraId="57C768EF" w14:textId="77777777" w:rsidR="004E5476" w:rsidRDefault="004E5476" w:rsidP="00E50471"/>
    <w:p w14:paraId="18118C71" w14:textId="77777777" w:rsidR="004E5476" w:rsidRDefault="004E5476" w:rsidP="00E50471"/>
    <w:p w14:paraId="744588F0" w14:textId="77777777" w:rsidR="004E5476" w:rsidRDefault="004E5476" w:rsidP="00E50471"/>
    <w:p w14:paraId="2AA360BD" w14:textId="77777777" w:rsidR="004E5476" w:rsidRDefault="004E5476" w:rsidP="00E50471"/>
    <w:p w14:paraId="58C30EBF" w14:textId="77777777" w:rsidR="004E5476" w:rsidRDefault="004E5476" w:rsidP="00E50471"/>
    <w:p w14:paraId="4E19984B" w14:textId="77777777" w:rsidR="004E5476" w:rsidRDefault="004E5476" w:rsidP="00E50471"/>
    <w:p w14:paraId="46F44618" w14:textId="77777777" w:rsidR="004E5476" w:rsidRDefault="004E5476" w:rsidP="00E50471"/>
    <w:p w14:paraId="2431E02F" w14:textId="77777777" w:rsidR="004E5476" w:rsidRDefault="004E5476" w:rsidP="00E50471"/>
    <w:p w14:paraId="28724045" w14:textId="77777777" w:rsidR="004E5476" w:rsidRDefault="004E5476" w:rsidP="00E50471"/>
    <w:p w14:paraId="42185EB3" w14:textId="77777777" w:rsidR="004E5476" w:rsidRDefault="004E5476" w:rsidP="00E50471"/>
    <w:p w14:paraId="3BF5C561" w14:textId="77777777" w:rsidR="004E5476" w:rsidRDefault="004E5476" w:rsidP="00E50471"/>
    <w:p w14:paraId="5EA1F799" w14:textId="77777777" w:rsidR="004E5476" w:rsidRDefault="004E5476" w:rsidP="00E50471"/>
    <w:p w14:paraId="06A48EDD" w14:textId="77777777" w:rsidR="004E5476" w:rsidRDefault="004E5476" w:rsidP="00E50471"/>
    <w:p w14:paraId="7209656F" w14:textId="77777777" w:rsidR="004E5476" w:rsidRDefault="004E5476" w:rsidP="00E50471"/>
    <w:p w14:paraId="6D855985" w14:textId="77777777" w:rsidR="004E5476" w:rsidRDefault="004E5476" w:rsidP="00E50471"/>
    <w:p w14:paraId="2FC82972" w14:textId="77777777" w:rsidR="004E5476" w:rsidRDefault="004E5476" w:rsidP="00E50471"/>
    <w:p w14:paraId="2CEAC412" w14:textId="77777777" w:rsidR="004E5476" w:rsidRDefault="004E5476" w:rsidP="00E50471"/>
    <w:p w14:paraId="4570AF38" w14:textId="77777777" w:rsidR="004E5476" w:rsidRDefault="004E5476" w:rsidP="00E50471"/>
    <w:p w14:paraId="0EFED887" w14:textId="77777777" w:rsidR="004E5476" w:rsidRDefault="004E5476" w:rsidP="00E50471"/>
    <w:p w14:paraId="61C57D12" w14:textId="77777777" w:rsidR="004E5476" w:rsidRDefault="004E5476" w:rsidP="00E50471"/>
    <w:p w14:paraId="705C070F" w14:textId="77777777" w:rsidR="004E5476" w:rsidRDefault="004E5476" w:rsidP="00E50471"/>
    <w:p w14:paraId="1587BD64" w14:textId="77777777" w:rsidR="004E5476" w:rsidRDefault="004E5476" w:rsidP="00E50471"/>
    <w:p w14:paraId="13797162" w14:textId="77777777" w:rsidR="004E5476" w:rsidRDefault="004E5476" w:rsidP="00E50471"/>
    <w:p w14:paraId="34FF7E17" w14:textId="77777777" w:rsidR="004E5476" w:rsidRDefault="004E5476" w:rsidP="00E50471"/>
    <w:p w14:paraId="489508C1" w14:textId="77777777" w:rsidR="004E5476" w:rsidRDefault="004E5476" w:rsidP="00E50471"/>
    <w:p w14:paraId="187DAA22" w14:textId="77777777" w:rsidR="004E5476" w:rsidRDefault="004E5476" w:rsidP="00E50471"/>
    <w:p w14:paraId="27F4A1E9" w14:textId="77777777" w:rsidR="004E5476" w:rsidRDefault="004E5476" w:rsidP="00E50471"/>
    <w:p w14:paraId="6EF42D07" w14:textId="77777777" w:rsidR="004E5476" w:rsidRDefault="004E5476" w:rsidP="00E50471"/>
    <w:p w14:paraId="28704707" w14:textId="77777777" w:rsidR="004E5476" w:rsidRDefault="004E5476" w:rsidP="00E50471"/>
    <w:p w14:paraId="76619727" w14:textId="77777777" w:rsidR="004E5476" w:rsidRDefault="004E5476" w:rsidP="00E50471"/>
    <w:p w14:paraId="18F0BB8A" w14:textId="77777777" w:rsidR="004E5476" w:rsidRDefault="004E5476" w:rsidP="00E50471"/>
    <w:p w14:paraId="66576716" w14:textId="77777777" w:rsidR="004E5476" w:rsidRDefault="004E5476" w:rsidP="00E50471"/>
    <w:p w14:paraId="421A9B8C" w14:textId="77777777" w:rsidR="004E5476" w:rsidRDefault="004E5476" w:rsidP="00E50471"/>
    <w:p w14:paraId="11CE1A8F" w14:textId="77777777" w:rsidR="004E5476" w:rsidRDefault="004E5476" w:rsidP="00E50471"/>
    <w:p w14:paraId="2ADDAB7B" w14:textId="77777777" w:rsidR="004E5476" w:rsidRDefault="004E5476" w:rsidP="00E50471"/>
    <w:p w14:paraId="150844C2" w14:textId="77777777" w:rsidR="004E5476" w:rsidRDefault="004E5476" w:rsidP="00E50471"/>
    <w:p w14:paraId="79428D5B" w14:textId="77777777" w:rsidR="004E5476" w:rsidRDefault="004E5476" w:rsidP="00E50471"/>
    <w:p w14:paraId="0935D5D2" w14:textId="77777777" w:rsidR="004E5476" w:rsidRDefault="004E5476" w:rsidP="00E50471"/>
    <w:p w14:paraId="71589335" w14:textId="77777777" w:rsidR="004E5476" w:rsidRDefault="004E5476" w:rsidP="00E50471"/>
    <w:p w14:paraId="6E1441C0" w14:textId="77777777" w:rsidR="004E5476" w:rsidRDefault="004E5476" w:rsidP="00E50471"/>
    <w:p w14:paraId="1A2B595D" w14:textId="77777777" w:rsidR="004E5476" w:rsidRDefault="004E5476" w:rsidP="00E50471"/>
    <w:p w14:paraId="0C100CF2" w14:textId="77777777" w:rsidR="004E5476" w:rsidRDefault="004E5476" w:rsidP="00E50471"/>
    <w:p w14:paraId="5ECD5051" w14:textId="77777777" w:rsidR="004E5476" w:rsidRDefault="004E5476" w:rsidP="00E50471"/>
    <w:p w14:paraId="058F1A4E" w14:textId="77777777" w:rsidR="004E5476" w:rsidRDefault="004E5476" w:rsidP="00E50471"/>
    <w:p w14:paraId="5DF0E4DF" w14:textId="77777777" w:rsidR="004E5476" w:rsidRDefault="004E5476" w:rsidP="00E50471"/>
    <w:p w14:paraId="7D89243D" w14:textId="77777777" w:rsidR="004E5476" w:rsidRDefault="004E5476" w:rsidP="00E50471"/>
    <w:p w14:paraId="11402136" w14:textId="77777777" w:rsidR="004E5476" w:rsidRDefault="004E5476" w:rsidP="00E50471"/>
    <w:p w14:paraId="6446E191" w14:textId="77777777" w:rsidR="004E5476" w:rsidRDefault="004E5476" w:rsidP="00E50471"/>
    <w:p w14:paraId="0E48666C" w14:textId="77777777" w:rsidR="004E5476" w:rsidRDefault="004E5476" w:rsidP="00E50471"/>
    <w:p w14:paraId="0A8E028C" w14:textId="77777777" w:rsidR="004E5476" w:rsidRDefault="004E5476" w:rsidP="00E50471"/>
    <w:p w14:paraId="05046903" w14:textId="77777777" w:rsidR="004E5476" w:rsidRDefault="004E5476" w:rsidP="00E50471"/>
    <w:p w14:paraId="153D5BC1" w14:textId="77777777" w:rsidR="004E5476" w:rsidRDefault="004E5476" w:rsidP="00E50471"/>
    <w:p w14:paraId="6DF5AF69" w14:textId="77777777" w:rsidR="004E5476" w:rsidRDefault="004E5476" w:rsidP="00E50471"/>
    <w:p w14:paraId="0557471C" w14:textId="77777777" w:rsidR="004E5476" w:rsidRDefault="004E5476" w:rsidP="00E50471"/>
    <w:p w14:paraId="004FA94F" w14:textId="77777777" w:rsidR="004E5476" w:rsidRDefault="004E5476" w:rsidP="00E50471"/>
    <w:p w14:paraId="0B1EEEA7" w14:textId="77777777" w:rsidR="004E5476" w:rsidRDefault="004E5476" w:rsidP="00E50471"/>
    <w:p w14:paraId="3CB643ED" w14:textId="77777777" w:rsidR="004E5476" w:rsidRDefault="004E5476" w:rsidP="00E50471"/>
    <w:p w14:paraId="3758B959" w14:textId="77777777" w:rsidR="004E5476" w:rsidRDefault="004E5476" w:rsidP="00E50471"/>
    <w:p w14:paraId="61CB6937" w14:textId="77777777" w:rsidR="004E5476" w:rsidRDefault="004E5476" w:rsidP="00E50471"/>
    <w:p w14:paraId="539053AC" w14:textId="77777777" w:rsidR="004E5476" w:rsidRDefault="004E5476" w:rsidP="00E50471"/>
    <w:p w14:paraId="62E6CE84" w14:textId="77777777" w:rsidR="004E5476" w:rsidRDefault="004E5476" w:rsidP="00E50471"/>
    <w:p w14:paraId="4B8D8069" w14:textId="77777777" w:rsidR="004E5476" w:rsidRDefault="004E5476" w:rsidP="00E50471"/>
    <w:p w14:paraId="0E84098C" w14:textId="77777777" w:rsidR="004E5476" w:rsidRDefault="004E5476" w:rsidP="00E50471"/>
    <w:p w14:paraId="7A6F0BAF" w14:textId="77777777" w:rsidR="004E5476" w:rsidRDefault="004E5476" w:rsidP="00E50471"/>
    <w:p w14:paraId="112031E3" w14:textId="77777777" w:rsidR="004E5476" w:rsidRDefault="004E5476" w:rsidP="00E50471"/>
    <w:p w14:paraId="1B2687F1" w14:textId="77777777" w:rsidR="004E5476" w:rsidRDefault="004E5476" w:rsidP="00E50471"/>
    <w:p w14:paraId="3039DE0D" w14:textId="77777777" w:rsidR="004E5476" w:rsidRDefault="004E5476" w:rsidP="00E50471"/>
    <w:p w14:paraId="370866B9" w14:textId="77777777" w:rsidR="004E5476" w:rsidRDefault="004E5476" w:rsidP="00E50471"/>
    <w:p w14:paraId="5859A46B" w14:textId="77777777" w:rsidR="004E5476" w:rsidRDefault="004E5476" w:rsidP="00E50471"/>
    <w:p w14:paraId="02057537" w14:textId="77777777" w:rsidR="004E5476" w:rsidRDefault="004E5476" w:rsidP="00E50471"/>
    <w:p w14:paraId="266E7861" w14:textId="77777777" w:rsidR="004E5476" w:rsidRDefault="004E5476" w:rsidP="00E50471"/>
    <w:p w14:paraId="770CD9F5" w14:textId="77777777" w:rsidR="004E5476" w:rsidRDefault="004E5476" w:rsidP="00E50471"/>
    <w:p w14:paraId="4312901A" w14:textId="77777777" w:rsidR="004E5476" w:rsidRDefault="004E5476" w:rsidP="00E50471"/>
    <w:p w14:paraId="3A2F1847" w14:textId="77777777" w:rsidR="004E5476" w:rsidRDefault="004E5476" w:rsidP="00E50471"/>
    <w:p w14:paraId="3BC325AC" w14:textId="77777777" w:rsidR="004E5476" w:rsidRDefault="004E5476" w:rsidP="00E50471"/>
    <w:p w14:paraId="48891512" w14:textId="77777777" w:rsidR="004E5476" w:rsidRDefault="004E5476" w:rsidP="00E50471"/>
    <w:p w14:paraId="4DFA285B" w14:textId="77777777" w:rsidR="004E5476" w:rsidRDefault="004E5476" w:rsidP="00E50471"/>
    <w:p w14:paraId="10EB1C94" w14:textId="77777777" w:rsidR="004E5476" w:rsidRDefault="004E5476" w:rsidP="00E50471"/>
    <w:p w14:paraId="26B4145D" w14:textId="77777777" w:rsidR="004E5476" w:rsidRDefault="004E5476" w:rsidP="00E50471"/>
    <w:p w14:paraId="657DE8E8" w14:textId="77777777" w:rsidR="004E5476" w:rsidRDefault="004E5476" w:rsidP="00E50471"/>
    <w:p w14:paraId="2A5D042B" w14:textId="77777777" w:rsidR="004E5476" w:rsidRDefault="004E5476" w:rsidP="00E50471"/>
    <w:p w14:paraId="4D75B113" w14:textId="77777777" w:rsidR="004E5476" w:rsidRDefault="004E5476" w:rsidP="00E50471"/>
    <w:p w14:paraId="3716FC5F" w14:textId="77777777" w:rsidR="004E5476" w:rsidRDefault="004E5476" w:rsidP="00E50471"/>
    <w:p w14:paraId="07DC9385" w14:textId="77777777" w:rsidR="004E5476" w:rsidRDefault="004E5476" w:rsidP="00E50471"/>
    <w:p w14:paraId="341401FA" w14:textId="77777777" w:rsidR="004E5476" w:rsidRDefault="004E5476" w:rsidP="00E50471"/>
    <w:p w14:paraId="7E9C912F" w14:textId="77777777" w:rsidR="004E5476" w:rsidRDefault="004E5476" w:rsidP="00E50471"/>
    <w:p w14:paraId="577AAF36" w14:textId="77777777" w:rsidR="004E5476" w:rsidRDefault="004E5476" w:rsidP="00E50471"/>
    <w:p w14:paraId="18A07D44" w14:textId="77777777" w:rsidR="004E5476" w:rsidRDefault="004E5476" w:rsidP="00E50471"/>
    <w:p w14:paraId="5FF25A97" w14:textId="77777777" w:rsidR="004E5476" w:rsidRDefault="004E5476" w:rsidP="00E50471"/>
    <w:p w14:paraId="6F8A383B" w14:textId="77777777" w:rsidR="004E5476" w:rsidRDefault="004E5476" w:rsidP="00E50471"/>
    <w:p w14:paraId="249C266C" w14:textId="77777777" w:rsidR="004E5476" w:rsidRDefault="004E5476" w:rsidP="00E50471"/>
    <w:p w14:paraId="157AC1CC" w14:textId="77777777" w:rsidR="004E5476" w:rsidRDefault="004E5476" w:rsidP="00E50471"/>
    <w:p w14:paraId="21696A4E" w14:textId="77777777" w:rsidR="004E5476" w:rsidRDefault="004E5476" w:rsidP="00E50471"/>
    <w:p w14:paraId="641FF8D7" w14:textId="77777777" w:rsidR="004E5476" w:rsidRDefault="004E5476" w:rsidP="00E50471"/>
    <w:p w14:paraId="399A4D63" w14:textId="77777777" w:rsidR="004E5476" w:rsidRDefault="004E5476" w:rsidP="00E50471"/>
    <w:p w14:paraId="6F979D6A" w14:textId="77777777" w:rsidR="004E5476" w:rsidRDefault="004E5476" w:rsidP="00E50471"/>
    <w:p w14:paraId="267ECC2B" w14:textId="77777777" w:rsidR="004E5476" w:rsidRDefault="004E5476" w:rsidP="00E50471"/>
    <w:p w14:paraId="696B4D62" w14:textId="77777777" w:rsidR="004E5476" w:rsidRDefault="004E5476"/>
    <w:p w14:paraId="5484988B" w14:textId="77777777" w:rsidR="004E5476" w:rsidRDefault="004E5476"/>
    <w:p w14:paraId="7DDCF491" w14:textId="77777777" w:rsidR="004E5476" w:rsidRDefault="004E5476" w:rsidP="00231CE8"/>
    <w:p w14:paraId="209F6A58" w14:textId="77777777" w:rsidR="004E5476" w:rsidRDefault="004E5476" w:rsidP="00231CE8"/>
    <w:p w14:paraId="1EBF7BA0" w14:textId="77777777" w:rsidR="004E5476" w:rsidRDefault="004E5476" w:rsidP="00231CE8"/>
    <w:p w14:paraId="32F671CE" w14:textId="77777777" w:rsidR="004E5476" w:rsidRDefault="004E5476" w:rsidP="00191329"/>
    <w:p w14:paraId="3378CD05" w14:textId="77777777" w:rsidR="004E5476" w:rsidRDefault="004E5476" w:rsidP="00191329"/>
    <w:p w14:paraId="3C5E02D9" w14:textId="77777777" w:rsidR="004E5476" w:rsidRDefault="004E5476" w:rsidP="00191329"/>
    <w:p w14:paraId="7DA003FD" w14:textId="77777777" w:rsidR="004E5476" w:rsidRDefault="004E5476" w:rsidP="00191329"/>
    <w:p w14:paraId="7EC5F3D9" w14:textId="77777777" w:rsidR="004E5476" w:rsidRDefault="004E5476" w:rsidP="00F1792F"/>
    <w:p w14:paraId="0B28BE40" w14:textId="77777777" w:rsidR="004E5476" w:rsidRDefault="004E5476" w:rsidP="00F1792F"/>
    <w:p w14:paraId="35175ED0" w14:textId="77777777" w:rsidR="004E5476" w:rsidRDefault="004E5476"/>
    <w:p w14:paraId="5C9D28ED" w14:textId="77777777" w:rsidR="004E5476" w:rsidRDefault="004E5476" w:rsidP="0047021A"/>
    <w:p w14:paraId="1438045C" w14:textId="77777777" w:rsidR="004E5476" w:rsidRDefault="004E5476" w:rsidP="0047021A"/>
    <w:p w14:paraId="440C055A" w14:textId="77777777" w:rsidR="004E5476" w:rsidRDefault="004E5476" w:rsidP="0047021A"/>
    <w:p w14:paraId="1C3635EC" w14:textId="77777777" w:rsidR="004E5476" w:rsidRDefault="004E5476" w:rsidP="0047021A"/>
    <w:p w14:paraId="66BF6B9C" w14:textId="77777777" w:rsidR="004E5476" w:rsidRDefault="004E5476"/>
    <w:p w14:paraId="58902772" w14:textId="77777777" w:rsidR="004E5476" w:rsidRDefault="004E5476"/>
    <w:p w14:paraId="2D463035" w14:textId="77777777" w:rsidR="004E5476" w:rsidRDefault="004E5476" w:rsidP="003E237E"/>
    <w:p w14:paraId="78B43B64" w14:textId="77777777" w:rsidR="004E5476" w:rsidRDefault="004E5476" w:rsidP="003E237E"/>
    <w:p w14:paraId="355758E0" w14:textId="77777777" w:rsidR="004E5476" w:rsidRDefault="004E5476" w:rsidP="003E237E"/>
    <w:p w14:paraId="72F9526D" w14:textId="77777777" w:rsidR="004E5476" w:rsidRDefault="004E5476" w:rsidP="00326C77"/>
    <w:p w14:paraId="61DC239F" w14:textId="77777777" w:rsidR="004E5476" w:rsidRDefault="004E5476" w:rsidP="00326C77"/>
    <w:p w14:paraId="554F66B3" w14:textId="77777777" w:rsidR="004E5476" w:rsidRDefault="004E5476" w:rsidP="000D3264"/>
    <w:p w14:paraId="6223B5FF" w14:textId="77777777" w:rsidR="004E5476" w:rsidRDefault="004E5476" w:rsidP="000D3264"/>
    <w:p w14:paraId="0F09D0BB" w14:textId="77777777" w:rsidR="004E5476" w:rsidRDefault="004E5476" w:rsidP="000D3264"/>
    <w:p w14:paraId="0699484A" w14:textId="77777777" w:rsidR="004E5476" w:rsidRDefault="004E5476" w:rsidP="000D3264"/>
    <w:p w14:paraId="4176F4C2" w14:textId="77777777" w:rsidR="004E5476" w:rsidRDefault="004E5476" w:rsidP="000D3264"/>
    <w:p w14:paraId="0B9880F5" w14:textId="77777777" w:rsidR="004E5476" w:rsidRDefault="004E5476"/>
    <w:p w14:paraId="7497FF9B" w14:textId="77777777" w:rsidR="004E5476" w:rsidRDefault="004E5476" w:rsidP="00AE7DAD"/>
    <w:p w14:paraId="0635DDE4" w14:textId="77777777" w:rsidR="004E5476" w:rsidRDefault="004E5476" w:rsidP="008A05B8"/>
    <w:p w14:paraId="5B8E1B9D" w14:textId="77777777" w:rsidR="004E5476" w:rsidRDefault="004E5476" w:rsidP="008A05B8"/>
    <w:p w14:paraId="75C6412E" w14:textId="77777777" w:rsidR="004E5476" w:rsidRDefault="004E5476"/>
    <w:p w14:paraId="51BF782C" w14:textId="77777777" w:rsidR="004E5476" w:rsidRDefault="004E5476" w:rsidP="0055585B"/>
  </w:endnote>
  <w:endnote w:type="continuationSeparator" w:id="0">
    <w:p w14:paraId="67F269AF" w14:textId="77777777" w:rsidR="004E5476" w:rsidRDefault="004E5476" w:rsidP="00E50471">
      <w:r>
        <w:continuationSeparator/>
      </w:r>
    </w:p>
    <w:p w14:paraId="59CD44B3" w14:textId="77777777" w:rsidR="004E5476" w:rsidRDefault="004E5476" w:rsidP="00E50471"/>
    <w:p w14:paraId="32D176F9" w14:textId="77777777" w:rsidR="004E5476" w:rsidRDefault="004E5476" w:rsidP="00E50471"/>
    <w:p w14:paraId="28CDF02C" w14:textId="77777777" w:rsidR="004E5476" w:rsidRDefault="004E5476" w:rsidP="00E50471"/>
    <w:p w14:paraId="7F8386EC" w14:textId="77777777" w:rsidR="004E5476" w:rsidRDefault="004E5476" w:rsidP="00E50471"/>
    <w:p w14:paraId="73DBFBC0" w14:textId="77777777" w:rsidR="004E5476" w:rsidRDefault="004E5476" w:rsidP="00E50471"/>
    <w:p w14:paraId="5955E3DE" w14:textId="77777777" w:rsidR="004E5476" w:rsidRDefault="004E5476" w:rsidP="00E50471"/>
    <w:p w14:paraId="4F13A3E0" w14:textId="77777777" w:rsidR="004E5476" w:rsidRDefault="004E5476" w:rsidP="00E50471"/>
    <w:p w14:paraId="3F829540" w14:textId="77777777" w:rsidR="004E5476" w:rsidRDefault="004E5476" w:rsidP="00E50471"/>
    <w:p w14:paraId="0FA4A007" w14:textId="77777777" w:rsidR="004E5476" w:rsidRDefault="004E5476" w:rsidP="00E50471"/>
    <w:p w14:paraId="399BF5F9" w14:textId="77777777" w:rsidR="004E5476" w:rsidRDefault="004E5476" w:rsidP="00E50471"/>
    <w:p w14:paraId="2F382B99" w14:textId="77777777" w:rsidR="004E5476" w:rsidRDefault="004E5476" w:rsidP="00E50471"/>
    <w:p w14:paraId="18ED53C4" w14:textId="77777777" w:rsidR="004E5476" w:rsidRDefault="004E5476" w:rsidP="00E50471"/>
    <w:p w14:paraId="63B34F1B" w14:textId="77777777" w:rsidR="004E5476" w:rsidRDefault="004E5476" w:rsidP="00E50471"/>
    <w:p w14:paraId="70EEB4E5" w14:textId="77777777" w:rsidR="004E5476" w:rsidRDefault="004E5476" w:rsidP="00E50471"/>
    <w:p w14:paraId="109E9939" w14:textId="77777777" w:rsidR="004E5476" w:rsidRDefault="004E5476" w:rsidP="00E50471"/>
    <w:p w14:paraId="2F68E611" w14:textId="77777777" w:rsidR="004E5476" w:rsidRDefault="004E5476" w:rsidP="00E50471"/>
    <w:p w14:paraId="664EE327" w14:textId="77777777" w:rsidR="004E5476" w:rsidRDefault="004E5476" w:rsidP="00E50471"/>
    <w:p w14:paraId="7B6D4C38" w14:textId="77777777" w:rsidR="004E5476" w:rsidRDefault="004E5476" w:rsidP="00E50471"/>
    <w:p w14:paraId="2B12069E" w14:textId="77777777" w:rsidR="004E5476" w:rsidRDefault="004E5476" w:rsidP="00E50471"/>
    <w:p w14:paraId="6D94A20E" w14:textId="77777777" w:rsidR="004E5476" w:rsidRDefault="004E5476" w:rsidP="00E50471"/>
    <w:p w14:paraId="7A19D7F0" w14:textId="77777777" w:rsidR="004E5476" w:rsidRDefault="004E5476" w:rsidP="00E50471"/>
    <w:p w14:paraId="4C7DFEE8" w14:textId="77777777" w:rsidR="004E5476" w:rsidRDefault="004E5476" w:rsidP="00E50471"/>
    <w:p w14:paraId="18A8F9B4" w14:textId="77777777" w:rsidR="004E5476" w:rsidRDefault="004E5476" w:rsidP="00E50471"/>
    <w:p w14:paraId="258025B1" w14:textId="77777777" w:rsidR="004E5476" w:rsidRDefault="004E5476" w:rsidP="00E50471"/>
    <w:p w14:paraId="4032ACBA" w14:textId="77777777" w:rsidR="004E5476" w:rsidRDefault="004E5476" w:rsidP="00E50471"/>
    <w:p w14:paraId="73192299" w14:textId="77777777" w:rsidR="004E5476" w:rsidRDefault="004E5476" w:rsidP="00E50471"/>
    <w:p w14:paraId="26514F47" w14:textId="77777777" w:rsidR="004E5476" w:rsidRDefault="004E5476" w:rsidP="00E50471"/>
    <w:p w14:paraId="185B2ED6" w14:textId="77777777" w:rsidR="004E5476" w:rsidRDefault="004E5476" w:rsidP="00E50471"/>
    <w:p w14:paraId="7D208BA0" w14:textId="77777777" w:rsidR="004E5476" w:rsidRDefault="004E5476" w:rsidP="00E50471"/>
    <w:p w14:paraId="649968B1" w14:textId="77777777" w:rsidR="004E5476" w:rsidRDefault="004E5476" w:rsidP="00E50471"/>
    <w:p w14:paraId="6C5239F8" w14:textId="77777777" w:rsidR="004E5476" w:rsidRDefault="004E5476" w:rsidP="00E50471"/>
    <w:p w14:paraId="2986DFF9" w14:textId="77777777" w:rsidR="004E5476" w:rsidRDefault="004E5476" w:rsidP="00E50471"/>
    <w:p w14:paraId="364B171E" w14:textId="77777777" w:rsidR="004E5476" w:rsidRDefault="004E5476" w:rsidP="00E50471"/>
    <w:p w14:paraId="79C2B48F" w14:textId="77777777" w:rsidR="004E5476" w:rsidRDefault="004E5476" w:rsidP="00E50471"/>
    <w:p w14:paraId="3D95C9E9" w14:textId="77777777" w:rsidR="004E5476" w:rsidRDefault="004E5476" w:rsidP="00E50471"/>
    <w:p w14:paraId="366FC224" w14:textId="77777777" w:rsidR="004E5476" w:rsidRDefault="004E5476" w:rsidP="00E50471"/>
    <w:p w14:paraId="7877B864" w14:textId="77777777" w:rsidR="004E5476" w:rsidRDefault="004E5476" w:rsidP="00E50471"/>
    <w:p w14:paraId="23E9C1F3" w14:textId="77777777" w:rsidR="004E5476" w:rsidRDefault="004E5476" w:rsidP="00E50471"/>
    <w:p w14:paraId="59C25739" w14:textId="77777777" w:rsidR="004E5476" w:rsidRDefault="004E5476" w:rsidP="00E50471"/>
    <w:p w14:paraId="0F991EA5" w14:textId="77777777" w:rsidR="004E5476" w:rsidRDefault="004E5476" w:rsidP="00E50471"/>
    <w:p w14:paraId="003959DD" w14:textId="77777777" w:rsidR="004E5476" w:rsidRDefault="004E5476" w:rsidP="00E50471"/>
    <w:p w14:paraId="3339366C" w14:textId="77777777" w:rsidR="004E5476" w:rsidRDefault="004E5476" w:rsidP="00E50471"/>
    <w:p w14:paraId="34E99D7C" w14:textId="77777777" w:rsidR="004E5476" w:rsidRDefault="004E5476" w:rsidP="00E50471"/>
    <w:p w14:paraId="014B7485" w14:textId="77777777" w:rsidR="004E5476" w:rsidRDefault="004E5476" w:rsidP="00E50471"/>
    <w:p w14:paraId="46C1B6F5" w14:textId="77777777" w:rsidR="004E5476" w:rsidRDefault="004E5476" w:rsidP="00E50471"/>
    <w:p w14:paraId="1094A807" w14:textId="77777777" w:rsidR="004E5476" w:rsidRDefault="004E5476" w:rsidP="00E50471"/>
    <w:p w14:paraId="31FEDD60" w14:textId="77777777" w:rsidR="004E5476" w:rsidRDefault="004E5476" w:rsidP="00E50471"/>
    <w:p w14:paraId="197F74A2" w14:textId="77777777" w:rsidR="004E5476" w:rsidRDefault="004E5476" w:rsidP="00E50471"/>
    <w:p w14:paraId="49AA2CA3" w14:textId="77777777" w:rsidR="004E5476" w:rsidRDefault="004E5476" w:rsidP="00E50471"/>
    <w:p w14:paraId="207F557D" w14:textId="77777777" w:rsidR="004E5476" w:rsidRDefault="004E5476" w:rsidP="00E50471"/>
    <w:p w14:paraId="4FFF61F1" w14:textId="77777777" w:rsidR="004E5476" w:rsidRDefault="004E5476" w:rsidP="00E50471"/>
    <w:p w14:paraId="135D49F9" w14:textId="77777777" w:rsidR="004E5476" w:rsidRDefault="004E5476" w:rsidP="00E50471"/>
    <w:p w14:paraId="7CEB8CC0" w14:textId="77777777" w:rsidR="004E5476" w:rsidRDefault="004E5476" w:rsidP="00E50471"/>
    <w:p w14:paraId="7383A3E6" w14:textId="77777777" w:rsidR="004E5476" w:rsidRDefault="004E5476" w:rsidP="00E50471"/>
    <w:p w14:paraId="1C339C07" w14:textId="77777777" w:rsidR="004E5476" w:rsidRDefault="004E5476" w:rsidP="00E50471"/>
    <w:p w14:paraId="02F57A8F" w14:textId="77777777" w:rsidR="004E5476" w:rsidRDefault="004E5476" w:rsidP="00E50471"/>
    <w:p w14:paraId="1E6B7467" w14:textId="77777777" w:rsidR="004E5476" w:rsidRDefault="004E5476" w:rsidP="00E50471"/>
    <w:p w14:paraId="1B5D4C98" w14:textId="77777777" w:rsidR="004E5476" w:rsidRDefault="004E5476" w:rsidP="00E50471"/>
    <w:p w14:paraId="65501E09" w14:textId="77777777" w:rsidR="004E5476" w:rsidRDefault="004E5476" w:rsidP="00E50471"/>
    <w:p w14:paraId="4D9D2FA9" w14:textId="77777777" w:rsidR="004E5476" w:rsidRDefault="004E5476" w:rsidP="00E50471"/>
    <w:p w14:paraId="223A51EB" w14:textId="77777777" w:rsidR="004E5476" w:rsidRDefault="004E5476" w:rsidP="00E50471"/>
    <w:p w14:paraId="326570F3" w14:textId="77777777" w:rsidR="004E5476" w:rsidRDefault="004E5476" w:rsidP="00E50471"/>
    <w:p w14:paraId="78AAE62D" w14:textId="77777777" w:rsidR="004E5476" w:rsidRDefault="004E5476" w:rsidP="00E50471"/>
    <w:p w14:paraId="4F4D4CA0" w14:textId="77777777" w:rsidR="004E5476" w:rsidRDefault="004E5476" w:rsidP="00E50471"/>
    <w:p w14:paraId="63816EC3" w14:textId="77777777" w:rsidR="004E5476" w:rsidRDefault="004E5476" w:rsidP="00E50471"/>
    <w:p w14:paraId="77832A78" w14:textId="77777777" w:rsidR="004E5476" w:rsidRDefault="004E5476" w:rsidP="00E50471"/>
    <w:p w14:paraId="7E01328E" w14:textId="77777777" w:rsidR="004E5476" w:rsidRDefault="004E5476" w:rsidP="00E50471"/>
    <w:p w14:paraId="0EFD6042" w14:textId="77777777" w:rsidR="004E5476" w:rsidRDefault="004E5476" w:rsidP="00E50471"/>
    <w:p w14:paraId="29628265" w14:textId="77777777" w:rsidR="004E5476" w:rsidRDefault="004E5476" w:rsidP="00E50471"/>
    <w:p w14:paraId="43311BEE" w14:textId="77777777" w:rsidR="004E5476" w:rsidRDefault="004E5476" w:rsidP="00E50471"/>
    <w:p w14:paraId="4E095EFD" w14:textId="77777777" w:rsidR="004E5476" w:rsidRDefault="004E5476" w:rsidP="00E50471"/>
    <w:p w14:paraId="588DEE78" w14:textId="77777777" w:rsidR="004E5476" w:rsidRDefault="004E5476" w:rsidP="00E50471"/>
    <w:p w14:paraId="58025446" w14:textId="77777777" w:rsidR="004E5476" w:rsidRDefault="004E5476" w:rsidP="00E50471"/>
    <w:p w14:paraId="6C67E3BC" w14:textId="77777777" w:rsidR="004E5476" w:rsidRDefault="004E5476" w:rsidP="00E50471"/>
    <w:p w14:paraId="6898891F" w14:textId="77777777" w:rsidR="004E5476" w:rsidRDefault="004E5476" w:rsidP="00E50471"/>
    <w:p w14:paraId="3ED164C5" w14:textId="77777777" w:rsidR="004E5476" w:rsidRDefault="004E5476" w:rsidP="00E50471"/>
    <w:p w14:paraId="0213B2BC" w14:textId="77777777" w:rsidR="004E5476" w:rsidRDefault="004E5476" w:rsidP="00E50471"/>
    <w:p w14:paraId="48BC8F9E" w14:textId="77777777" w:rsidR="004E5476" w:rsidRDefault="004E5476" w:rsidP="00E50471"/>
    <w:p w14:paraId="04DE7885" w14:textId="77777777" w:rsidR="004E5476" w:rsidRDefault="004E5476" w:rsidP="00E50471"/>
    <w:p w14:paraId="65C241CF" w14:textId="77777777" w:rsidR="004E5476" w:rsidRDefault="004E5476" w:rsidP="00E50471"/>
    <w:p w14:paraId="68638494" w14:textId="77777777" w:rsidR="004E5476" w:rsidRDefault="004E5476" w:rsidP="00E50471"/>
    <w:p w14:paraId="4CE20E90" w14:textId="77777777" w:rsidR="004E5476" w:rsidRDefault="004E5476" w:rsidP="00E50471"/>
    <w:p w14:paraId="17557A44" w14:textId="77777777" w:rsidR="004E5476" w:rsidRDefault="004E5476" w:rsidP="00E50471"/>
    <w:p w14:paraId="45402EE9" w14:textId="77777777" w:rsidR="004E5476" w:rsidRDefault="004E5476" w:rsidP="00E50471"/>
    <w:p w14:paraId="4A5480ED" w14:textId="77777777" w:rsidR="004E5476" w:rsidRDefault="004E5476" w:rsidP="00E50471"/>
    <w:p w14:paraId="26E2ED99" w14:textId="77777777" w:rsidR="004E5476" w:rsidRDefault="004E5476" w:rsidP="00E50471"/>
    <w:p w14:paraId="6AC1D6D4" w14:textId="77777777" w:rsidR="004E5476" w:rsidRDefault="004E5476" w:rsidP="00E50471"/>
    <w:p w14:paraId="295B7176" w14:textId="77777777" w:rsidR="004E5476" w:rsidRDefault="004E5476" w:rsidP="00E50471"/>
    <w:p w14:paraId="341C8BAB" w14:textId="77777777" w:rsidR="004E5476" w:rsidRDefault="004E5476" w:rsidP="00E50471"/>
    <w:p w14:paraId="4626E3C1" w14:textId="77777777" w:rsidR="004E5476" w:rsidRDefault="004E5476" w:rsidP="00E50471"/>
    <w:p w14:paraId="5CFC4BA3" w14:textId="77777777" w:rsidR="004E5476" w:rsidRDefault="004E5476" w:rsidP="00E50471"/>
    <w:p w14:paraId="55EE94F7" w14:textId="77777777" w:rsidR="004E5476" w:rsidRDefault="004E5476" w:rsidP="00E50471"/>
    <w:p w14:paraId="3CD59F06" w14:textId="77777777" w:rsidR="004E5476" w:rsidRDefault="004E5476" w:rsidP="00E50471"/>
    <w:p w14:paraId="6A42741B" w14:textId="77777777" w:rsidR="004E5476" w:rsidRDefault="004E5476" w:rsidP="00E50471"/>
    <w:p w14:paraId="126D223A" w14:textId="77777777" w:rsidR="004E5476" w:rsidRDefault="004E5476" w:rsidP="00E50471"/>
    <w:p w14:paraId="7FC6CC8E" w14:textId="77777777" w:rsidR="004E5476" w:rsidRDefault="004E5476" w:rsidP="00E50471"/>
    <w:p w14:paraId="08A25A5A" w14:textId="77777777" w:rsidR="004E5476" w:rsidRDefault="004E5476" w:rsidP="00E50471"/>
    <w:p w14:paraId="5770DE6C" w14:textId="77777777" w:rsidR="004E5476" w:rsidRDefault="004E5476" w:rsidP="00E50471"/>
    <w:p w14:paraId="2011CA20" w14:textId="77777777" w:rsidR="004E5476" w:rsidRDefault="004E5476" w:rsidP="00E50471"/>
    <w:p w14:paraId="6583EEE3" w14:textId="77777777" w:rsidR="004E5476" w:rsidRDefault="004E5476" w:rsidP="00E50471"/>
    <w:p w14:paraId="11705C53" w14:textId="77777777" w:rsidR="004E5476" w:rsidRDefault="004E5476" w:rsidP="00E50471"/>
    <w:p w14:paraId="1E92982C" w14:textId="77777777" w:rsidR="004E5476" w:rsidRDefault="004E5476" w:rsidP="00E50471"/>
    <w:p w14:paraId="78E4966A" w14:textId="77777777" w:rsidR="004E5476" w:rsidRDefault="004E5476" w:rsidP="00E50471"/>
    <w:p w14:paraId="746B56D1" w14:textId="77777777" w:rsidR="004E5476" w:rsidRDefault="004E5476" w:rsidP="00E50471"/>
    <w:p w14:paraId="54EE88EF" w14:textId="77777777" w:rsidR="004E5476" w:rsidRDefault="004E5476" w:rsidP="00E50471"/>
    <w:p w14:paraId="5E082026" w14:textId="77777777" w:rsidR="004E5476" w:rsidRDefault="004E5476" w:rsidP="00E50471"/>
    <w:p w14:paraId="78C63E26" w14:textId="77777777" w:rsidR="004E5476" w:rsidRDefault="004E5476" w:rsidP="00E50471"/>
    <w:p w14:paraId="684B2AAB" w14:textId="77777777" w:rsidR="004E5476" w:rsidRDefault="004E5476" w:rsidP="00E50471"/>
    <w:p w14:paraId="26B0CD7F" w14:textId="77777777" w:rsidR="004E5476" w:rsidRDefault="004E5476" w:rsidP="00E50471"/>
    <w:p w14:paraId="67C83FC6" w14:textId="77777777" w:rsidR="004E5476" w:rsidRDefault="004E5476" w:rsidP="00E50471"/>
    <w:p w14:paraId="08438971" w14:textId="77777777" w:rsidR="004E5476" w:rsidRDefault="004E5476" w:rsidP="00E50471"/>
    <w:p w14:paraId="21FC66DB" w14:textId="77777777" w:rsidR="004E5476" w:rsidRDefault="004E5476" w:rsidP="00E50471"/>
    <w:p w14:paraId="6B0298E0" w14:textId="77777777" w:rsidR="004E5476" w:rsidRDefault="004E5476" w:rsidP="00E50471"/>
    <w:p w14:paraId="5DAFC7DA" w14:textId="77777777" w:rsidR="004E5476" w:rsidRDefault="004E5476" w:rsidP="00E50471"/>
    <w:p w14:paraId="3B92E76A" w14:textId="77777777" w:rsidR="004E5476" w:rsidRDefault="004E5476" w:rsidP="00E50471"/>
    <w:p w14:paraId="0DC49298" w14:textId="77777777" w:rsidR="004E5476" w:rsidRDefault="004E5476" w:rsidP="00E50471"/>
    <w:p w14:paraId="493896D4" w14:textId="77777777" w:rsidR="004E5476" w:rsidRDefault="004E5476" w:rsidP="00E50471"/>
    <w:p w14:paraId="1AFF130B" w14:textId="77777777" w:rsidR="004E5476" w:rsidRDefault="004E5476" w:rsidP="00E50471"/>
    <w:p w14:paraId="468A402C" w14:textId="77777777" w:rsidR="004E5476" w:rsidRDefault="004E5476" w:rsidP="00E50471"/>
    <w:p w14:paraId="40CCB425" w14:textId="77777777" w:rsidR="004E5476" w:rsidRDefault="004E5476" w:rsidP="00E50471"/>
    <w:p w14:paraId="0827D952" w14:textId="77777777" w:rsidR="004E5476" w:rsidRDefault="004E5476" w:rsidP="00E50471"/>
    <w:p w14:paraId="7BC8C526" w14:textId="77777777" w:rsidR="004E5476" w:rsidRDefault="004E5476" w:rsidP="00E50471"/>
    <w:p w14:paraId="60404301" w14:textId="77777777" w:rsidR="004E5476" w:rsidRDefault="004E5476" w:rsidP="00E50471"/>
    <w:p w14:paraId="1C57757A" w14:textId="77777777" w:rsidR="004E5476" w:rsidRDefault="004E5476" w:rsidP="00E50471"/>
    <w:p w14:paraId="62428350" w14:textId="77777777" w:rsidR="004E5476" w:rsidRDefault="004E5476" w:rsidP="00E50471"/>
    <w:p w14:paraId="2CB48488" w14:textId="77777777" w:rsidR="004E5476" w:rsidRDefault="004E5476" w:rsidP="00E50471"/>
    <w:p w14:paraId="244D2189" w14:textId="77777777" w:rsidR="004E5476" w:rsidRDefault="004E5476" w:rsidP="00E50471"/>
    <w:p w14:paraId="3E0C4D3A" w14:textId="77777777" w:rsidR="004E5476" w:rsidRDefault="004E5476" w:rsidP="00E50471"/>
    <w:p w14:paraId="78FB7658" w14:textId="77777777" w:rsidR="004E5476" w:rsidRDefault="004E5476" w:rsidP="00E50471"/>
    <w:p w14:paraId="61F80AB9" w14:textId="77777777" w:rsidR="004E5476" w:rsidRDefault="004E5476" w:rsidP="00E50471"/>
    <w:p w14:paraId="03C045AF" w14:textId="77777777" w:rsidR="004E5476" w:rsidRDefault="004E5476" w:rsidP="00E50471"/>
    <w:p w14:paraId="023E0253" w14:textId="77777777" w:rsidR="004E5476" w:rsidRDefault="004E5476" w:rsidP="00E50471"/>
    <w:p w14:paraId="1FEBE306" w14:textId="77777777" w:rsidR="004E5476" w:rsidRDefault="004E5476" w:rsidP="00E50471"/>
    <w:p w14:paraId="377131DA" w14:textId="77777777" w:rsidR="004E5476" w:rsidRDefault="004E5476" w:rsidP="00E50471"/>
    <w:p w14:paraId="0C924C6B" w14:textId="77777777" w:rsidR="004E5476" w:rsidRDefault="004E5476" w:rsidP="00E50471"/>
    <w:p w14:paraId="638A5EA4" w14:textId="77777777" w:rsidR="004E5476" w:rsidRDefault="004E5476" w:rsidP="00E50471"/>
    <w:p w14:paraId="4E5D9524" w14:textId="77777777" w:rsidR="004E5476" w:rsidRDefault="004E5476" w:rsidP="00E50471"/>
    <w:p w14:paraId="772F5E91" w14:textId="77777777" w:rsidR="004E5476" w:rsidRDefault="004E5476" w:rsidP="00E50471"/>
    <w:p w14:paraId="6F4BCE5E" w14:textId="77777777" w:rsidR="004E5476" w:rsidRDefault="004E5476" w:rsidP="00E50471"/>
    <w:p w14:paraId="4A38E95A" w14:textId="77777777" w:rsidR="004E5476" w:rsidRDefault="004E5476" w:rsidP="00E50471"/>
    <w:p w14:paraId="045D0F9E" w14:textId="77777777" w:rsidR="004E5476" w:rsidRDefault="004E5476" w:rsidP="00E50471"/>
    <w:p w14:paraId="012CE5C9" w14:textId="77777777" w:rsidR="004E5476" w:rsidRDefault="004E5476" w:rsidP="00E50471"/>
    <w:p w14:paraId="32780B24" w14:textId="77777777" w:rsidR="004E5476" w:rsidRDefault="004E5476" w:rsidP="00E50471"/>
    <w:p w14:paraId="4250239E" w14:textId="77777777" w:rsidR="004E5476" w:rsidRDefault="004E5476" w:rsidP="00E50471"/>
    <w:p w14:paraId="17734AF1" w14:textId="77777777" w:rsidR="004E5476" w:rsidRDefault="004E5476" w:rsidP="00E50471"/>
    <w:p w14:paraId="3D0EB5F3" w14:textId="77777777" w:rsidR="004E5476" w:rsidRDefault="004E5476" w:rsidP="00E50471"/>
    <w:p w14:paraId="7867002B" w14:textId="77777777" w:rsidR="004E5476" w:rsidRDefault="004E5476" w:rsidP="00E50471"/>
    <w:p w14:paraId="227E6A1C" w14:textId="77777777" w:rsidR="004E5476" w:rsidRDefault="004E5476" w:rsidP="00E50471"/>
    <w:p w14:paraId="66B96AA5" w14:textId="77777777" w:rsidR="004E5476" w:rsidRDefault="004E5476" w:rsidP="00E50471"/>
    <w:p w14:paraId="723D17CD" w14:textId="77777777" w:rsidR="004E5476" w:rsidRDefault="004E5476" w:rsidP="00E50471"/>
    <w:p w14:paraId="2CC707D6" w14:textId="77777777" w:rsidR="004E5476" w:rsidRDefault="004E5476" w:rsidP="00E50471"/>
    <w:p w14:paraId="6A847A07" w14:textId="77777777" w:rsidR="004E5476" w:rsidRDefault="004E5476" w:rsidP="00E50471"/>
    <w:p w14:paraId="774A3DD9" w14:textId="77777777" w:rsidR="004E5476" w:rsidRDefault="004E5476" w:rsidP="00E50471"/>
    <w:p w14:paraId="7633AFD4" w14:textId="77777777" w:rsidR="004E5476" w:rsidRDefault="004E5476" w:rsidP="00E50471"/>
    <w:p w14:paraId="37ED5DEA" w14:textId="77777777" w:rsidR="004E5476" w:rsidRDefault="004E5476" w:rsidP="00E50471"/>
    <w:p w14:paraId="2838A443" w14:textId="77777777" w:rsidR="004E5476" w:rsidRDefault="004E5476" w:rsidP="00E50471"/>
    <w:p w14:paraId="20027868" w14:textId="77777777" w:rsidR="004E5476" w:rsidRDefault="004E5476" w:rsidP="00E50471"/>
    <w:p w14:paraId="19D1EDFF" w14:textId="77777777" w:rsidR="004E5476" w:rsidRDefault="004E5476" w:rsidP="00E50471"/>
    <w:p w14:paraId="25A41CAA" w14:textId="77777777" w:rsidR="004E5476" w:rsidRDefault="004E5476" w:rsidP="00E50471"/>
    <w:p w14:paraId="23EC751C" w14:textId="77777777" w:rsidR="004E5476" w:rsidRDefault="004E5476" w:rsidP="00E50471"/>
    <w:p w14:paraId="4155745C" w14:textId="77777777" w:rsidR="004E5476" w:rsidRDefault="004E5476" w:rsidP="00E50471"/>
    <w:p w14:paraId="065DC850" w14:textId="77777777" w:rsidR="004E5476" w:rsidRDefault="004E5476" w:rsidP="00E50471"/>
    <w:p w14:paraId="56DA6533" w14:textId="77777777" w:rsidR="004E5476" w:rsidRDefault="004E5476" w:rsidP="00E50471"/>
    <w:p w14:paraId="136941F4" w14:textId="77777777" w:rsidR="004E5476" w:rsidRDefault="004E5476" w:rsidP="00E50471"/>
    <w:p w14:paraId="4813DABF" w14:textId="77777777" w:rsidR="004E5476" w:rsidRDefault="004E5476" w:rsidP="00E50471"/>
    <w:p w14:paraId="3CBBB890" w14:textId="77777777" w:rsidR="004E5476" w:rsidRDefault="004E5476" w:rsidP="00E50471"/>
    <w:p w14:paraId="08A44ABA" w14:textId="77777777" w:rsidR="004E5476" w:rsidRDefault="004E5476" w:rsidP="00E50471"/>
    <w:p w14:paraId="21D36FF4" w14:textId="77777777" w:rsidR="004E5476" w:rsidRDefault="004E5476" w:rsidP="00E50471"/>
    <w:p w14:paraId="477AA7D3" w14:textId="77777777" w:rsidR="004E5476" w:rsidRDefault="004E5476" w:rsidP="00E50471"/>
    <w:p w14:paraId="47852EBB" w14:textId="77777777" w:rsidR="004E5476" w:rsidRDefault="004E5476" w:rsidP="00E50471"/>
    <w:p w14:paraId="5B5E970C" w14:textId="77777777" w:rsidR="004E5476" w:rsidRDefault="004E5476" w:rsidP="00E50471"/>
    <w:p w14:paraId="56D57C67" w14:textId="77777777" w:rsidR="004E5476" w:rsidRDefault="004E5476" w:rsidP="00E50471"/>
    <w:p w14:paraId="57125B7A" w14:textId="77777777" w:rsidR="004E5476" w:rsidRDefault="004E5476" w:rsidP="00E50471"/>
    <w:p w14:paraId="764C2BE9" w14:textId="77777777" w:rsidR="004E5476" w:rsidRDefault="004E5476" w:rsidP="00E50471"/>
    <w:p w14:paraId="633D8C9E" w14:textId="77777777" w:rsidR="004E5476" w:rsidRDefault="004E5476" w:rsidP="00E50471"/>
    <w:p w14:paraId="4B4876B8" w14:textId="77777777" w:rsidR="004E5476" w:rsidRDefault="004E5476" w:rsidP="00E50471"/>
    <w:p w14:paraId="35FF4B35" w14:textId="77777777" w:rsidR="004E5476" w:rsidRDefault="004E5476" w:rsidP="00E50471"/>
    <w:p w14:paraId="1DF50C58" w14:textId="77777777" w:rsidR="004E5476" w:rsidRDefault="004E5476" w:rsidP="00E50471"/>
    <w:p w14:paraId="5CE74882" w14:textId="77777777" w:rsidR="004E5476" w:rsidRDefault="004E5476" w:rsidP="00E50471"/>
    <w:p w14:paraId="2FD59A70" w14:textId="77777777" w:rsidR="004E5476" w:rsidRDefault="004E5476" w:rsidP="00E50471"/>
    <w:p w14:paraId="30929427" w14:textId="77777777" w:rsidR="004E5476" w:rsidRDefault="004E5476" w:rsidP="00E50471"/>
    <w:p w14:paraId="024A715E" w14:textId="77777777" w:rsidR="004E5476" w:rsidRDefault="004E5476" w:rsidP="00E50471"/>
    <w:p w14:paraId="7CEBC46A" w14:textId="77777777" w:rsidR="004E5476" w:rsidRDefault="004E5476" w:rsidP="00E50471"/>
    <w:p w14:paraId="7BDB0939" w14:textId="77777777" w:rsidR="004E5476" w:rsidRDefault="004E5476" w:rsidP="00E50471"/>
    <w:p w14:paraId="1CFDC413" w14:textId="77777777" w:rsidR="004E5476" w:rsidRDefault="004E5476" w:rsidP="00E50471"/>
    <w:p w14:paraId="4E57C3D3" w14:textId="77777777" w:rsidR="004E5476" w:rsidRDefault="004E5476" w:rsidP="00E50471"/>
    <w:p w14:paraId="180054F7" w14:textId="77777777" w:rsidR="004E5476" w:rsidRDefault="004E5476" w:rsidP="00E50471"/>
    <w:p w14:paraId="5FC83D01" w14:textId="77777777" w:rsidR="004E5476" w:rsidRDefault="004E5476" w:rsidP="00E50471"/>
    <w:p w14:paraId="1FD92ED3" w14:textId="77777777" w:rsidR="004E5476" w:rsidRDefault="004E5476" w:rsidP="00E50471"/>
    <w:p w14:paraId="69E617DC" w14:textId="77777777" w:rsidR="004E5476" w:rsidRDefault="004E5476" w:rsidP="00E50471"/>
    <w:p w14:paraId="3B2E5081" w14:textId="77777777" w:rsidR="004E5476" w:rsidRDefault="004E5476" w:rsidP="00E50471"/>
    <w:p w14:paraId="7AD328D2" w14:textId="77777777" w:rsidR="004E5476" w:rsidRDefault="004E5476" w:rsidP="00E50471"/>
    <w:p w14:paraId="11D1F6D4" w14:textId="77777777" w:rsidR="004E5476" w:rsidRDefault="004E5476" w:rsidP="00E50471"/>
    <w:p w14:paraId="3EF6E447" w14:textId="77777777" w:rsidR="004E5476" w:rsidRDefault="004E5476" w:rsidP="00E50471"/>
    <w:p w14:paraId="20A059A7" w14:textId="77777777" w:rsidR="004E5476" w:rsidRDefault="004E5476" w:rsidP="00E50471"/>
    <w:p w14:paraId="429C17B0" w14:textId="77777777" w:rsidR="004E5476" w:rsidRDefault="004E5476" w:rsidP="00E50471"/>
    <w:p w14:paraId="7945815E" w14:textId="77777777" w:rsidR="004E5476" w:rsidRDefault="004E5476" w:rsidP="00E50471"/>
    <w:p w14:paraId="7A80E975" w14:textId="77777777" w:rsidR="004E5476" w:rsidRDefault="004E5476" w:rsidP="00E50471"/>
    <w:p w14:paraId="3E892683" w14:textId="77777777" w:rsidR="004E5476" w:rsidRDefault="004E5476" w:rsidP="00E50471"/>
    <w:p w14:paraId="2E9756EB" w14:textId="77777777" w:rsidR="004E5476" w:rsidRDefault="004E5476" w:rsidP="00E50471"/>
    <w:p w14:paraId="7EEE3B5A" w14:textId="77777777" w:rsidR="004E5476" w:rsidRDefault="004E5476" w:rsidP="00E50471"/>
    <w:p w14:paraId="1467DE90" w14:textId="77777777" w:rsidR="004E5476" w:rsidRDefault="004E5476" w:rsidP="00E50471"/>
    <w:p w14:paraId="6FD1FF52" w14:textId="77777777" w:rsidR="004E5476" w:rsidRDefault="004E5476" w:rsidP="00E50471"/>
    <w:p w14:paraId="663CD1CA" w14:textId="77777777" w:rsidR="004E5476" w:rsidRDefault="004E5476" w:rsidP="00E50471"/>
    <w:p w14:paraId="46492CE4" w14:textId="77777777" w:rsidR="004E5476" w:rsidRDefault="004E5476" w:rsidP="00E50471"/>
    <w:p w14:paraId="004BFFFF" w14:textId="77777777" w:rsidR="004E5476" w:rsidRDefault="004E5476" w:rsidP="00E50471"/>
    <w:p w14:paraId="7EA892F4" w14:textId="77777777" w:rsidR="004E5476" w:rsidRDefault="004E5476" w:rsidP="00E50471"/>
    <w:p w14:paraId="241A9920" w14:textId="77777777" w:rsidR="004E5476" w:rsidRDefault="004E5476" w:rsidP="00E50471"/>
    <w:p w14:paraId="2B711381" w14:textId="77777777" w:rsidR="004E5476" w:rsidRDefault="004E5476" w:rsidP="00E50471"/>
    <w:p w14:paraId="2C05FC27" w14:textId="77777777" w:rsidR="004E5476" w:rsidRDefault="004E5476" w:rsidP="00E50471"/>
    <w:p w14:paraId="7CA73829" w14:textId="77777777" w:rsidR="004E5476" w:rsidRDefault="004E5476" w:rsidP="00E50471"/>
    <w:p w14:paraId="36226E7D" w14:textId="77777777" w:rsidR="004E5476" w:rsidRDefault="004E5476" w:rsidP="00E50471"/>
    <w:p w14:paraId="61F572F8" w14:textId="77777777" w:rsidR="004E5476" w:rsidRDefault="004E5476" w:rsidP="00E50471"/>
    <w:p w14:paraId="204891D3" w14:textId="77777777" w:rsidR="004E5476" w:rsidRDefault="004E5476" w:rsidP="00E50471"/>
    <w:p w14:paraId="1B0F1D8D" w14:textId="77777777" w:rsidR="004E5476" w:rsidRDefault="004E5476"/>
    <w:p w14:paraId="2DED7228" w14:textId="77777777" w:rsidR="004E5476" w:rsidRDefault="004E5476"/>
    <w:p w14:paraId="09412A66" w14:textId="77777777" w:rsidR="004E5476" w:rsidRDefault="004E5476" w:rsidP="00231CE8"/>
    <w:p w14:paraId="24043192" w14:textId="77777777" w:rsidR="004E5476" w:rsidRDefault="004E5476" w:rsidP="00231CE8"/>
    <w:p w14:paraId="4FEE6F73" w14:textId="77777777" w:rsidR="004E5476" w:rsidRDefault="004E5476" w:rsidP="00231CE8"/>
    <w:p w14:paraId="09367E93" w14:textId="77777777" w:rsidR="004E5476" w:rsidRDefault="004E5476" w:rsidP="00191329"/>
    <w:p w14:paraId="0AA2812E" w14:textId="77777777" w:rsidR="004E5476" w:rsidRDefault="004E5476" w:rsidP="00191329"/>
    <w:p w14:paraId="174288E5" w14:textId="77777777" w:rsidR="004E5476" w:rsidRDefault="004E5476" w:rsidP="00191329"/>
    <w:p w14:paraId="6E8A8218" w14:textId="77777777" w:rsidR="004E5476" w:rsidRDefault="004E5476" w:rsidP="00191329"/>
    <w:p w14:paraId="52ADC8CE" w14:textId="77777777" w:rsidR="004E5476" w:rsidRDefault="004E5476" w:rsidP="00F1792F"/>
    <w:p w14:paraId="6FFD6ADD" w14:textId="77777777" w:rsidR="004E5476" w:rsidRDefault="004E5476" w:rsidP="00F1792F"/>
    <w:p w14:paraId="67F98CEE" w14:textId="77777777" w:rsidR="004E5476" w:rsidRDefault="004E5476"/>
    <w:p w14:paraId="6BA06EFC" w14:textId="77777777" w:rsidR="004E5476" w:rsidRDefault="004E5476" w:rsidP="0047021A"/>
    <w:p w14:paraId="04CEA24D" w14:textId="77777777" w:rsidR="004E5476" w:rsidRDefault="004E5476" w:rsidP="0047021A"/>
    <w:p w14:paraId="0635150E" w14:textId="77777777" w:rsidR="004E5476" w:rsidRDefault="004E5476" w:rsidP="0047021A"/>
    <w:p w14:paraId="3D756C97" w14:textId="77777777" w:rsidR="004E5476" w:rsidRDefault="004E5476" w:rsidP="0047021A"/>
    <w:p w14:paraId="5CD3A0AA" w14:textId="77777777" w:rsidR="004E5476" w:rsidRDefault="004E5476"/>
    <w:p w14:paraId="3DC7825C" w14:textId="77777777" w:rsidR="004E5476" w:rsidRDefault="004E5476"/>
    <w:p w14:paraId="29E0CCC7" w14:textId="77777777" w:rsidR="004E5476" w:rsidRDefault="004E5476" w:rsidP="003E237E"/>
    <w:p w14:paraId="301CC177" w14:textId="77777777" w:rsidR="004E5476" w:rsidRDefault="004E5476" w:rsidP="003E237E"/>
    <w:p w14:paraId="5A36BD88" w14:textId="77777777" w:rsidR="004E5476" w:rsidRDefault="004E5476" w:rsidP="003E237E"/>
    <w:p w14:paraId="0111F94E" w14:textId="77777777" w:rsidR="004E5476" w:rsidRDefault="004E5476" w:rsidP="00326C77"/>
    <w:p w14:paraId="2995D238" w14:textId="77777777" w:rsidR="004E5476" w:rsidRDefault="004E5476" w:rsidP="00326C77"/>
    <w:p w14:paraId="73AE809D" w14:textId="77777777" w:rsidR="004E5476" w:rsidRDefault="004E5476" w:rsidP="000D3264"/>
    <w:p w14:paraId="0888FD50" w14:textId="77777777" w:rsidR="004E5476" w:rsidRDefault="004E5476" w:rsidP="000D3264"/>
    <w:p w14:paraId="0A6AA215" w14:textId="77777777" w:rsidR="004E5476" w:rsidRDefault="004E5476" w:rsidP="000D3264"/>
    <w:p w14:paraId="37D8C610" w14:textId="77777777" w:rsidR="004E5476" w:rsidRDefault="004E5476" w:rsidP="000D3264"/>
    <w:p w14:paraId="123323C4" w14:textId="77777777" w:rsidR="004E5476" w:rsidRDefault="004E5476" w:rsidP="000D3264"/>
    <w:p w14:paraId="4EEFC269" w14:textId="77777777" w:rsidR="004E5476" w:rsidRDefault="004E5476"/>
    <w:p w14:paraId="5F02166D" w14:textId="77777777" w:rsidR="004E5476" w:rsidRDefault="004E5476" w:rsidP="00AE7DAD"/>
    <w:p w14:paraId="6E233D18" w14:textId="77777777" w:rsidR="004E5476" w:rsidRDefault="004E5476" w:rsidP="008A05B8"/>
    <w:p w14:paraId="58EBB854" w14:textId="77777777" w:rsidR="004E5476" w:rsidRDefault="004E5476" w:rsidP="008A05B8"/>
    <w:p w14:paraId="660B5D08" w14:textId="77777777" w:rsidR="004E5476" w:rsidRDefault="004E5476"/>
    <w:p w14:paraId="5CFCF909" w14:textId="77777777" w:rsidR="004E5476" w:rsidRDefault="004E5476" w:rsidP="00555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ITC Stone Sans Std Medium">
    <w:altName w:val="Lucida Sans Unicode"/>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C679" w14:textId="77777777" w:rsidR="0055585B" w:rsidRDefault="0055585B" w:rsidP="00E5047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61BEEF8" w14:textId="77777777" w:rsidR="0055585B" w:rsidRDefault="0055585B" w:rsidP="00E50471">
    <w:pPr>
      <w:pStyle w:val="Footer"/>
    </w:pPr>
  </w:p>
  <w:p w14:paraId="68AB5FDB" w14:textId="77777777" w:rsidR="0055585B" w:rsidRDefault="0055585B" w:rsidP="00E50471"/>
  <w:p w14:paraId="11894481" w14:textId="77777777" w:rsidR="0055585B" w:rsidRDefault="0055585B" w:rsidP="00E50471"/>
  <w:p w14:paraId="5A15CA93" w14:textId="77777777" w:rsidR="0055585B" w:rsidRDefault="0055585B" w:rsidP="00E50471"/>
  <w:p w14:paraId="11094EB5" w14:textId="77777777" w:rsidR="0055585B" w:rsidRDefault="0055585B" w:rsidP="00E50471"/>
  <w:p w14:paraId="2D1D3F69" w14:textId="77777777" w:rsidR="0055585B" w:rsidRDefault="0055585B" w:rsidP="00E50471"/>
  <w:p w14:paraId="561667D3" w14:textId="77777777" w:rsidR="0055585B" w:rsidRDefault="0055585B" w:rsidP="00E50471"/>
  <w:p w14:paraId="3499EAD6" w14:textId="77777777" w:rsidR="0055585B" w:rsidRDefault="0055585B" w:rsidP="00E50471"/>
  <w:p w14:paraId="0FD2DDC6" w14:textId="77777777" w:rsidR="0055585B" w:rsidRDefault="0055585B" w:rsidP="00E50471"/>
  <w:p w14:paraId="2792BA17" w14:textId="77777777" w:rsidR="0055585B" w:rsidRDefault="0055585B" w:rsidP="00E50471"/>
  <w:p w14:paraId="42F9D0EF" w14:textId="77777777" w:rsidR="0055585B" w:rsidRDefault="0055585B" w:rsidP="00E50471"/>
  <w:p w14:paraId="04D12CBB" w14:textId="77777777" w:rsidR="0055585B" w:rsidRDefault="0055585B" w:rsidP="00E50471"/>
  <w:p w14:paraId="67ADB57B" w14:textId="77777777" w:rsidR="0055585B" w:rsidRDefault="0055585B" w:rsidP="00E50471"/>
  <w:p w14:paraId="0E182EB1" w14:textId="77777777" w:rsidR="0055585B" w:rsidRDefault="0055585B" w:rsidP="00E50471"/>
  <w:p w14:paraId="50C3EB35" w14:textId="77777777" w:rsidR="0055585B" w:rsidRDefault="0055585B" w:rsidP="00E504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7FCA" w14:textId="77777777" w:rsidR="0055585B" w:rsidRDefault="0055585B" w:rsidP="00E5047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92A461F" w14:textId="19083502" w:rsidR="0055585B" w:rsidRDefault="0055585B" w:rsidP="00E50471">
    <w:r w:rsidRPr="008A4628">
      <w:rPr>
        <w:noProof/>
      </w:rPr>
      <w:drawing>
        <wp:anchor distT="0" distB="0" distL="114300" distR="114300" simplePos="0" relativeHeight="251661312" behindDoc="1" locked="1" layoutInCell="1" allowOverlap="1" wp14:anchorId="6AE65C40" wp14:editId="13A1D232">
          <wp:simplePos x="0" y="0"/>
          <wp:positionH relativeFrom="page">
            <wp:posOffset>-19050</wp:posOffset>
          </wp:positionH>
          <wp:positionV relativeFrom="page">
            <wp:posOffset>10380980</wp:posOffset>
          </wp:positionV>
          <wp:extent cx="7577455" cy="287655"/>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7455" cy="287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BDC" w14:textId="4455D952" w:rsidR="0055585B" w:rsidRDefault="0055585B">
    <w:pPr>
      <w:pStyle w:val="Footer"/>
    </w:pPr>
    <w:r w:rsidRPr="008A4628">
      <w:rPr>
        <w:noProof/>
      </w:rPr>
      <w:drawing>
        <wp:anchor distT="0" distB="0" distL="114300" distR="114300" simplePos="0" relativeHeight="251659264" behindDoc="1" locked="1" layoutInCell="1" allowOverlap="1" wp14:anchorId="2C7EFD0D" wp14:editId="5C2BD7F2">
          <wp:simplePos x="0" y="0"/>
          <wp:positionH relativeFrom="page">
            <wp:posOffset>-9525</wp:posOffset>
          </wp:positionH>
          <wp:positionV relativeFrom="page">
            <wp:posOffset>10380980</wp:posOffset>
          </wp:positionV>
          <wp:extent cx="7577455" cy="287655"/>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7455" cy="287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9A70" w14:textId="77777777" w:rsidR="004E5476" w:rsidRDefault="004E5476" w:rsidP="00E50471">
      <w:r>
        <w:separator/>
      </w:r>
    </w:p>
    <w:p w14:paraId="718E99D8" w14:textId="77777777" w:rsidR="004E5476" w:rsidRDefault="004E5476" w:rsidP="00E50471"/>
    <w:p w14:paraId="06B0E7B0" w14:textId="77777777" w:rsidR="004E5476" w:rsidRDefault="004E5476" w:rsidP="00E50471"/>
    <w:p w14:paraId="4BB4F3EC" w14:textId="77777777" w:rsidR="004E5476" w:rsidRDefault="004E5476" w:rsidP="00E50471"/>
    <w:p w14:paraId="77FE8C48" w14:textId="77777777" w:rsidR="004E5476" w:rsidRDefault="004E5476" w:rsidP="00E50471"/>
    <w:p w14:paraId="7B58A767" w14:textId="77777777" w:rsidR="004E5476" w:rsidRDefault="004E5476" w:rsidP="00E50471"/>
    <w:p w14:paraId="131B275C" w14:textId="77777777" w:rsidR="004E5476" w:rsidRDefault="004E5476" w:rsidP="00E50471"/>
    <w:p w14:paraId="13C1C187" w14:textId="77777777" w:rsidR="004E5476" w:rsidRDefault="004E5476" w:rsidP="00E50471"/>
    <w:p w14:paraId="0B2A0800" w14:textId="77777777" w:rsidR="004E5476" w:rsidRDefault="004E5476" w:rsidP="00E50471"/>
    <w:p w14:paraId="6681A511" w14:textId="77777777" w:rsidR="004E5476" w:rsidRDefault="004E5476" w:rsidP="00E50471"/>
    <w:p w14:paraId="16A65871" w14:textId="77777777" w:rsidR="004E5476" w:rsidRDefault="004E5476" w:rsidP="00E50471"/>
    <w:p w14:paraId="069BA3AC" w14:textId="77777777" w:rsidR="004E5476" w:rsidRDefault="004E5476" w:rsidP="00E50471"/>
    <w:p w14:paraId="1BE2AEF1" w14:textId="77777777" w:rsidR="004E5476" w:rsidRDefault="004E5476" w:rsidP="00E50471"/>
    <w:p w14:paraId="625E0287" w14:textId="77777777" w:rsidR="004E5476" w:rsidRDefault="004E5476" w:rsidP="00E50471"/>
    <w:p w14:paraId="4B93F0F9" w14:textId="77777777" w:rsidR="004E5476" w:rsidRDefault="004E5476" w:rsidP="00E50471"/>
    <w:p w14:paraId="05906AEF" w14:textId="77777777" w:rsidR="004E5476" w:rsidRDefault="004E5476" w:rsidP="00E50471"/>
    <w:p w14:paraId="10630A93" w14:textId="77777777" w:rsidR="004E5476" w:rsidRDefault="004E5476" w:rsidP="00E50471"/>
    <w:p w14:paraId="42996246" w14:textId="77777777" w:rsidR="004E5476" w:rsidRDefault="004E5476" w:rsidP="00E50471"/>
    <w:p w14:paraId="115BEC1A" w14:textId="77777777" w:rsidR="004E5476" w:rsidRDefault="004E5476" w:rsidP="00E50471"/>
    <w:p w14:paraId="0E7D5EAA" w14:textId="77777777" w:rsidR="004E5476" w:rsidRDefault="004E5476" w:rsidP="00E50471"/>
    <w:p w14:paraId="7AA56297" w14:textId="77777777" w:rsidR="004E5476" w:rsidRDefault="004E5476" w:rsidP="00E50471"/>
    <w:p w14:paraId="35C43BF5" w14:textId="77777777" w:rsidR="004E5476" w:rsidRDefault="004E5476" w:rsidP="00E50471"/>
    <w:p w14:paraId="443CFEA5" w14:textId="77777777" w:rsidR="004E5476" w:rsidRDefault="004E5476" w:rsidP="00E50471"/>
    <w:p w14:paraId="7301D535" w14:textId="77777777" w:rsidR="004E5476" w:rsidRDefault="004E5476" w:rsidP="00E50471"/>
    <w:p w14:paraId="285D4738" w14:textId="77777777" w:rsidR="004E5476" w:rsidRDefault="004E5476" w:rsidP="00E50471"/>
    <w:p w14:paraId="1D81F7A7" w14:textId="77777777" w:rsidR="004E5476" w:rsidRDefault="004E5476" w:rsidP="00E50471"/>
    <w:p w14:paraId="1E068003" w14:textId="77777777" w:rsidR="004E5476" w:rsidRDefault="004E5476" w:rsidP="00E50471"/>
    <w:p w14:paraId="7A69AB5C" w14:textId="77777777" w:rsidR="004E5476" w:rsidRDefault="004E5476" w:rsidP="00E50471"/>
    <w:p w14:paraId="42DFD212" w14:textId="77777777" w:rsidR="004E5476" w:rsidRDefault="004E5476" w:rsidP="00E50471"/>
    <w:p w14:paraId="1F8ADAE0" w14:textId="77777777" w:rsidR="004E5476" w:rsidRDefault="004E5476" w:rsidP="00E50471"/>
    <w:p w14:paraId="2CFB9127" w14:textId="77777777" w:rsidR="004E5476" w:rsidRDefault="004E5476" w:rsidP="00E50471"/>
    <w:p w14:paraId="49FC4D79" w14:textId="77777777" w:rsidR="004E5476" w:rsidRDefault="004E5476" w:rsidP="00E50471"/>
    <w:p w14:paraId="6F34FFA8" w14:textId="77777777" w:rsidR="004E5476" w:rsidRDefault="004E5476" w:rsidP="00E50471"/>
    <w:p w14:paraId="5F40D507" w14:textId="77777777" w:rsidR="004E5476" w:rsidRDefault="004E5476" w:rsidP="00E50471"/>
    <w:p w14:paraId="55395744" w14:textId="77777777" w:rsidR="004E5476" w:rsidRDefault="004E5476" w:rsidP="00E50471"/>
    <w:p w14:paraId="13D5B0DC" w14:textId="77777777" w:rsidR="004E5476" w:rsidRDefault="004E5476" w:rsidP="00E50471"/>
    <w:p w14:paraId="07EEA3A5" w14:textId="77777777" w:rsidR="004E5476" w:rsidRDefault="004E5476" w:rsidP="00E50471"/>
    <w:p w14:paraId="69089B80" w14:textId="77777777" w:rsidR="004E5476" w:rsidRDefault="004E5476" w:rsidP="00E50471"/>
    <w:p w14:paraId="0A425DF0" w14:textId="77777777" w:rsidR="004E5476" w:rsidRDefault="004E5476" w:rsidP="00E50471"/>
    <w:p w14:paraId="2F1A6AE6" w14:textId="77777777" w:rsidR="004E5476" w:rsidRDefault="004E5476" w:rsidP="00E50471"/>
    <w:p w14:paraId="2383C190" w14:textId="77777777" w:rsidR="004E5476" w:rsidRDefault="004E5476" w:rsidP="00E50471"/>
    <w:p w14:paraId="10A57A25" w14:textId="77777777" w:rsidR="004E5476" w:rsidRDefault="004E5476" w:rsidP="00E50471"/>
    <w:p w14:paraId="374BA633" w14:textId="77777777" w:rsidR="004E5476" w:rsidRDefault="004E5476" w:rsidP="00E50471"/>
    <w:p w14:paraId="6C33B450" w14:textId="77777777" w:rsidR="004E5476" w:rsidRDefault="004E5476" w:rsidP="00E50471"/>
    <w:p w14:paraId="16994D56" w14:textId="77777777" w:rsidR="004E5476" w:rsidRDefault="004E5476" w:rsidP="00E50471"/>
    <w:p w14:paraId="1238A1DB" w14:textId="77777777" w:rsidR="004E5476" w:rsidRDefault="004E5476" w:rsidP="00E50471"/>
    <w:p w14:paraId="21A5F839" w14:textId="77777777" w:rsidR="004E5476" w:rsidRDefault="004E5476" w:rsidP="00E50471"/>
    <w:p w14:paraId="773055E1" w14:textId="77777777" w:rsidR="004E5476" w:rsidRDefault="004E5476" w:rsidP="00E50471"/>
    <w:p w14:paraId="145B9B44" w14:textId="77777777" w:rsidR="004E5476" w:rsidRDefault="004E5476" w:rsidP="00E50471"/>
    <w:p w14:paraId="1960435E" w14:textId="77777777" w:rsidR="004E5476" w:rsidRDefault="004E5476" w:rsidP="00E50471"/>
    <w:p w14:paraId="1D052173" w14:textId="77777777" w:rsidR="004E5476" w:rsidRDefault="004E5476" w:rsidP="00E50471"/>
    <w:p w14:paraId="68E10A5F" w14:textId="77777777" w:rsidR="004E5476" w:rsidRDefault="004E5476" w:rsidP="00E50471"/>
    <w:p w14:paraId="1C57D74C" w14:textId="77777777" w:rsidR="004E5476" w:rsidRDefault="004E5476" w:rsidP="00E50471"/>
    <w:p w14:paraId="70EB50F4" w14:textId="77777777" w:rsidR="004E5476" w:rsidRDefault="004E5476" w:rsidP="00E50471"/>
    <w:p w14:paraId="0E8D9263" w14:textId="77777777" w:rsidR="004E5476" w:rsidRDefault="004E5476" w:rsidP="00E50471"/>
    <w:p w14:paraId="68358940" w14:textId="77777777" w:rsidR="004E5476" w:rsidRDefault="004E5476" w:rsidP="00E50471"/>
    <w:p w14:paraId="68DF394F" w14:textId="77777777" w:rsidR="004E5476" w:rsidRDefault="004E5476" w:rsidP="00E50471"/>
    <w:p w14:paraId="56A67C77" w14:textId="77777777" w:rsidR="004E5476" w:rsidRDefault="004E5476" w:rsidP="00E50471"/>
    <w:p w14:paraId="4C01C93B" w14:textId="77777777" w:rsidR="004E5476" w:rsidRDefault="004E5476" w:rsidP="00E50471"/>
    <w:p w14:paraId="7B91BAC4" w14:textId="77777777" w:rsidR="004E5476" w:rsidRDefault="004E5476" w:rsidP="00E50471"/>
    <w:p w14:paraId="20B6E558" w14:textId="77777777" w:rsidR="004E5476" w:rsidRDefault="004E5476" w:rsidP="00E50471"/>
    <w:p w14:paraId="2389296D" w14:textId="77777777" w:rsidR="004E5476" w:rsidRDefault="004E5476" w:rsidP="00E50471"/>
    <w:p w14:paraId="600706DF" w14:textId="77777777" w:rsidR="004E5476" w:rsidRDefault="004E5476" w:rsidP="00E50471"/>
    <w:p w14:paraId="089F95C5" w14:textId="77777777" w:rsidR="004E5476" w:rsidRDefault="004E5476" w:rsidP="00E50471"/>
    <w:p w14:paraId="6D416A99" w14:textId="77777777" w:rsidR="004E5476" w:rsidRDefault="004E5476" w:rsidP="00E50471"/>
    <w:p w14:paraId="01A36D17" w14:textId="77777777" w:rsidR="004E5476" w:rsidRDefault="004E5476" w:rsidP="00E50471"/>
    <w:p w14:paraId="759CC86B" w14:textId="77777777" w:rsidR="004E5476" w:rsidRDefault="004E5476" w:rsidP="00E50471"/>
    <w:p w14:paraId="1AC1B280" w14:textId="77777777" w:rsidR="004E5476" w:rsidRDefault="004E5476" w:rsidP="00E50471"/>
    <w:p w14:paraId="13E9A0A9" w14:textId="77777777" w:rsidR="004E5476" w:rsidRDefault="004E5476" w:rsidP="00E50471"/>
    <w:p w14:paraId="04C523CD" w14:textId="77777777" w:rsidR="004E5476" w:rsidRDefault="004E5476" w:rsidP="00E50471"/>
    <w:p w14:paraId="19FB2FFD" w14:textId="77777777" w:rsidR="004E5476" w:rsidRDefault="004E5476" w:rsidP="00E50471"/>
    <w:p w14:paraId="546CBF72" w14:textId="77777777" w:rsidR="004E5476" w:rsidRDefault="004E5476" w:rsidP="00E50471"/>
    <w:p w14:paraId="6AF95DA4" w14:textId="77777777" w:rsidR="004E5476" w:rsidRDefault="004E5476" w:rsidP="00E50471"/>
    <w:p w14:paraId="7B8A45A0" w14:textId="77777777" w:rsidR="004E5476" w:rsidRDefault="004E5476" w:rsidP="00E50471"/>
    <w:p w14:paraId="029DFE72" w14:textId="77777777" w:rsidR="004E5476" w:rsidRDefault="004E5476" w:rsidP="00E50471"/>
    <w:p w14:paraId="0236FD83" w14:textId="77777777" w:rsidR="004E5476" w:rsidRDefault="004E5476" w:rsidP="00E50471"/>
    <w:p w14:paraId="12A83082" w14:textId="77777777" w:rsidR="004E5476" w:rsidRDefault="004E5476" w:rsidP="00E50471"/>
    <w:p w14:paraId="5959B241" w14:textId="77777777" w:rsidR="004E5476" w:rsidRDefault="004E5476" w:rsidP="00E50471"/>
    <w:p w14:paraId="61184152" w14:textId="77777777" w:rsidR="004E5476" w:rsidRDefault="004E5476" w:rsidP="00E50471"/>
    <w:p w14:paraId="7A8EC904" w14:textId="77777777" w:rsidR="004E5476" w:rsidRDefault="004E5476" w:rsidP="00E50471"/>
    <w:p w14:paraId="52C2A3AD" w14:textId="77777777" w:rsidR="004E5476" w:rsidRDefault="004E5476" w:rsidP="00E50471"/>
    <w:p w14:paraId="100DFC31" w14:textId="77777777" w:rsidR="004E5476" w:rsidRDefault="004E5476" w:rsidP="00E50471"/>
    <w:p w14:paraId="03909D33" w14:textId="77777777" w:rsidR="004E5476" w:rsidRDefault="004E5476" w:rsidP="00E50471"/>
    <w:p w14:paraId="5DEB663F" w14:textId="77777777" w:rsidR="004E5476" w:rsidRDefault="004E5476" w:rsidP="00E50471"/>
    <w:p w14:paraId="2ABE6BFC" w14:textId="77777777" w:rsidR="004E5476" w:rsidRDefault="004E5476" w:rsidP="00E50471"/>
    <w:p w14:paraId="66416801" w14:textId="77777777" w:rsidR="004E5476" w:rsidRDefault="004E5476" w:rsidP="00E50471"/>
    <w:p w14:paraId="763FD6CF" w14:textId="77777777" w:rsidR="004E5476" w:rsidRDefault="004E5476" w:rsidP="00E50471"/>
    <w:p w14:paraId="0A20CB59" w14:textId="77777777" w:rsidR="004E5476" w:rsidRDefault="004E5476" w:rsidP="00E50471"/>
    <w:p w14:paraId="2725CA75" w14:textId="77777777" w:rsidR="004E5476" w:rsidRDefault="004E5476" w:rsidP="00E50471"/>
    <w:p w14:paraId="6FD4BC06" w14:textId="77777777" w:rsidR="004E5476" w:rsidRDefault="004E5476" w:rsidP="00E50471"/>
    <w:p w14:paraId="4F3E23FF" w14:textId="77777777" w:rsidR="004E5476" w:rsidRDefault="004E5476" w:rsidP="00E50471"/>
    <w:p w14:paraId="1DF7C42E" w14:textId="77777777" w:rsidR="004E5476" w:rsidRDefault="004E5476" w:rsidP="00E50471"/>
    <w:p w14:paraId="452DEAAF" w14:textId="77777777" w:rsidR="004E5476" w:rsidRDefault="004E5476" w:rsidP="00E50471"/>
    <w:p w14:paraId="0D910A7A" w14:textId="77777777" w:rsidR="004E5476" w:rsidRDefault="004E5476" w:rsidP="00E50471"/>
    <w:p w14:paraId="104BA811" w14:textId="77777777" w:rsidR="004E5476" w:rsidRDefault="004E5476" w:rsidP="00E50471"/>
    <w:p w14:paraId="417B3B10" w14:textId="77777777" w:rsidR="004E5476" w:rsidRDefault="004E5476" w:rsidP="00E50471"/>
    <w:p w14:paraId="2F95B911" w14:textId="77777777" w:rsidR="004E5476" w:rsidRDefault="004E5476" w:rsidP="00E50471"/>
    <w:p w14:paraId="1DE99C5E" w14:textId="77777777" w:rsidR="004E5476" w:rsidRDefault="004E5476" w:rsidP="00E50471"/>
    <w:p w14:paraId="262077CD" w14:textId="77777777" w:rsidR="004E5476" w:rsidRDefault="004E5476" w:rsidP="00E50471"/>
    <w:p w14:paraId="46A0A90C" w14:textId="77777777" w:rsidR="004E5476" w:rsidRDefault="004E5476" w:rsidP="00E50471"/>
    <w:p w14:paraId="1C820655" w14:textId="77777777" w:rsidR="004E5476" w:rsidRDefault="004E5476" w:rsidP="00E50471"/>
    <w:p w14:paraId="43399D9B" w14:textId="77777777" w:rsidR="004E5476" w:rsidRDefault="004E5476" w:rsidP="00E50471"/>
    <w:p w14:paraId="14601C07" w14:textId="77777777" w:rsidR="004E5476" w:rsidRDefault="004E5476" w:rsidP="00E50471"/>
    <w:p w14:paraId="461FEE6B" w14:textId="77777777" w:rsidR="004E5476" w:rsidRDefault="004E5476" w:rsidP="00E50471"/>
    <w:p w14:paraId="520A4959" w14:textId="77777777" w:rsidR="004E5476" w:rsidRDefault="004E5476" w:rsidP="00E50471"/>
    <w:p w14:paraId="6FACCA4C" w14:textId="77777777" w:rsidR="004E5476" w:rsidRDefault="004E5476" w:rsidP="00E50471"/>
    <w:p w14:paraId="52D9C62F" w14:textId="77777777" w:rsidR="004E5476" w:rsidRDefault="004E5476" w:rsidP="00E50471"/>
    <w:p w14:paraId="0794ED97" w14:textId="77777777" w:rsidR="004E5476" w:rsidRDefault="004E5476" w:rsidP="00E50471"/>
    <w:p w14:paraId="776B7EA3" w14:textId="77777777" w:rsidR="004E5476" w:rsidRDefault="004E5476" w:rsidP="00E50471"/>
    <w:p w14:paraId="71E629AC" w14:textId="77777777" w:rsidR="004E5476" w:rsidRDefault="004E5476" w:rsidP="00E50471"/>
    <w:p w14:paraId="25D9B26F" w14:textId="77777777" w:rsidR="004E5476" w:rsidRDefault="004E5476" w:rsidP="00E50471"/>
    <w:p w14:paraId="2B9F050C" w14:textId="77777777" w:rsidR="004E5476" w:rsidRDefault="004E5476" w:rsidP="00E50471"/>
    <w:p w14:paraId="0E916418" w14:textId="77777777" w:rsidR="004E5476" w:rsidRDefault="004E5476" w:rsidP="00E50471"/>
    <w:p w14:paraId="7AB9B22D" w14:textId="77777777" w:rsidR="004E5476" w:rsidRDefault="004E5476" w:rsidP="00E50471"/>
    <w:p w14:paraId="40F550CC" w14:textId="77777777" w:rsidR="004E5476" w:rsidRDefault="004E5476" w:rsidP="00E50471"/>
    <w:p w14:paraId="1E29840B" w14:textId="77777777" w:rsidR="004E5476" w:rsidRDefault="004E5476" w:rsidP="00E50471"/>
    <w:p w14:paraId="39BB5CFC" w14:textId="77777777" w:rsidR="004E5476" w:rsidRDefault="004E5476" w:rsidP="00E50471"/>
    <w:p w14:paraId="63EAF1DB" w14:textId="77777777" w:rsidR="004E5476" w:rsidRDefault="004E5476" w:rsidP="00E50471"/>
    <w:p w14:paraId="474D553F" w14:textId="77777777" w:rsidR="004E5476" w:rsidRDefault="004E5476" w:rsidP="00E50471"/>
    <w:p w14:paraId="7CCC20EF" w14:textId="77777777" w:rsidR="004E5476" w:rsidRDefault="004E5476" w:rsidP="00E50471"/>
    <w:p w14:paraId="3E1862DE" w14:textId="77777777" w:rsidR="004E5476" w:rsidRDefault="004E5476" w:rsidP="00E50471"/>
    <w:p w14:paraId="4895A3CF" w14:textId="77777777" w:rsidR="004E5476" w:rsidRDefault="004E5476" w:rsidP="00E50471"/>
    <w:p w14:paraId="2FBA08C7" w14:textId="77777777" w:rsidR="004E5476" w:rsidRDefault="004E5476" w:rsidP="00E50471"/>
    <w:p w14:paraId="0EEF8633" w14:textId="77777777" w:rsidR="004E5476" w:rsidRDefault="004E5476" w:rsidP="00E50471"/>
    <w:p w14:paraId="15FC0615" w14:textId="77777777" w:rsidR="004E5476" w:rsidRDefault="004E5476" w:rsidP="00E50471"/>
    <w:p w14:paraId="008205E9" w14:textId="77777777" w:rsidR="004E5476" w:rsidRDefault="004E5476" w:rsidP="00E50471"/>
    <w:p w14:paraId="17296A8D" w14:textId="77777777" w:rsidR="004E5476" w:rsidRDefault="004E5476" w:rsidP="00E50471"/>
    <w:p w14:paraId="2AE971D3" w14:textId="77777777" w:rsidR="004E5476" w:rsidRDefault="004E5476" w:rsidP="00E50471"/>
    <w:p w14:paraId="58C07F62" w14:textId="77777777" w:rsidR="004E5476" w:rsidRDefault="004E5476" w:rsidP="00E50471"/>
    <w:p w14:paraId="6BE3BEFC" w14:textId="77777777" w:rsidR="004E5476" w:rsidRDefault="004E5476" w:rsidP="00E50471"/>
    <w:p w14:paraId="1B22ACC1" w14:textId="77777777" w:rsidR="004E5476" w:rsidRDefault="004E5476" w:rsidP="00E50471"/>
    <w:p w14:paraId="1C4A2E79" w14:textId="77777777" w:rsidR="004E5476" w:rsidRDefault="004E5476" w:rsidP="00E50471"/>
    <w:p w14:paraId="64E5A0EF" w14:textId="77777777" w:rsidR="004E5476" w:rsidRDefault="004E5476" w:rsidP="00E50471"/>
    <w:p w14:paraId="585BEDE1" w14:textId="77777777" w:rsidR="004E5476" w:rsidRDefault="004E5476" w:rsidP="00E50471"/>
    <w:p w14:paraId="59C1B0A5" w14:textId="77777777" w:rsidR="004E5476" w:rsidRDefault="004E5476" w:rsidP="00E50471"/>
    <w:p w14:paraId="76A296F6" w14:textId="77777777" w:rsidR="004E5476" w:rsidRDefault="004E5476" w:rsidP="00E50471"/>
    <w:p w14:paraId="56864038" w14:textId="77777777" w:rsidR="004E5476" w:rsidRDefault="004E5476" w:rsidP="00E50471"/>
    <w:p w14:paraId="775A9110" w14:textId="77777777" w:rsidR="004E5476" w:rsidRDefault="004E5476" w:rsidP="00E50471"/>
    <w:p w14:paraId="687C0227" w14:textId="77777777" w:rsidR="004E5476" w:rsidRDefault="004E5476" w:rsidP="00E50471"/>
    <w:p w14:paraId="786B8F5F" w14:textId="77777777" w:rsidR="004E5476" w:rsidRDefault="004E5476" w:rsidP="00E50471"/>
    <w:p w14:paraId="51681D5B" w14:textId="77777777" w:rsidR="004E5476" w:rsidRDefault="004E5476" w:rsidP="00E50471"/>
    <w:p w14:paraId="223B10FD" w14:textId="77777777" w:rsidR="004E5476" w:rsidRDefault="004E5476" w:rsidP="00E50471"/>
    <w:p w14:paraId="4F078716" w14:textId="77777777" w:rsidR="004E5476" w:rsidRDefault="004E5476" w:rsidP="00E50471"/>
    <w:p w14:paraId="6ED63446" w14:textId="77777777" w:rsidR="004E5476" w:rsidRDefault="004E5476" w:rsidP="00E50471"/>
    <w:p w14:paraId="2AA0671A" w14:textId="77777777" w:rsidR="004E5476" w:rsidRDefault="004E5476" w:rsidP="00E50471"/>
    <w:p w14:paraId="66A02C15" w14:textId="77777777" w:rsidR="004E5476" w:rsidRDefault="004E5476" w:rsidP="00E50471"/>
    <w:p w14:paraId="29C80117" w14:textId="77777777" w:rsidR="004E5476" w:rsidRDefault="004E5476" w:rsidP="00E50471"/>
    <w:p w14:paraId="78DE9290" w14:textId="77777777" w:rsidR="004E5476" w:rsidRDefault="004E5476" w:rsidP="00E50471"/>
    <w:p w14:paraId="0DA99BE5" w14:textId="77777777" w:rsidR="004E5476" w:rsidRDefault="004E5476" w:rsidP="00E50471"/>
    <w:p w14:paraId="3ECE6427" w14:textId="77777777" w:rsidR="004E5476" w:rsidRDefault="004E5476" w:rsidP="00E50471"/>
    <w:p w14:paraId="0EE4FC58" w14:textId="77777777" w:rsidR="004E5476" w:rsidRDefault="004E5476" w:rsidP="00E50471"/>
    <w:p w14:paraId="01B17D16" w14:textId="77777777" w:rsidR="004E5476" w:rsidRDefault="004E5476" w:rsidP="00E50471"/>
    <w:p w14:paraId="1118628D" w14:textId="77777777" w:rsidR="004E5476" w:rsidRDefault="004E5476" w:rsidP="00E50471"/>
    <w:p w14:paraId="6F897F7B" w14:textId="77777777" w:rsidR="004E5476" w:rsidRDefault="004E5476" w:rsidP="00E50471"/>
    <w:p w14:paraId="08EC94BD" w14:textId="77777777" w:rsidR="004E5476" w:rsidRDefault="004E5476" w:rsidP="00E50471"/>
    <w:p w14:paraId="7712BE4B" w14:textId="77777777" w:rsidR="004E5476" w:rsidRDefault="004E5476" w:rsidP="00E50471"/>
    <w:p w14:paraId="251B46D2" w14:textId="77777777" w:rsidR="004E5476" w:rsidRDefault="004E5476" w:rsidP="00E50471"/>
    <w:p w14:paraId="2278BEA2" w14:textId="77777777" w:rsidR="004E5476" w:rsidRDefault="004E5476" w:rsidP="00E50471"/>
    <w:p w14:paraId="0D360640" w14:textId="77777777" w:rsidR="004E5476" w:rsidRDefault="004E5476" w:rsidP="00E50471"/>
    <w:p w14:paraId="6C9A7DF8" w14:textId="77777777" w:rsidR="004E5476" w:rsidRDefault="004E5476" w:rsidP="00E50471"/>
    <w:p w14:paraId="7DDF8030" w14:textId="77777777" w:rsidR="004E5476" w:rsidRDefault="004E5476" w:rsidP="00E50471"/>
    <w:p w14:paraId="02459D43" w14:textId="77777777" w:rsidR="004E5476" w:rsidRDefault="004E5476" w:rsidP="00E50471"/>
    <w:p w14:paraId="43AED580" w14:textId="77777777" w:rsidR="004E5476" w:rsidRDefault="004E5476" w:rsidP="00E50471"/>
    <w:p w14:paraId="25417841" w14:textId="77777777" w:rsidR="004E5476" w:rsidRDefault="004E5476" w:rsidP="00E50471"/>
    <w:p w14:paraId="5BAF1D8B" w14:textId="77777777" w:rsidR="004E5476" w:rsidRDefault="004E5476" w:rsidP="00E50471"/>
    <w:p w14:paraId="680D45B8" w14:textId="77777777" w:rsidR="004E5476" w:rsidRDefault="004E5476" w:rsidP="00E50471"/>
    <w:p w14:paraId="60389715" w14:textId="77777777" w:rsidR="004E5476" w:rsidRDefault="004E5476" w:rsidP="00E50471"/>
    <w:p w14:paraId="7608E867" w14:textId="77777777" w:rsidR="004E5476" w:rsidRDefault="004E5476" w:rsidP="00E50471"/>
    <w:p w14:paraId="4EC8A736" w14:textId="77777777" w:rsidR="004E5476" w:rsidRDefault="004E5476" w:rsidP="00E50471"/>
    <w:p w14:paraId="02C39CC3" w14:textId="77777777" w:rsidR="004E5476" w:rsidRDefault="004E5476" w:rsidP="00E50471"/>
    <w:p w14:paraId="256185A9" w14:textId="77777777" w:rsidR="004E5476" w:rsidRDefault="004E5476" w:rsidP="00E50471"/>
    <w:p w14:paraId="29516D4E" w14:textId="77777777" w:rsidR="004E5476" w:rsidRDefault="004E5476" w:rsidP="00E50471"/>
    <w:p w14:paraId="33DB09B3" w14:textId="77777777" w:rsidR="004E5476" w:rsidRDefault="004E5476" w:rsidP="00E50471"/>
    <w:p w14:paraId="750FF2FD" w14:textId="77777777" w:rsidR="004E5476" w:rsidRDefault="004E5476" w:rsidP="00E50471"/>
    <w:p w14:paraId="7FE9C160" w14:textId="77777777" w:rsidR="004E5476" w:rsidRDefault="004E5476" w:rsidP="00E50471"/>
    <w:p w14:paraId="45AC8E9D" w14:textId="77777777" w:rsidR="004E5476" w:rsidRDefault="004E5476" w:rsidP="00E50471"/>
    <w:p w14:paraId="07E7F7ED" w14:textId="77777777" w:rsidR="004E5476" w:rsidRDefault="004E5476" w:rsidP="00E50471"/>
    <w:p w14:paraId="691EFF3C" w14:textId="77777777" w:rsidR="004E5476" w:rsidRDefault="004E5476" w:rsidP="00E50471"/>
    <w:p w14:paraId="65328D37" w14:textId="77777777" w:rsidR="004E5476" w:rsidRDefault="004E5476" w:rsidP="00E50471"/>
    <w:p w14:paraId="5F6070D0" w14:textId="77777777" w:rsidR="004E5476" w:rsidRDefault="004E5476" w:rsidP="00E50471"/>
    <w:p w14:paraId="11D4C2BE" w14:textId="77777777" w:rsidR="004E5476" w:rsidRDefault="004E5476" w:rsidP="00E50471"/>
    <w:p w14:paraId="2A3FAB12" w14:textId="77777777" w:rsidR="004E5476" w:rsidRDefault="004E5476" w:rsidP="00E50471"/>
    <w:p w14:paraId="6792A648" w14:textId="77777777" w:rsidR="004E5476" w:rsidRDefault="004E5476" w:rsidP="00E50471"/>
    <w:p w14:paraId="000202B5" w14:textId="77777777" w:rsidR="004E5476" w:rsidRDefault="004E5476" w:rsidP="00E50471"/>
    <w:p w14:paraId="682E9877" w14:textId="77777777" w:rsidR="004E5476" w:rsidRDefault="004E5476" w:rsidP="00E50471"/>
    <w:p w14:paraId="5E9C0EB5" w14:textId="77777777" w:rsidR="004E5476" w:rsidRDefault="004E5476" w:rsidP="00E50471"/>
    <w:p w14:paraId="23ED18A9" w14:textId="77777777" w:rsidR="004E5476" w:rsidRDefault="004E5476" w:rsidP="00E50471"/>
    <w:p w14:paraId="59D7DC3E" w14:textId="77777777" w:rsidR="004E5476" w:rsidRDefault="004E5476" w:rsidP="00E50471"/>
    <w:p w14:paraId="49290FFD" w14:textId="77777777" w:rsidR="004E5476" w:rsidRDefault="004E5476" w:rsidP="00E50471"/>
    <w:p w14:paraId="4757321A" w14:textId="77777777" w:rsidR="004E5476" w:rsidRDefault="004E5476" w:rsidP="00E50471"/>
    <w:p w14:paraId="7729FD70" w14:textId="77777777" w:rsidR="004E5476" w:rsidRDefault="004E5476" w:rsidP="00E50471"/>
    <w:p w14:paraId="20ECA468" w14:textId="77777777" w:rsidR="004E5476" w:rsidRDefault="004E5476" w:rsidP="00E50471"/>
    <w:p w14:paraId="316BE0DB" w14:textId="77777777" w:rsidR="004E5476" w:rsidRDefault="004E5476" w:rsidP="00E50471"/>
    <w:p w14:paraId="129DF872" w14:textId="77777777" w:rsidR="004E5476" w:rsidRDefault="004E5476" w:rsidP="00E50471"/>
    <w:p w14:paraId="5150DA72" w14:textId="77777777" w:rsidR="004E5476" w:rsidRDefault="004E5476" w:rsidP="00E50471"/>
    <w:p w14:paraId="25D927A0" w14:textId="77777777" w:rsidR="004E5476" w:rsidRDefault="004E5476" w:rsidP="00E50471"/>
    <w:p w14:paraId="16D1E14C" w14:textId="77777777" w:rsidR="004E5476" w:rsidRDefault="004E5476" w:rsidP="00E50471"/>
    <w:p w14:paraId="0CBCCE9E" w14:textId="77777777" w:rsidR="004E5476" w:rsidRDefault="004E5476" w:rsidP="00E50471"/>
    <w:p w14:paraId="424F4B1B" w14:textId="77777777" w:rsidR="004E5476" w:rsidRDefault="004E5476" w:rsidP="00E50471"/>
    <w:p w14:paraId="77011E20" w14:textId="77777777" w:rsidR="004E5476" w:rsidRDefault="004E5476" w:rsidP="00E50471"/>
    <w:p w14:paraId="00EDB13B" w14:textId="77777777" w:rsidR="004E5476" w:rsidRDefault="004E5476" w:rsidP="00E50471"/>
    <w:p w14:paraId="39B4E4CC" w14:textId="77777777" w:rsidR="004E5476" w:rsidRDefault="004E5476" w:rsidP="00E50471"/>
    <w:p w14:paraId="6BBA4112" w14:textId="77777777" w:rsidR="004E5476" w:rsidRDefault="004E5476" w:rsidP="00E50471"/>
    <w:p w14:paraId="635F4879" w14:textId="77777777" w:rsidR="004E5476" w:rsidRDefault="004E5476" w:rsidP="00E50471"/>
    <w:p w14:paraId="596C2A63" w14:textId="77777777" w:rsidR="004E5476" w:rsidRDefault="004E5476" w:rsidP="00E50471"/>
    <w:p w14:paraId="25A30F67" w14:textId="77777777" w:rsidR="004E5476" w:rsidRDefault="004E5476" w:rsidP="00E50471"/>
    <w:p w14:paraId="7B92AA6C" w14:textId="77777777" w:rsidR="004E5476" w:rsidRDefault="004E5476" w:rsidP="00E50471"/>
    <w:p w14:paraId="44A0E06E" w14:textId="77777777" w:rsidR="004E5476" w:rsidRDefault="004E5476" w:rsidP="00E50471"/>
    <w:p w14:paraId="6ACEA4B7" w14:textId="77777777" w:rsidR="004E5476" w:rsidRDefault="004E5476" w:rsidP="00E50471"/>
    <w:p w14:paraId="1491E8A2" w14:textId="77777777" w:rsidR="004E5476" w:rsidRDefault="004E5476" w:rsidP="00E50471"/>
    <w:p w14:paraId="3C9654E9" w14:textId="77777777" w:rsidR="004E5476" w:rsidRDefault="004E5476" w:rsidP="00E50471"/>
    <w:p w14:paraId="6E44421D" w14:textId="77777777" w:rsidR="004E5476" w:rsidRDefault="004E5476" w:rsidP="00E50471"/>
    <w:p w14:paraId="4BA939B6" w14:textId="77777777" w:rsidR="004E5476" w:rsidRDefault="004E5476" w:rsidP="00E50471"/>
    <w:p w14:paraId="3617D99A" w14:textId="77777777" w:rsidR="004E5476" w:rsidRDefault="004E5476" w:rsidP="00E50471"/>
    <w:p w14:paraId="4C03C4A8" w14:textId="77777777" w:rsidR="004E5476" w:rsidRDefault="004E5476" w:rsidP="00E50471"/>
    <w:p w14:paraId="479C4775" w14:textId="77777777" w:rsidR="004E5476" w:rsidRDefault="004E5476"/>
    <w:p w14:paraId="516E38F5" w14:textId="77777777" w:rsidR="004E5476" w:rsidRDefault="004E5476"/>
    <w:p w14:paraId="0C8BE699" w14:textId="77777777" w:rsidR="004E5476" w:rsidRDefault="004E5476" w:rsidP="00231CE8"/>
    <w:p w14:paraId="6E1A3C05" w14:textId="77777777" w:rsidR="004E5476" w:rsidRDefault="004E5476" w:rsidP="00231CE8"/>
    <w:p w14:paraId="7F7D6DBF" w14:textId="77777777" w:rsidR="004E5476" w:rsidRDefault="004E5476" w:rsidP="00231CE8"/>
    <w:p w14:paraId="09E821D1" w14:textId="77777777" w:rsidR="004E5476" w:rsidRDefault="004E5476" w:rsidP="00191329"/>
    <w:p w14:paraId="2965F1EB" w14:textId="77777777" w:rsidR="004E5476" w:rsidRDefault="004E5476" w:rsidP="00191329"/>
    <w:p w14:paraId="46FE978B" w14:textId="77777777" w:rsidR="004E5476" w:rsidRDefault="004E5476" w:rsidP="00191329"/>
    <w:p w14:paraId="30087ACD" w14:textId="77777777" w:rsidR="004E5476" w:rsidRDefault="004E5476" w:rsidP="00191329"/>
    <w:p w14:paraId="505BD301" w14:textId="77777777" w:rsidR="004E5476" w:rsidRDefault="004E5476" w:rsidP="00F1792F"/>
    <w:p w14:paraId="6DBAA09B" w14:textId="77777777" w:rsidR="004E5476" w:rsidRDefault="004E5476" w:rsidP="00F1792F"/>
    <w:p w14:paraId="2BB052F2" w14:textId="77777777" w:rsidR="004E5476" w:rsidRDefault="004E5476"/>
    <w:p w14:paraId="266AD27A" w14:textId="77777777" w:rsidR="004E5476" w:rsidRDefault="004E5476" w:rsidP="0047021A"/>
    <w:p w14:paraId="6B194D83" w14:textId="77777777" w:rsidR="004E5476" w:rsidRDefault="004E5476" w:rsidP="0047021A"/>
    <w:p w14:paraId="44BF8776" w14:textId="77777777" w:rsidR="004E5476" w:rsidRDefault="004E5476" w:rsidP="0047021A"/>
    <w:p w14:paraId="02BC90DD" w14:textId="77777777" w:rsidR="004E5476" w:rsidRDefault="004E5476" w:rsidP="0047021A"/>
    <w:p w14:paraId="170E1D58" w14:textId="77777777" w:rsidR="004E5476" w:rsidRDefault="004E5476"/>
    <w:p w14:paraId="13886F26" w14:textId="77777777" w:rsidR="004E5476" w:rsidRDefault="004E5476"/>
    <w:p w14:paraId="741CB56E" w14:textId="77777777" w:rsidR="004E5476" w:rsidRDefault="004E5476" w:rsidP="003E237E"/>
    <w:p w14:paraId="0C6938BF" w14:textId="77777777" w:rsidR="004E5476" w:rsidRDefault="004E5476" w:rsidP="003E237E"/>
    <w:p w14:paraId="3BB2AD8F" w14:textId="77777777" w:rsidR="004E5476" w:rsidRDefault="004E5476" w:rsidP="003E237E"/>
    <w:p w14:paraId="50B92D4D" w14:textId="77777777" w:rsidR="004E5476" w:rsidRDefault="004E5476" w:rsidP="00326C77"/>
    <w:p w14:paraId="6B0BC174" w14:textId="77777777" w:rsidR="004E5476" w:rsidRDefault="004E5476" w:rsidP="00326C77"/>
    <w:p w14:paraId="3D098137" w14:textId="77777777" w:rsidR="004E5476" w:rsidRDefault="004E5476" w:rsidP="000D3264"/>
    <w:p w14:paraId="30AF0169" w14:textId="77777777" w:rsidR="004E5476" w:rsidRDefault="004E5476" w:rsidP="000D3264"/>
    <w:p w14:paraId="44D5D83C" w14:textId="77777777" w:rsidR="004E5476" w:rsidRDefault="004E5476" w:rsidP="000D3264"/>
    <w:p w14:paraId="5AD54D63" w14:textId="77777777" w:rsidR="004E5476" w:rsidRDefault="004E5476" w:rsidP="000D3264"/>
    <w:p w14:paraId="4406B5C4" w14:textId="77777777" w:rsidR="004E5476" w:rsidRDefault="004E5476" w:rsidP="000D3264"/>
    <w:p w14:paraId="50780222" w14:textId="77777777" w:rsidR="004E5476" w:rsidRDefault="004E5476"/>
    <w:p w14:paraId="26F6BBB4" w14:textId="77777777" w:rsidR="004E5476" w:rsidRDefault="004E5476" w:rsidP="00AE7DAD"/>
    <w:p w14:paraId="628BAAB3" w14:textId="77777777" w:rsidR="004E5476" w:rsidRDefault="004E5476" w:rsidP="008A05B8"/>
    <w:p w14:paraId="23208BB7" w14:textId="77777777" w:rsidR="004E5476" w:rsidRDefault="004E5476" w:rsidP="008A05B8"/>
    <w:p w14:paraId="329CBA88" w14:textId="77777777" w:rsidR="004E5476" w:rsidRDefault="004E5476"/>
    <w:p w14:paraId="41ACBF16" w14:textId="77777777" w:rsidR="004E5476" w:rsidRDefault="004E5476" w:rsidP="0055585B"/>
  </w:footnote>
  <w:footnote w:type="continuationSeparator" w:id="0">
    <w:p w14:paraId="6D0E0900" w14:textId="77777777" w:rsidR="004E5476" w:rsidRDefault="004E5476" w:rsidP="00E50471">
      <w:r>
        <w:continuationSeparator/>
      </w:r>
    </w:p>
    <w:p w14:paraId="4E7C3F82" w14:textId="77777777" w:rsidR="004E5476" w:rsidRDefault="004E5476" w:rsidP="00E50471"/>
    <w:p w14:paraId="0F9D3778" w14:textId="77777777" w:rsidR="004E5476" w:rsidRDefault="004E5476" w:rsidP="00E50471"/>
    <w:p w14:paraId="1D65B6E2" w14:textId="77777777" w:rsidR="004E5476" w:rsidRDefault="004E5476" w:rsidP="00E50471"/>
    <w:p w14:paraId="6225D018" w14:textId="77777777" w:rsidR="004E5476" w:rsidRDefault="004E5476" w:rsidP="00E50471"/>
    <w:p w14:paraId="5FAD1A4F" w14:textId="77777777" w:rsidR="004E5476" w:rsidRDefault="004E5476" w:rsidP="00E50471"/>
    <w:p w14:paraId="0ED730A1" w14:textId="77777777" w:rsidR="004E5476" w:rsidRDefault="004E5476" w:rsidP="00E50471"/>
    <w:p w14:paraId="7071417D" w14:textId="77777777" w:rsidR="004E5476" w:rsidRDefault="004E5476" w:rsidP="00E50471"/>
    <w:p w14:paraId="43EA50AC" w14:textId="77777777" w:rsidR="004E5476" w:rsidRDefault="004E5476" w:rsidP="00E50471"/>
    <w:p w14:paraId="0F259E7E" w14:textId="77777777" w:rsidR="004E5476" w:rsidRDefault="004E5476" w:rsidP="00E50471"/>
    <w:p w14:paraId="313E109B" w14:textId="77777777" w:rsidR="004E5476" w:rsidRDefault="004E5476" w:rsidP="00E50471"/>
    <w:p w14:paraId="350FD311" w14:textId="77777777" w:rsidR="004E5476" w:rsidRDefault="004E5476" w:rsidP="00E50471"/>
    <w:p w14:paraId="3B20F4F7" w14:textId="77777777" w:rsidR="004E5476" w:rsidRDefault="004E5476" w:rsidP="00E50471"/>
    <w:p w14:paraId="7A626DA3" w14:textId="77777777" w:rsidR="004E5476" w:rsidRDefault="004E5476" w:rsidP="00E50471"/>
    <w:p w14:paraId="2D14F21D" w14:textId="77777777" w:rsidR="004E5476" w:rsidRDefault="004E5476" w:rsidP="00E50471"/>
    <w:p w14:paraId="17990B98" w14:textId="77777777" w:rsidR="004E5476" w:rsidRDefault="004E5476" w:rsidP="00E50471"/>
    <w:p w14:paraId="655E7D84" w14:textId="77777777" w:rsidR="004E5476" w:rsidRDefault="004E5476" w:rsidP="00E50471"/>
    <w:p w14:paraId="75020CBD" w14:textId="77777777" w:rsidR="004E5476" w:rsidRDefault="004E5476" w:rsidP="00E50471"/>
    <w:p w14:paraId="6AAF9C0E" w14:textId="77777777" w:rsidR="004E5476" w:rsidRDefault="004E5476" w:rsidP="00E50471"/>
    <w:p w14:paraId="6E02A66A" w14:textId="77777777" w:rsidR="004E5476" w:rsidRDefault="004E5476" w:rsidP="00E50471"/>
    <w:p w14:paraId="76B72ED5" w14:textId="77777777" w:rsidR="004E5476" w:rsidRDefault="004E5476" w:rsidP="00E50471"/>
    <w:p w14:paraId="6C8CAB2B" w14:textId="77777777" w:rsidR="004E5476" w:rsidRDefault="004E5476" w:rsidP="00E50471"/>
    <w:p w14:paraId="6B8F9252" w14:textId="77777777" w:rsidR="004E5476" w:rsidRDefault="004E5476" w:rsidP="00E50471"/>
    <w:p w14:paraId="7DED3DCF" w14:textId="77777777" w:rsidR="004E5476" w:rsidRDefault="004E5476" w:rsidP="00E50471"/>
    <w:p w14:paraId="11692F4E" w14:textId="77777777" w:rsidR="004E5476" w:rsidRDefault="004E5476" w:rsidP="00E50471"/>
    <w:p w14:paraId="0B48759E" w14:textId="77777777" w:rsidR="004E5476" w:rsidRDefault="004E5476" w:rsidP="00E50471"/>
    <w:p w14:paraId="75D4DD4D" w14:textId="77777777" w:rsidR="004E5476" w:rsidRDefault="004E5476" w:rsidP="00E50471"/>
    <w:p w14:paraId="023AC7F1" w14:textId="77777777" w:rsidR="004E5476" w:rsidRDefault="004E5476" w:rsidP="00E50471"/>
    <w:p w14:paraId="24150A7F" w14:textId="77777777" w:rsidR="004E5476" w:rsidRDefault="004E5476" w:rsidP="00E50471"/>
    <w:p w14:paraId="5640687A" w14:textId="77777777" w:rsidR="004E5476" w:rsidRDefault="004E5476" w:rsidP="00E50471"/>
    <w:p w14:paraId="7FF505F4" w14:textId="77777777" w:rsidR="004E5476" w:rsidRDefault="004E5476" w:rsidP="00E50471"/>
    <w:p w14:paraId="75F26895" w14:textId="77777777" w:rsidR="004E5476" w:rsidRDefault="004E5476" w:rsidP="00E50471"/>
    <w:p w14:paraId="6FA32193" w14:textId="77777777" w:rsidR="004E5476" w:rsidRDefault="004E5476" w:rsidP="00E50471"/>
    <w:p w14:paraId="604BF192" w14:textId="77777777" w:rsidR="004E5476" w:rsidRDefault="004E5476" w:rsidP="00E50471"/>
    <w:p w14:paraId="5C7F60E7" w14:textId="77777777" w:rsidR="004E5476" w:rsidRDefault="004E5476" w:rsidP="00E50471"/>
    <w:p w14:paraId="1DB56938" w14:textId="77777777" w:rsidR="004E5476" w:rsidRDefault="004E5476" w:rsidP="00E50471"/>
    <w:p w14:paraId="53924104" w14:textId="77777777" w:rsidR="004E5476" w:rsidRDefault="004E5476" w:rsidP="00E50471"/>
    <w:p w14:paraId="2CD50EB8" w14:textId="77777777" w:rsidR="004E5476" w:rsidRDefault="004E5476" w:rsidP="00E50471"/>
    <w:p w14:paraId="04A281A3" w14:textId="77777777" w:rsidR="004E5476" w:rsidRDefault="004E5476" w:rsidP="00E50471"/>
    <w:p w14:paraId="6954070E" w14:textId="77777777" w:rsidR="004E5476" w:rsidRDefault="004E5476" w:rsidP="00E50471"/>
    <w:p w14:paraId="579F90CE" w14:textId="77777777" w:rsidR="004E5476" w:rsidRDefault="004E5476" w:rsidP="00E50471"/>
    <w:p w14:paraId="1F831E2F" w14:textId="77777777" w:rsidR="004E5476" w:rsidRDefault="004E5476" w:rsidP="00E50471"/>
    <w:p w14:paraId="0429A168" w14:textId="77777777" w:rsidR="004E5476" w:rsidRDefault="004E5476" w:rsidP="00E50471"/>
    <w:p w14:paraId="4C21CC53" w14:textId="77777777" w:rsidR="004E5476" w:rsidRDefault="004E5476" w:rsidP="00E50471"/>
    <w:p w14:paraId="47A8792C" w14:textId="77777777" w:rsidR="004E5476" w:rsidRDefault="004E5476" w:rsidP="00E50471"/>
    <w:p w14:paraId="253D71D7" w14:textId="77777777" w:rsidR="004E5476" w:rsidRDefault="004E5476" w:rsidP="00E50471"/>
    <w:p w14:paraId="41450B50" w14:textId="77777777" w:rsidR="004E5476" w:rsidRDefault="004E5476" w:rsidP="00E50471"/>
    <w:p w14:paraId="10CFDD79" w14:textId="77777777" w:rsidR="004E5476" w:rsidRDefault="004E5476" w:rsidP="00E50471"/>
    <w:p w14:paraId="11702388" w14:textId="77777777" w:rsidR="004E5476" w:rsidRDefault="004E5476" w:rsidP="00E50471"/>
    <w:p w14:paraId="160FD134" w14:textId="77777777" w:rsidR="004E5476" w:rsidRDefault="004E5476" w:rsidP="00E50471"/>
    <w:p w14:paraId="77D98597" w14:textId="77777777" w:rsidR="004E5476" w:rsidRDefault="004E5476" w:rsidP="00E50471"/>
    <w:p w14:paraId="6EE6D98E" w14:textId="77777777" w:rsidR="004E5476" w:rsidRDefault="004E5476" w:rsidP="00E50471"/>
    <w:p w14:paraId="2935056A" w14:textId="77777777" w:rsidR="004E5476" w:rsidRDefault="004E5476" w:rsidP="00E50471"/>
    <w:p w14:paraId="721D6B7A" w14:textId="77777777" w:rsidR="004E5476" w:rsidRDefault="004E5476" w:rsidP="00E50471"/>
    <w:p w14:paraId="6DB11B75" w14:textId="77777777" w:rsidR="004E5476" w:rsidRDefault="004E5476" w:rsidP="00E50471"/>
    <w:p w14:paraId="3E774653" w14:textId="77777777" w:rsidR="004E5476" w:rsidRDefault="004E5476" w:rsidP="00E50471"/>
    <w:p w14:paraId="00D1AA82" w14:textId="77777777" w:rsidR="004E5476" w:rsidRDefault="004E5476" w:rsidP="00E50471"/>
    <w:p w14:paraId="0686F43A" w14:textId="77777777" w:rsidR="004E5476" w:rsidRDefault="004E5476" w:rsidP="00E50471"/>
    <w:p w14:paraId="025414FD" w14:textId="77777777" w:rsidR="004E5476" w:rsidRDefault="004E5476" w:rsidP="00E50471"/>
    <w:p w14:paraId="6EB5EA8F" w14:textId="77777777" w:rsidR="004E5476" w:rsidRDefault="004E5476" w:rsidP="00E50471"/>
    <w:p w14:paraId="53F456CE" w14:textId="77777777" w:rsidR="004E5476" w:rsidRDefault="004E5476" w:rsidP="00E50471"/>
    <w:p w14:paraId="5FB2F6AC" w14:textId="77777777" w:rsidR="004E5476" w:rsidRDefault="004E5476" w:rsidP="00E50471"/>
    <w:p w14:paraId="6FAE1C84" w14:textId="77777777" w:rsidR="004E5476" w:rsidRDefault="004E5476" w:rsidP="00E50471"/>
    <w:p w14:paraId="0588F3B6" w14:textId="77777777" w:rsidR="004E5476" w:rsidRDefault="004E5476" w:rsidP="00E50471"/>
    <w:p w14:paraId="71FA350D" w14:textId="77777777" w:rsidR="004E5476" w:rsidRDefault="004E5476" w:rsidP="00E50471"/>
    <w:p w14:paraId="26D22CCF" w14:textId="77777777" w:rsidR="004E5476" w:rsidRDefault="004E5476" w:rsidP="00E50471"/>
    <w:p w14:paraId="680DC90E" w14:textId="77777777" w:rsidR="004E5476" w:rsidRDefault="004E5476" w:rsidP="00E50471"/>
    <w:p w14:paraId="73E6FF57" w14:textId="77777777" w:rsidR="004E5476" w:rsidRDefault="004E5476" w:rsidP="00E50471"/>
    <w:p w14:paraId="7FDEA3F6" w14:textId="77777777" w:rsidR="004E5476" w:rsidRDefault="004E5476" w:rsidP="00E50471"/>
    <w:p w14:paraId="1B452236" w14:textId="77777777" w:rsidR="004E5476" w:rsidRDefault="004E5476" w:rsidP="00E50471"/>
    <w:p w14:paraId="463E1F40" w14:textId="77777777" w:rsidR="004E5476" w:rsidRDefault="004E5476" w:rsidP="00E50471"/>
    <w:p w14:paraId="5841A57A" w14:textId="77777777" w:rsidR="004E5476" w:rsidRDefault="004E5476" w:rsidP="00E50471"/>
    <w:p w14:paraId="6976213E" w14:textId="77777777" w:rsidR="004E5476" w:rsidRDefault="004E5476" w:rsidP="00E50471"/>
    <w:p w14:paraId="73E64540" w14:textId="77777777" w:rsidR="004E5476" w:rsidRDefault="004E5476" w:rsidP="00E50471"/>
    <w:p w14:paraId="63FBA082" w14:textId="77777777" w:rsidR="004E5476" w:rsidRDefault="004E5476" w:rsidP="00E50471"/>
    <w:p w14:paraId="47498999" w14:textId="77777777" w:rsidR="004E5476" w:rsidRDefault="004E5476" w:rsidP="00E50471"/>
    <w:p w14:paraId="6B307B69" w14:textId="77777777" w:rsidR="004E5476" w:rsidRDefault="004E5476" w:rsidP="00E50471"/>
    <w:p w14:paraId="3DFB5A43" w14:textId="77777777" w:rsidR="004E5476" w:rsidRDefault="004E5476" w:rsidP="00E50471"/>
    <w:p w14:paraId="6EC2A490" w14:textId="77777777" w:rsidR="004E5476" w:rsidRDefault="004E5476" w:rsidP="00E50471"/>
    <w:p w14:paraId="3C301B8E" w14:textId="77777777" w:rsidR="004E5476" w:rsidRDefault="004E5476" w:rsidP="00E50471"/>
    <w:p w14:paraId="1C9DD827" w14:textId="77777777" w:rsidR="004E5476" w:rsidRDefault="004E5476" w:rsidP="00E50471"/>
    <w:p w14:paraId="6E7A012B" w14:textId="77777777" w:rsidR="004E5476" w:rsidRDefault="004E5476" w:rsidP="00E50471"/>
    <w:p w14:paraId="598BC6E1" w14:textId="77777777" w:rsidR="004E5476" w:rsidRDefault="004E5476" w:rsidP="00E50471"/>
    <w:p w14:paraId="6259941B" w14:textId="77777777" w:rsidR="004E5476" w:rsidRDefault="004E5476" w:rsidP="00E50471"/>
    <w:p w14:paraId="2193BF01" w14:textId="77777777" w:rsidR="004E5476" w:rsidRDefault="004E5476" w:rsidP="00E50471"/>
    <w:p w14:paraId="3C13521F" w14:textId="77777777" w:rsidR="004E5476" w:rsidRDefault="004E5476" w:rsidP="00E50471"/>
    <w:p w14:paraId="4C42310C" w14:textId="77777777" w:rsidR="004E5476" w:rsidRDefault="004E5476" w:rsidP="00E50471"/>
    <w:p w14:paraId="226085A2" w14:textId="77777777" w:rsidR="004E5476" w:rsidRDefault="004E5476" w:rsidP="00E50471"/>
    <w:p w14:paraId="6BF35D62" w14:textId="77777777" w:rsidR="004E5476" w:rsidRDefault="004E5476" w:rsidP="00E50471"/>
    <w:p w14:paraId="72526804" w14:textId="77777777" w:rsidR="004E5476" w:rsidRDefault="004E5476" w:rsidP="00E50471"/>
    <w:p w14:paraId="5E6D658D" w14:textId="77777777" w:rsidR="004E5476" w:rsidRDefault="004E5476" w:rsidP="00E50471"/>
    <w:p w14:paraId="25DDB50E" w14:textId="77777777" w:rsidR="004E5476" w:rsidRDefault="004E5476" w:rsidP="00E50471"/>
    <w:p w14:paraId="4577A3F7" w14:textId="77777777" w:rsidR="004E5476" w:rsidRDefault="004E5476" w:rsidP="00E50471"/>
    <w:p w14:paraId="19DA1852" w14:textId="77777777" w:rsidR="004E5476" w:rsidRDefault="004E5476" w:rsidP="00E50471"/>
    <w:p w14:paraId="5EE3B03E" w14:textId="77777777" w:rsidR="004E5476" w:rsidRDefault="004E5476" w:rsidP="00E50471"/>
    <w:p w14:paraId="5FED2C0A" w14:textId="77777777" w:rsidR="004E5476" w:rsidRDefault="004E5476" w:rsidP="00E50471"/>
    <w:p w14:paraId="28BF5C97" w14:textId="77777777" w:rsidR="004E5476" w:rsidRDefault="004E5476" w:rsidP="00E50471"/>
    <w:p w14:paraId="504FE858" w14:textId="77777777" w:rsidR="004E5476" w:rsidRDefault="004E5476" w:rsidP="00E50471"/>
    <w:p w14:paraId="2491497E" w14:textId="77777777" w:rsidR="004E5476" w:rsidRDefault="004E5476" w:rsidP="00E50471"/>
    <w:p w14:paraId="74BD3239" w14:textId="77777777" w:rsidR="004E5476" w:rsidRDefault="004E5476" w:rsidP="00E50471"/>
    <w:p w14:paraId="193CB18A" w14:textId="77777777" w:rsidR="004E5476" w:rsidRDefault="004E5476" w:rsidP="00E50471"/>
    <w:p w14:paraId="4873C649" w14:textId="77777777" w:rsidR="004E5476" w:rsidRDefault="004E5476" w:rsidP="00E50471"/>
    <w:p w14:paraId="1C8ABF7B" w14:textId="77777777" w:rsidR="004E5476" w:rsidRDefault="004E5476" w:rsidP="00E50471"/>
    <w:p w14:paraId="11E086D0" w14:textId="77777777" w:rsidR="004E5476" w:rsidRDefault="004E5476" w:rsidP="00E50471"/>
    <w:p w14:paraId="6DA084B8" w14:textId="77777777" w:rsidR="004E5476" w:rsidRDefault="004E5476" w:rsidP="00E50471"/>
    <w:p w14:paraId="421078A9" w14:textId="77777777" w:rsidR="004E5476" w:rsidRDefault="004E5476" w:rsidP="00E50471"/>
    <w:p w14:paraId="0CF1C1F1" w14:textId="77777777" w:rsidR="004E5476" w:rsidRDefault="004E5476" w:rsidP="00E50471"/>
    <w:p w14:paraId="31A9E629" w14:textId="77777777" w:rsidR="004E5476" w:rsidRDefault="004E5476" w:rsidP="00E50471"/>
    <w:p w14:paraId="5DEF81CB" w14:textId="77777777" w:rsidR="004E5476" w:rsidRDefault="004E5476" w:rsidP="00E50471"/>
    <w:p w14:paraId="48532CDA" w14:textId="77777777" w:rsidR="004E5476" w:rsidRDefault="004E5476" w:rsidP="00E50471"/>
    <w:p w14:paraId="39EC7472" w14:textId="77777777" w:rsidR="004E5476" w:rsidRDefault="004E5476" w:rsidP="00E50471"/>
    <w:p w14:paraId="3F3C1DAB" w14:textId="77777777" w:rsidR="004E5476" w:rsidRDefault="004E5476" w:rsidP="00E50471"/>
    <w:p w14:paraId="004B0450" w14:textId="77777777" w:rsidR="004E5476" w:rsidRDefault="004E5476" w:rsidP="00E50471"/>
    <w:p w14:paraId="58F126B6" w14:textId="77777777" w:rsidR="004E5476" w:rsidRDefault="004E5476" w:rsidP="00E50471"/>
    <w:p w14:paraId="3666F00E" w14:textId="77777777" w:rsidR="004E5476" w:rsidRDefault="004E5476" w:rsidP="00E50471"/>
    <w:p w14:paraId="26142C71" w14:textId="77777777" w:rsidR="004E5476" w:rsidRDefault="004E5476" w:rsidP="00E50471"/>
    <w:p w14:paraId="6EF9BF58" w14:textId="77777777" w:rsidR="004E5476" w:rsidRDefault="004E5476" w:rsidP="00E50471"/>
    <w:p w14:paraId="7E2E7A11" w14:textId="77777777" w:rsidR="004E5476" w:rsidRDefault="004E5476" w:rsidP="00E50471"/>
    <w:p w14:paraId="580DDBFB" w14:textId="77777777" w:rsidR="004E5476" w:rsidRDefault="004E5476" w:rsidP="00E50471"/>
    <w:p w14:paraId="26BD0520" w14:textId="77777777" w:rsidR="004E5476" w:rsidRDefault="004E5476" w:rsidP="00E50471"/>
    <w:p w14:paraId="3C7A6767" w14:textId="77777777" w:rsidR="004E5476" w:rsidRDefault="004E5476" w:rsidP="00E50471"/>
    <w:p w14:paraId="3EDDBEE6" w14:textId="77777777" w:rsidR="004E5476" w:rsidRDefault="004E5476" w:rsidP="00E50471"/>
    <w:p w14:paraId="5BF14748" w14:textId="77777777" w:rsidR="004E5476" w:rsidRDefault="004E5476" w:rsidP="00E50471"/>
    <w:p w14:paraId="52488B2B" w14:textId="77777777" w:rsidR="004E5476" w:rsidRDefault="004E5476" w:rsidP="00E50471"/>
    <w:p w14:paraId="440FCDAF" w14:textId="77777777" w:rsidR="004E5476" w:rsidRDefault="004E5476" w:rsidP="00E50471"/>
    <w:p w14:paraId="2D527CFB" w14:textId="77777777" w:rsidR="004E5476" w:rsidRDefault="004E5476" w:rsidP="00E50471"/>
    <w:p w14:paraId="50916AD2" w14:textId="77777777" w:rsidR="004E5476" w:rsidRDefault="004E5476" w:rsidP="00E50471"/>
    <w:p w14:paraId="75BBD89F" w14:textId="77777777" w:rsidR="004E5476" w:rsidRDefault="004E5476" w:rsidP="00E50471"/>
    <w:p w14:paraId="42723FE7" w14:textId="77777777" w:rsidR="004E5476" w:rsidRDefault="004E5476" w:rsidP="00E50471"/>
    <w:p w14:paraId="340A4960" w14:textId="77777777" w:rsidR="004E5476" w:rsidRDefault="004E5476" w:rsidP="00E50471"/>
    <w:p w14:paraId="09ADB428" w14:textId="77777777" w:rsidR="004E5476" w:rsidRDefault="004E5476" w:rsidP="00E50471"/>
    <w:p w14:paraId="67E5128F" w14:textId="77777777" w:rsidR="004E5476" w:rsidRDefault="004E5476" w:rsidP="00E50471"/>
    <w:p w14:paraId="5A05E259" w14:textId="77777777" w:rsidR="004E5476" w:rsidRDefault="004E5476" w:rsidP="00E50471"/>
    <w:p w14:paraId="2EC9477A" w14:textId="77777777" w:rsidR="004E5476" w:rsidRDefault="004E5476" w:rsidP="00E50471"/>
    <w:p w14:paraId="7AC7D04F" w14:textId="77777777" w:rsidR="004E5476" w:rsidRDefault="004E5476" w:rsidP="00E50471"/>
    <w:p w14:paraId="5E8F615B" w14:textId="77777777" w:rsidR="004E5476" w:rsidRDefault="004E5476" w:rsidP="00E50471"/>
    <w:p w14:paraId="3D96C73C" w14:textId="77777777" w:rsidR="004E5476" w:rsidRDefault="004E5476" w:rsidP="00E50471"/>
    <w:p w14:paraId="5C662735" w14:textId="77777777" w:rsidR="004E5476" w:rsidRDefault="004E5476" w:rsidP="00E50471"/>
    <w:p w14:paraId="55FAF0FF" w14:textId="77777777" w:rsidR="004E5476" w:rsidRDefault="004E5476" w:rsidP="00E50471"/>
    <w:p w14:paraId="16FC5130" w14:textId="77777777" w:rsidR="004E5476" w:rsidRDefault="004E5476" w:rsidP="00E50471"/>
    <w:p w14:paraId="68C35D26" w14:textId="77777777" w:rsidR="004E5476" w:rsidRDefault="004E5476" w:rsidP="00E50471"/>
    <w:p w14:paraId="29D97C48" w14:textId="77777777" w:rsidR="004E5476" w:rsidRDefault="004E5476" w:rsidP="00E50471"/>
    <w:p w14:paraId="1781AB34" w14:textId="77777777" w:rsidR="004E5476" w:rsidRDefault="004E5476" w:rsidP="00E50471"/>
    <w:p w14:paraId="6491A395" w14:textId="77777777" w:rsidR="004E5476" w:rsidRDefault="004E5476" w:rsidP="00E50471"/>
    <w:p w14:paraId="423D8616" w14:textId="77777777" w:rsidR="004E5476" w:rsidRDefault="004E5476" w:rsidP="00E50471"/>
    <w:p w14:paraId="4D4DD69A" w14:textId="77777777" w:rsidR="004E5476" w:rsidRDefault="004E5476" w:rsidP="00E50471"/>
    <w:p w14:paraId="3E2EBF44" w14:textId="77777777" w:rsidR="004E5476" w:rsidRDefault="004E5476" w:rsidP="00E50471"/>
    <w:p w14:paraId="226C6E12" w14:textId="77777777" w:rsidR="004E5476" w:rsidRDefault="004E5476" w:rsidP="00E50471"/>
    <w:p w14:paraId="34C75E43" w14:textId="77777777" w:rsidR="004E5476" w:rsidRDefault="004E5476" w:rsidP="00E50471"/>
    <w:p w14:paraId="5F78133E" w14:textId="77777777" w:rsidR="004E5476" w:rsidRDefault="004E5476" w:rsidP="00E50471"/>
    <w:p w14:paraId="1C8728BD" w14:textId="77777777" w:rsidR="004E5476" w:rsidRDefault="004E5476" w:rsidP="00E50471"/>
    <w:p w14:paraId="08328DC4" w14:textId="77777777" w:rsidR="004E5476" w:rsidRDefault="004E5476" w:rsidP="00E50471"/>
    <w:p w14:paraId="16754709" w14:textId="77777777" w:rsidR="004E5476" w:rsidRDefault="004E5476" w:rsidP="00E50471"/>
    <w:p w14:paraId="2C32EBE7" w14:textId="77777777" w:rsidR="004E5476" w:rsidRDefault="004E5476" w:rsidP="00E50471"/>
    <w:p w14:paraId="3890C945" w14:textId="77777777" w:rsidR="004E5476" w:rsidRDefault="004E5476" w:rsidP="00E50471"/>
    <w:p w14:paraId="2586396E" w14:textId="77777777" w:rsidR="004E5476" w:rsidRDefault="004E5476" w:rsidP="00E50471"/>
    <w:p w14:paraId="2955F0E0" w14:textId="77777777" w:rsidR="004E5476" w:rsidRDefault="004E5476" w:rsidP="00E50471"/>
    <w:p w14:paraId="610698E4" w14:textId="77777777" w:rsidR="004E5476" w:rsidRDefault="004E5476" w:rsidP="00E50471"/>
    <w:p w14:paraId="552442A9" w14:textId="77777777" w:rsidR="004E5476" w:rsidRDefault="004E5476" w:rsidP="00E50471"/>
    <w:p w14:paraId="6B1E3372" w14:textId="77777777" w:rsidR="004E5476" w:rsidRDefault="004E5476" w:rsidP="00E50471"/>
    <w:p w14:paraId="00A88565" w14:textId="77777777" w:rsidR="004E5476" w:rsidRDefault="004E5476" w:rsidP="00E50471"/>
    <w:p w14:paraId="5C12133C" w14:textId="77777777" w:rsidR="004E5476" w:rsidRDefault="004E5476" w:rsidP="00E50471"/>
    <w:p w14:paraId="3C78D0B2" w14:textId="77777777" w:rsidR="004E5476" w:rsidRDefault="004E5476" w:rsidP="00E50471"/>
    <w:p w14:paraId="01EB1130" w14:textId="77777777" w:rsidR="004E5476" w:rsidRDefault="004E5476" w:rsidP="00E50471"/>
    <w:p w14:paraId="31FF0DB8" w14:textId="77777777" w:rsidR="004E5476" w:rsidRDefault="004E5476" w:rsidP="00E50471"/>
    <w:p w14:paraId="20BE16ED" w14:textId="77777777" w:rsidR="004E5476" w:rsidRDefault="004E5476" w:rsidP="00E50471"/>
    <w:p w14:paraId="37824CBA" w14:textId="77777777" w:rsidR="004E5476" w:rsidRDefault="004E5476" w:rsidP="00E50471"/>
    <w:p w14:paraId="1CC6521D" w14:textId="77777777" w:rsidR="004E5476" w:rsidRDefault="004E5476" w:rsidP="00E50471"/>
    <w:p w14:paraId="7F48F481" w14:textId="77777777" w:rsidR="004E5476" w:rsidRDefault="004E5476" w:rsidP="00E50471"/>
    <w:p w14:paraId="2CD8EE21" w14:textId="77777777" w:rsidR="004E5476" w:rsidRDefault="004E5476" w:rsidP="00E50471"/>
    <w:p w14:paraId="193425CF" w14:textId="77777777" w:rsidR="004E5476" w:rsidRDefault="004E5476" w:rsidP="00E50471"/>
    <w:p w14:paraId="009B240F" w14:textId="77777777" w:rsidR="004E5476" w:rsidRDefault="004E5476" w:rsidP="00E50471"/>
    <w:p w14:paraId="5AC30D38" w14:textId="77777777" w:rsidR="004E5476" w:rsidRDefault="004E5476" w:rsidP="00E50471"/>
    <w:p w14:paraId="07DEF8E9" w14:textId="77777777" w:rsidR="004E5476" w:rsidRDefault="004E5476" w:rsidP="00E50471"/>
    <w:p w14:paraId="0FFFC03D" w14:textId="77777777" w:rsidR="004E5476" w:rsidRDefault="004E5476" w:rsidP="00E50471"/>
    <w:p w14:paraId="617EA379" w14:textId="77777777" w:rsidR="004E5476" w:rsidRDefault="004E5476" w:rsidP="00E50471"/>
    <w:p w14:paraId="52524574" w14:textId="77777777" w:rsidR="004E5476" w:rsidRDefault="004E5476" w:rsidP="00E50471"/>
    <w:p w14:paraId="393F4D94" w14:textId="77777777" w:rsidR="004E5476" w:rsidRDefault="004E5476" w:rsidP="00E50471"/>
    <w:p w14:paraId="4C9009D2" w14:textId="77777777" w:rsidR="004E5476" w:rsidRDefault="004E5476" w:rsidP="00E50471"/>
    <w:p w14:paraId="4CD59C13" w14:textId="77777777" w:rsidR="004E5476" w:rsidRDefault="004E5476" w:rsidP="00E50471"/>
    <w:p w14:paraId="39D15620" w14:textId="77777777" w:rsidR="004E5476" w:rsidRDefault="004E5476" w:rsidP="00E50471"/>
    <w:p w14:paraId="2EE1DF92" w14:textId="77777777" w:rsidR="004E5476" w:rsidRDefault="004E5476" w:rsidP="00E50471"/>
    <w:p w14:paraId="2A4AA4A1" w14:textId="77777777" w:rsidR="004E5476" w:rsidRDefault="004E5476" w:rsidP="00E50471"/>
    <w:p w14:paraId="0C9A7DFF" w14:textId="77777777" w:rsidR="004E5476" w:rsidRDefault="004E5476" w:rsidP="00E50471"/>
    <w:p w14:paraId="1DE05A62" w14:textId="77777777" w:rsidR="004E5476" w:rsidRDefault="004E5476" w:rsidP="00E50471"/>
    <w:p w14:paraId="42F824AA" w14:textId="77777777" w:rsidR="004E5476" w:rsidRDefault="004E5476" w:rsidP="00E50471"/>
    <w:p w14:paraId="44A3570A" w14:textId="77777777" w:rsidR="004E5476" w:rsidRDefault="004E5476" w:rsidP="00E50471"/>
    <w:p w14:paraId="494EE6D6" w14:textId="77777777" w:rsidR="004E5476" w:rsidRDefault="004E5476" w:rsidP="00E50471"/>
    <w:p w14:paraId="72FA6F2A" w14:textId="77777777" w:rsidR="004E5476" w:rsidRDefault="004E5476" w:rsidP="00E50471"/>
    <w:p w14:paraId="0C878CC8" w14:textId="77777777" w:rsidR="004E5476" w:rsidRDefault="004E5476" w:rsidP="00E50471"/>
    <w:p w14:paraId="47308522" w14:textId="77777777" w:rsidR="004E5476" w:rsidRDefault="004E5476" w:rsidP="00E50471"/>
    <w:p w14:paraId="2B705733" w14:textId="77777777" w:rsidR="004E5476" w:rsidRDefault="004E5476" w:rsidP="00E50471"/>
    <w:p w14:paraId="0FCDFDF2" w14:textId="77777777" w:rsidR="004E5476" w:rsidRDefault="004E5476" w:rsidP="00E50471"/>
    <w:p w14:paraId="6C93EC27" w14:textId="77777777" w:rsidR="004E5476" w:rsidRDefault="004E5476" w:rsidP="00E50471"/>
    <w:p w14:paraId="01D779B3" w14:textId="77777777" w:rsidR="004E5476" w:rsidRDefault="004E5476" w:rsidP="00E50471"/>
    <w:p w14:paraId="4264804C" w14:textId="77777777" w:rsidR="004E5476" w:rsidRDefault="004E5476" w:rsidP="00E50471"/>
    <w:p w14:paraId="249ACD43" w14:textId="77777777" w:rsidR="004E5476" w:rsidRDefault="004E5476" w:rsidP="00E50471"/>
    <w:p w14:paraId="61C1522A" w14:textId="77777777" w:rsidR="004E5476" w:rsidRDefault="004E5476" w:rsidP="00E50471"/>
    <w:p w14:paraId="5079F265" w14:textId="77777777" w:rsidR="004E5476" w:rsidRDefault="004E5476" w:rsidP="00E50471"/>
    <w:p w14:paraId="7154DE10" w14:textId="77777777" w:rsidR="004E5476" w:rsidRDefault="004E5476" w:rsidP="00E50471"/>
    <w:p w14:paraId="5FD7EFB1" w14:textId="77777777" w:rsidR="004E5476" w:rsidRDefault="004E5476" w:rsidP="00E50471"/>
    <w:p w14:paraId="7A133815" w14:textId="77777777" w:rsidR="004E5476" w:rsidRDefault="004E5476" w:rsidP="00E50471"/>
    <w:p w14:paraId="4E5B7537" w14:textId="77777777" w:rsidR="004E5476" w:rsidRDefault="004E5476" w:rsidP="00E50471"/>
    <w:p w14:paraId="25AC94ED" w14:textId="77777777" w:rsidR="004E5476" w:rsidRDefault="004E5476" w:rsidP="00E50471"/>
    <w:p w14:paraId="68DA08AF" w14:textId="77777777" w:rsidR="004E5476" w:rsidRDefault="004E5476" w:rsidP="00E50471"/>
    <w:p w14:paraId="0F8C1172" w14:textId="77777777" w:rsidR="004E5476" w:rsidRDefault="004E5476" w:rsidP="00E50471"/>
    <w:p w14:paraId="0B85FD29" w14:textId="77777777" w:rsidR="004E5476" w:rsidRDefault="004E5476" w:rsidP="00E50471"/>
    <w:p w14:paraId="2E4DD0F5" w14:textId="77777777" w:rsidR="004E5476" w:rsidRDefault="004E5476" w:rsidP="00E50471"/>
    <w:p w14:paraId="7A561048" w14:textId="77777777" w:rsidR="004E5476" w:rsidRDefault="004E5476" w:rsidP="00E50471"/>
    <w:p w14:paraId="52BB8CB9" w14:textId="77777777" w:rsidR="004E5476" w:rsidRDefault="004E5476" w:rsidP="00E50471"/>
    <w:p w14:paraId="001264B6" w14:textId="77777777" w:rsidR="004E5476" w:rsidRDefault="004E5476" w:rsidP="00E50471"/>
    <w:p w14:paraId="5CAE42E0" w14:textId="77777777" w:rsidR="004E5476" w:rsidRDefault="004E5476" w:rsidP="00E50471"/>
    <w:p w14:paraId="24488463" w14:textId="77777777" w:rsidR="004E5476" w:rsidRDefault="004E5476" w:rsidP="00E50471"/>
    <w:p w14:paraId="0D0B987E" w14:textId="77777777" w:rsidR="004E5476" w:rsidRDefault="004E5476" w:rsidP="00E50471"/>
    <w:p w14:paraId="10E5DB0A" w14:textId="77777777" w:rsidR="004E5476" w:rsidRDefault="004E5476" w:rsidP="00E50471"/>
    <w:p w14:paraId="5D10CA20" w14:textId="77777777" w:rsidR="004E5476" w:rsidRDefault="004E5476"/>
    <w:p w14:paraId="68271001" w14:textId="77777777" w:rsidR="004E5476" w:rsidRDefault="004E5476"/>
    <w:p w14:paraId="3D9DE329" w14:textId="77777777" w:rsidR="004E5476" w:rsidRDefault="004E5476" w:rsidP="00231CE8"/>
    <w:p w14:paraId="6D206BD7" w14:textId="77777777" w:rsidR="004E5476" w:rsidRDefault="004E5476" w:rsidP="00231CE8"/>
    <w:p w14:paraId="0FD6100B" w14:textId="77777777" w:rsidR="004E5476" w:rsidRDefault="004E5476" w:rsidP="00231CE8"/>
    <w:p w14:paraId="22323011" w14:textId="77777777" w:rsidR="004E5476" w:rsidRDefault="004E5476" w:rsidP="00191329"/>
    <w:p w14:paraId="7A6ACD3F" w14:textId="77777777" w:rsidR="004E5476" w:rsidRDefault="004E5476" w:rsidP="00191329"/>
    <w:p w14:paraId="6E50D841" w14:textId="77777777" w:rsidR="004E5476" w:rsidRDefault="004E5476" w:rsidP="00191329"/>
    <w:p w14:paraId="2E8524E2" w14:textId="77777777" w:rsidR="004E5476" w:rsidRDefault="004E5476" w:rsidP="00191329"/>
    <w:p w14:paraId="44E4C1E6" w14:textId="77777777" w:rsidR="004E5476" w:rsidRDefault="004E5476" w:rsidP="00F1792F"/>
    <w:p w14:paraId="16EF7F8E" w14:textId="77777777" w:rsidR="004E5476" w:rsidRDefault="004E5476" w:rsidP="00F1792F"/>
    <w:p w14:paraId="7CFD2CBF" w14:textId="77777777" w:rsidR="004E5476" w:rsidRDefault="004E5476"/>
    <w:p w14:paraId="17AA8424" w14:textId="77777777" w:rsidR="004E5476" w:rsidRDefault="004E5476" w:rsidP="0047021A"/>
    <w:p w14:paraId="039C0A29" w14:textId="77777777" w:rsidR="004E5476" w:rsidRDefault="004E5476" w:rsidP="0047021A"/>
    <w:p w14:paraId="143E7966" w14:textId="77777777" w:rsidR="004E5476" w:rsidRDefault="004E5476" w:rsidP="0047021A"/>
    <w:p w14:paraId="3BC401DE" w14:textId="77777777" w:rsidR="004E5476" w:rsidRDefault="004E5476" w:rsidP="0047021A"/>
    <w:p w14:paraId="698863E2" w14:textId="77777777" w:rsidR="004E5476" w:rsidRDefault="004E5476"/>
    <w:p w14:paraId="306CC4D2" w14:textId="77777777" w:rsidR="004E5476" w:rsidRDefault="004E5476"/>
    <w:p w14:paraId="57C77F75" w14:textId="77777777" w:rsidR="004E5476" w:rsidRDefault="004E5476" w:rsidP="003E237E"/>
    <w:p w14:paraId="1B719D2C" w14:textId="77777777" w:rsidR="004E5476" w:rsidRDefault="004E5476" w:rsidP="003E237E"/>
    <w:p w14:paraId="70A76983" w14:textId="77777777" w:rsidR="004E5476" w:rsidRDefault="004E5476" w:rsidP="003E237E"/>
    <w:p w14:paraId="6187C032" w14:textId="77777777" w:rsidR="004E5476" w:rsidRDefault="004E5476" w:rsidP="00326C77"/>
    <w:p w14:paraId="2FE536E0" w14:textId="77777777" w:rsidR="004E5476" w:rsidRDefault="004E5476" w:rsidP="00326C77"/>
    <w:p w14:paraId="0776FAC2" w14:textId="77777777" w:rsidR="004E5476" w:rsidRDefault="004E5476" w:rsidP="000D3264"/>
    <w:p w14:paraId="7A7E8D9C" w14:textId="77777777" w:rsidR="004E5476" w:rsidRDefault="004E5476" w:rsidP="000D3264"/>
    <w:p w14:paraId="640B8F28" w14:textId="77777777" w:rsidR="004E5476" w:rsidRDefault="004E5476" w:rsidP="000D3264"/>
    <w:p w14:paraId="2A7FEA8B" w14:textId="77777777" w:rsidR="004E5476" w:rsidRDefault="004E5476" w:rsidP="000D3264"/>
    <w:p w14:paraId="08559763" w14:textId="77777777" w:rsidR="004E5476" w:rsidRDefault="004E5476" w:rsidP="000D3264"/>
    <w:p w14:paraId="569D6FFA" w14:textId="77777777" w:rsidR="004E5476" w:rsidRDefault="004E5476"/>
    <w:p w14:paraId="70DDC0CE" w14:textId="77777777" w:rsidR="004E5476" w:rsidRDefault="004E5476" w:rsidP="00AE7DAD"/>
    <w:p w14:paraId="063A89C3" w14:textId="77777777" w:rsidR="004E5476" w:rsidRDefault="004E5476" w:rsidP="008A05B8"/>
    <w:p w14:paraId="0EC3B91D" w14:textId="77777777" w:rsidR="004E5476" w:rsidRDefault="004E5476" w:rsidP="008A05B8"/>
    <w:p w14:paraId="05A134A7" w14:textId="77777777" w:rsidR="004E5476" w:rsidRDefault="004E5476"/>
    <w:p w14:paraId="146D971A" w14:textId="77777777" w:rsidR="004E5476" w:rsidRDefault="004E5476" w:rsidP="005558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D32A" w14:textId="77777777" w:rsidR="0055585B" w:rsidRDefault="0055585B" w:rsidP="00E50471"/>
  <w:p w14:paraId="5F77B1B8" w14:textId="77777777" w:rsidR="0055585B" w:rsidRDefault="0055585B" w:rsidP="00E50471"/>
  <w:p w14:paraId="0DE9DA48" w14:textId="77777777" w:rsidR="0055585B" w:rsidRDefault="0055585B" w:rsidP="00E50471"/>
  <w:p w14:paraId="5F67A7FD" w14:textId="77777777" w:rsidR="0055585B" w:rsidRDefault="0055585B" w:rsidP="00E50471"/>
  <w:p w14:paraId="26A478B7" w14:textId="77777777" w:rsidR="0055585B" w:rsidRDefault="0055585B" w:rsidP="00E50471"/>
  <w:p w14:paraId="0EB7DC3A" w14:textId="77777777" w:rsidR="0055585B" w:rsidRDefault="0055585B" w:rsidP="00E50471"/>
  <w:p w14:paraId="3E884515" w14:textId="77777777" w:rsidR="0055585B" w:rsidRDefault="0055585B" w:rsidP="00E50471"/>
  <w:p w14:paraId="0CCF1052" w14:textId="77777777" w:rsidR="0055585B" w:rsidRDefault="0055585B" w:rsidP="00E50471"/>
  <w:p w14:paraId="7EB1DD85" w14:textId="77777777" w:rsidR="0055585B" w:rsidRDefault="0055585B" w:rsidP="00E50471"/>
  <w:p w14:paraId="088C3F51" w14:textId="77777777" w:rsidR="0055585B" w:rsidRDefault="0055585B" w:rsidP="00E50471"/>
  <w:p w14:paraId="0765AD9E" w14:textId="77777777" w:rsidR="0055585B" w:rsidRDefault="0055585B" w:rsidP="00E50471"/>
  <w:p w14:paraId="62C239CC" w14:textId="77777777" w:rsidR="0055585B" w:rsidRDefault="0055585B" w:rsidP="00E504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0CC6" w14:textId="17203788" w:rsidR="0055585B" w:rsidRPr="00743F82" w:rsidRDefault="0055585B" w:rsidP="00E50471">
    <w:pPr>
      <w:pStyle w:val="Header"/>
    </w:pPr>
    <w:r>
      <w:tab/>
    </w:r>
    <w:r w:rsidRPr="00743F82">
      <w:t xml:space="preserve">                                                     </w:t>
    </w:r>
    <w:r w:rsidRPr="00743F82">
      <w:tab/>
    </w:r>
    <w:r>
      <w:tab/>
    </w:r>
    <w:r>
      <w:tab/>
    </w:r>
    <w:r w:rsidRPr="00743F82">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5943" w14:textId="77777777" w:rsidR="0055585B" w:rsidRDefault="0055585B" w:rsidP="00E50471">
    <w:pPr>
      <w:pStyle w:val="Header"/>
    </w:pPr>
    <w:r>
      <w:tab/>
    </w:r>
    <w:r w:rsidRPr="00743F82">
      <w:t xml:space="preserve">                                                     </w:t>
    </w:r>
    <w:r w:rsidRPr="00743F82">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B6E9" w14:textId="27A7B079" w:rsidR="0055585B" w:rsidRDefault="0055585B" w:rsidP="00E504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CFA"/>
    <w:multiLevelType w:val="hybridMultilevel"/>
    <w:tmpl w:val="F30A4D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5534702"/>
    <w:multiLevelType w:val="hybridMultilevel"/>
    <w:tmpl w:val="A7E22FA8"/>
    <w:lvl w:ilvl="0" w:tplc="08090001">
      <w:start w:val="1"/>
      <w:numFmt w:val="bullet"/>
      <w:lvlText w:val=""/>
      <w:lvlJc w:val="left"/>
      <w:pPr>
        <w:ind w:left="1046" w:hanging="360"/>
      </w:pPr>
      <w:rPr>
        <w:rFonts w:ascii="Symbol" w:hAnsi="Symbol" w:hint="default"/>
      </w:rPr>
    </w:lvl>
    <w:lvl w:ilvl="1" w:tplc="08090003" w:tentative="1">
      <w:start w:val="1"/>
      <w:numFmt w:val="bullet"/>
      <w:lvlText w:val="o"/>
      <w:lvlJc w:val="left"/>
      <w:pPr>
        <w:ind w:left="1766" w:hanging="360"/>
      </w:pPr>
      <w:rPr>
        <w:rFonts w:ascii="Courier New" w:hAnsi="Courier New" w:cs="Courier New" w:hint="default"/>
      </w:rPr>
    </w:lvl>
    <w:lvl w:ilvl="2" w:tplc="08090005" w:tentative="1">
      <w:start w:val="1"/>
      <w:numFmt w:val="bullet"/>
      <w:lvlText w:val=""/>
      <w:lvlJc w:val="left"/>
      <w:pPr>
        <w:ind w:left="2486" w:hanging="360"/>
      </w:pPr>
      <w:rPr>
        <w:rFonts w:ascii="Wingdings" w:hAnsi="Wingdings" w:hint="default"/>
      </w:rPr>
    </w:lvl>
    <w:lvl w:ilvl="3" w:tplc="08090001" w:tentative="1">
      <w:start w:val="1"/>
      <w:numFmt w:val="bullet"/>
      <w:lvlText w:val=""/>
      <w:lvlJc w:val="left"/>
      <w:pPr>
        <w:ind w:left="3206" w:hanging="360"/>
      </w:pPr>
      <w:rPr>
        <w:rFonts w:ascii="Symbol" w:hAnsi="Symbol" w:hint="default"/>
      </w:rPr>
    </w:lvl>
    <w:lvl w:ilvl="4" w:tplc="08090003" w:tentative="1">
      <w:start w:val="1"/>
      <w:numFmt w:val="bullet"/>
      <w:lvlText w:val="o"/>
      <w:lvlJc w:val="left"/>
      <w:pPr>
        <w:ind w:left="3926" w:hanging="360"/>
      </w:pPr>
      <w:rPr>
        <w:rFonts w:ascii="Courier New" w:hAnsi="Courier New" w:cs="Courier New" w:hint="default"/>
      </w:rPr>
    </w:lvl>
    <w:lvl w:ilvl="5" w:tplc="08090005" w:tentative="1">
      <w:start w:val="1"/>
      <w:numFmt w:val="bullet"/>
      <w:lvlText w:val=""/>
      <w:lvlJc w:val="left"/>
      <w:pPr>
        <w:ind w:left="4646" w:hanging="360"/>
      </w:pPr>
      <w:rPr>
        <w:rFonts w:ascii="Wingdings" w:hAnsi="Wingdings" w:hint="default"/>
      </w:rPr>
    </w:lvl>
    <w:lvl w:ilvl="6" w:tplc="08090001" w:tentative="1">
      <w:start w:val="1"/>
      <w:numFmt w:val="bullet"/>
      <w:lvlText w:val=""/>
      <w:lvlJc w:val="left"/>
      <w:pPr>
        <w:ind w:left="5366" w:hanging="360"/>
      </w:pPr>
      <w:rPr>
        <w:rFonts w:ascii="Symbol" w:hAnsi="Symbol" w:hint="default"/>
      </w:rPr>
    </w:lvl>
    <w:lvl w:ilvl="7" w:tplc="08090003" w:tentative="1">
      <w:start w:val="1"/>
      <w:numFmt w:val="bullet"/>
      <w:lvlText w:val="o"/>
      <w:lvlJc w:val="left"/>
      <w:pPr>
        <w:ind w:left="6086" w:hanging="360"/>
      </w:pPr>
      <w:rPr>
        <w:rFonts w:ascii="Courier New" w:hAnsi="Courier New" w:cs="Courier New" w:hint="default"/>
      </w:rPr>
    </w:lvl>
    <w:lvl w:ilvl="8" w:tplc="08090005" w:tentative="1">
      <w:start w:val="1"/>
      <w:numFmt w:val="bullet"/>
      <w:lvlText w:val=""/>
      <w:lvlJc w:val="left"/>
      <w:pPr>
        <w:ind w:left="6806" w:hanging="360"/>
      </w:pPr>
      <w:rPr>
        <w:rFonts w:ascii="Wingdings" w:hAnsi="Wingdings" w:hint="default"/>
      </w:rPr>
    </w:lvl>
  </w:abstractNum>
  <w:abstractNum w:abstractNumId="2" w15:restartNumberingAfterBreak="0">
    <w:nsid w:val="177E00FF"/>
    <w:multiLevelType w:val="hybridMultilevel"/>
    <w:tmpl w:val="C3BA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203F9"/>
    <w:multiLevelType w:val="hybridMultilevel"/>
    <w:tmpl w:val="2062C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07E2F87"/>
    <w:multiLevelType w:val="hybridMultilevel"/>
    <w:tmpl w:val="FFE20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E5BC8"/>
    <w:multiLevelType w:val="hybridMultilevel"/>
    <w:tmpl w:val="BEBEF29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266075F9"/>
    <w:multiLevelType w:val="hybridMultilevel"/>
    <w:tmpl w:val="382C5E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D0013EB"/>
    <w:multiLevelType w:val="hybridMultilevel"/>
    <w:tmpl w:val="8752B9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DFF5789"/>
    <w:multiLevelType w:val="hybridMultilevel"/>
    <w:tmpl w:val="F7E258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36D07720"/>
    <w:multiLevelType w:val="hybridMultilevel"/>
    <w:tmpl w:val="B5701A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83F1812"/>
    <w:multiLevelType w:val="hybridMultilevel"/>
    <w:tmpl w:val="3350032A"/>
    <w:lvl w:ilvl="0" w:tplc="08090001">
      <w:start w:val="1"/>
      <w:numFmt w:val="bullet"/>
      <w:lvlText w:val=""/>
      <w:lvlJc w:val="left"/>
      <w:pPr>
        <w:ind w:left="1364" w:hanging="360"/>
      </w:pPr>
      <w:rPr>
        <w:rFonts w:ascii="Symbol" w:hAnsi="Symbol" w:hint="default"/>
      </w:rPr>
    </w:lvl>
    <w:lvl w:ilvl="1" w:tplc="08090003">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1" w15:restartNumberingAfterBreak="0">
    <w:nsid w:val="393972FC"/>
    <w:multiLevelType w:val="hybridMultilevel"/>
    <w:tmpl w:val="F3A48F4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3C3F7D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F834FC7"/>
    <w:multiLevelType w:val="hybridMultilevel"/>
    <w:tmpl w:val="716CD81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3F9916CF"/>
    <w:multiLevelType w:val="hybridMultilevel"/>
    <w:tmpl w:val="95AC5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E6905"/>
    <w:multiLevelType w:val="hybridMultilevel"/>
    <w:tmpl w:val="7678374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16" w15:restartNumberingAfterBreak="0">
    <w:nsid w:val="4D2B2FA9"/>
    <w:multiLevelType w:val="hybridMultilevel"/>
    <w:tmpl w:val="43081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377F28"/>
    <w:multiLevelType w:val="hybridMultilevel"/>
    <w:tmpl w:val="364A1820"/>
    <w:lvl w:ilvl="0" w:tplc="33247AF2">
      <w:start w:val="1"/>
      <w:numFmt w:val="upperLetter"/>
      <w:lvlText w:val="%1."/>
      <w:lvlJc w:val="left"/>
      <w:pPr>
        <w:ind w:left="1364" w:hanging="360"/>
      </w:pPr>
      <w:rPr>
        <w:rFonts w:hint="default"/>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18" w15:restartNumberingAfterBreak="0">
    <w:nsid w:val="50451F07"/>
    <w:multiLevelType w:val="hybridMultilevel"/>
    <w:tmpl w:val="147884A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9" w15:restartNumberingAfterBreak="0">
    <w:nsid w:val="5C114E07"/>
    <w:multiLevelType w:val="hybridMultilevel"/>
    <w:tmpl w:val="549EB978"/>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20" w15:restartNumberingAfterBreak="0">
    <w:nsid w:val="62576098"/>
    <w:multiLevelType w:val="hybridMultilevel"/>
    <w:tmpl w:val="FBAA3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3BC64AA"/>
    <w:multiLevelType w:val="hybridMultilevel"/>
    <w:tmpl w:val="1488073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2" w15:restartNumberingAfterBreak="0">
    <w:nsid w:val="6D9954D4"/>
    <w:multiLevelType w:val="hybridMultilevel"/>
    <w:tmpl w:val="7E7A9D0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15:restartNumberingAfterBreak="0">
    <w:nsid w:val="700A7EA7"/>
    <w:multiLevelType w:val="hybridMultilevel"/>
    <w:tmpl w:val="3DB0F7E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71051EC0"/>
    <w:multiLevelType w:val="hybridMultilevel"/>
    <w:tmpl w:val="5102200A"/>
    <w:lvl w:ilvl="0" w:tplc="08090011">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73EE425C"/>
    <w:multiLevelType w:val="hybridMultilevel"/>
    <w:tmpl w:val="ECCA92E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26" w15:restartNumberingAfterBreak="0">
    <w:nsid w:val="76417B1A"/>
    <w:multiLevelType w:val="hybridMultilevel"/>
    <w:tmpl w:val="F460C830"/>
    <w:lvl w:ilvl="0" w:tplc="08090001">
      <w:start w:val="1"/>
      <w:numFmt w:val="bullet"/>
      <w:lvlText w:val=""/>
      <w:lvlJc w:val="left"/>
      <w:pPr>
        <w:ind w:left="4326" w:hanging="360"/>
      </w:pPr>
      <w:rPr>
        <w:rFonts w:ascii="Symbol" w:hAnsi="Symbol" w:hint="default"/>
      </w:rPr>
    </w:lvl>
    <w:lvl w:ilvl="1" w:tplc="08090003" w:tentative="1">
      <w:start w:val="1"/>
      <w:numFmt w:val="bullet"/>
      <w:lvlText w:val="o"/>
      <w:lvlJc w:val="left"/>
      <w:pPr>
        <w:ind w:left="5046" w:hanging="360"/>
      </w:pPr>
      <w:rPr>
        <w:rFonts w:ascii="Courier New" w:hAnsi="Courier New" w:cs="Courier New" w:hint="default"/>
      </w:rPr>
    </w:lvl>
    <w:lvl w:ilvl="2" w:tplc="08090005" w:tentative="1">
      <w:start w:val="1"/>
      <w:numFmt w:val="bullet"/>
      <w:lvlText w:val=""/>
      <w:lvlJc w:val="left"/>
      <w:pPr>
        <w:ind w:left="5766" w:hanging="360"/>
      </w:pPr>
      <w:rPr>
        <w:rFonts w:ascii="Wingdings" w:hAnsi="Wingdings" w:hint="default"/>
      </w:rPr>
    </w:lvl>
    <w:lvl w:ilvl="3" w:tplc="08090001" w:tentative="1">
      <w:start w:val="1"/>
      <w:numFmt w:val="bullet"/>
      <w:lvlText w:val=""/>
      <w:lvlJc w:val="left"/>
      <w:pPr>
        <w:ind w:left="6486" w:hanging="360"/>
      </w:pPr>
      <w:rPr>
        <w:rFonts w:ascii="Symbol" w:hAnsi="Symbol" w:hint="default"/>
      </w:rPr>
    </w:lvl>
    <w:lvl w:ilvl="4" w:tplc="08090003" w:tentative="1">
      <w:start w:val="1"/>
      <w:numFmt w:val="bullet"/>
      <w:lvlText w:val="o"/>
      <w:lvlJc w:val="left"/>
      <w:pPr>
        <w:ind w:left="7206" w:hanging="360"/>
      </w:pPr>
      <w:rPr>
        <w:rFonts w:ascii="Courier New" w:hAnsi="Courier New" w:cs="Courier New" w:hint="default"/>
      </w:rPr>
    </w:lvl>
    <w:lvl w:ilvl="5" w:tplc="08090005" w:tentative="1">
      <w:start w:val="1"/>
      <w:numFmt w:val="bullet"/>
      <w:lvlText w:val=""/>
      <w:lvlJc w:val="left"/>
      <w:pPr>
        <w:ind w:left="7926" w:hanging="360"/>
      </w:pPr>
      <w:rPr>
        <w:rFonts w:ascii="Wingdings" w:hAnsi="Wingdings" w:hint="default"/>
      </w:rPr>
    </w:lvl>
    <w:lvl w:ilvl="6" w:tplc="08090001" w:tentative="1">
      <w:start w:val="1"/>
      <w:numFmt w:val="bullet"/>
      <w:lvlText w:val=""/>
      <w:lvlJc w:val="left"/>
      <w:pPr>
        <w:ind w:left="8646" w:hanging="360"/>
      </w:pPr>
      <w:rPr>
        <w:rFonts w:ascii="Symbol" w:hAnsi="Symbol" w:hint="default"/>
      </w:rPr>
    </w:lvl>
    <w:lvl w:ilvl="7" w:tplc="08090003" w:tentative="1">
      <w:start w:val="1"/>
      <w:numFmt w:val="bullet"/>
      <w:lvlText w:val="o"/>
      <w:lvlJc w:val="left"/>
      <w:pPr>
        <w:ind w:left="9366" w:hanging="360"/>
      </w:pPr>
      <w:rPr>
        <w:rFonts w:ascii="Courier New" w:hAnsi="Courier New" w:cs="Courier New" w:hint="default"/>
      </w:rPr>
    </w:lvl>
    <w:lvl w:ilvl="8" w:tplc="08090005" w:tentative="1">
      <w:start w:val="1"/>
      <w:numFmt w:val="bullet"/>
      <w:lvlText w:val=""/>
      <w:lvlJc w:val="left"/>
      <w:pPr>
        <w:ind w:left="10086" w:hanging="360"/>
      </w:pPr>
      <w:rPr>
        <w:rFonts w:ascii="Wingdings" w:hAnsi="Wingdings" w:hint="default"/>
      </w:rPr>
    </w:lvl>
  </w:abstractNum>
  <w:num w:numId="1" w16cid:durableId="1998610857">
    <w:abstractNumId w:val="16"/>
  </w:num>
  <w:num w:numId="2" w16cid:durableId="1324358431">
    <w:abstractNumId w:val="2"/>
  </w:num>
  <w:num w:numId="3" w16cid:durableId="1239748061">
    <w:abstractNumId w:val="0"/>
  </w:num>
  <w:num w:numId="4" w16cid:durableId="699282391">
    <w:abstractNumId w:val="11"/>
  </w:num>
  <w:num w:numId="5" w16cid:durableId="144317150">
    <w:abstractNumId w:val="9"/>
  </w:num>
  <w:num w:numId="6" w16cid:durableId="20658343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9211196">
    <w:abstractNumId w:val="24"/>
  </w:num>
  <w:num w:numId="8" w16cid:durableId="1787961889">
    <w:abstractNumId w:val="23"/>
  </w:num>
  <w:num w:numId="9" w16cid:durableId="374933843">
    <w:abstractNumId w:val="13"/>
  </w:num>
  <w:num w:numId="10" w16cid:durableId="1086343354">
    <w:abstractNumId w:val="12"/>
  </w:num>
  <w:num w:numId="11" w16cid:durableId="2128431361">
    <w:abstractNumId w:val="1"/>
  </w:num>
  <w:num w:numId="12" w16cid:durableId="500319522">
    <w:abstractNumId w:val="22"/>
  </w:num>
  <w:num w:numId="13" w16cid:durableId="1528061768">
    <w:abstractNumId w:val="14"/>
  </w:num>
  <w:num w:numId="14" w16cid:durableId="1727800935">
    <w:abstractNumId w:val="5"/>
  </w:num>
  <w:num w:numId="15" w16cid:durableId="772432341">
    <w:abstractNumId w:val="17"/>
  </w:num>
  <w:num w:numId="16" w16cid:durableId="1182285315">
    <w:abstractNumId w:val="8"/>
  </w:num>
  <w:num w:numId="17" w16cid:durableId="2125033506">
    <w:abstractNumId w:val="3"/>
  </w:num>
  <w:num w:numId="18" w16cid:durableId="210922041">
    <w:abstractNumId w:val="15"/>
  </w:num>
  <w:num w:numId="19" w16cid:durableId="660235383">
    <w:abstractNumId w:val="10"/>
  </w:num>
  <w:num w:numId="20" w16cid:durableId="718095292">
    <w:abstractNumId w:val="19"/>
  </w:num>
  <w:num w:numId="21" w16cid:durableId="261688664">
    <w:abstractNumId w:val="18"/>
  </w:num>
  <w:num w:numId="22" w16cid:durableId="517329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4588716">
    <w:abstractNumId w:val="25"/>
  </w:num>
  <w:num w:numId="24" w16cid:durableId="1800802711">
    <w:abstractNumId w:val="21"/>
  </w:num>
  <w:num w:numId="25" w16cid:durableId="1941185530">
    <w:abstractNumId w:val="4"/>
  </w:num>
  <w:num w:numId="26" w16cid:durableId="1271356443">
    <w:abstractNumId w:val="6"/>
  </w:num>
  <w:num w:numId="27" w16cid:durableId="995256370">
    <w:abstractNumId w:val="26"/>
  </w:num>
  <w:num w:numId="28" w16cid:durableId="110214387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V_QUERY_LIST_4F35BF76-6C0D-4D9B-82B2-816C12CF3733" w:val="empty_477D106A-C0D6-4607-AEBD-E2C9D60EA279"/>
  </w:docVars>
  <w:rsids>
    <w:rsidRoot w:val="00BA0F9A"/>
    <w:rsid w:val="0000093D"/>
    <w:rsid w:val="00001305"/>
    <w:rsid w:val="00001DDC"/>
    <w:rsid w:val="0000317A"/>
    <w:rsid w:val="00003814"/>
    <w:rsid w:val="000079C1"/>
    <w:rsid w:val="0001052E"/>
    <w:rsid w:val="00010995"/>
    <w:rsid w:val="0001106F"/>
    <w:rsid w:val="00011F64"/>
    <w:rsid w:val="00015E9A"/>
    <w:rsid w:val="0001762F"/>
    <w:rsid w:val="00017B47"/>
    <w:rsid w:val="00023850"/>
    <w:rsid w:val="0002508D"/>
    <w:rsid w:val="0002720F"/>
    <w:rsid w:val="00032277"/>
    <w:rsid w:val="000344ED"/>
    <w:rsid w:val="00037A9C"/>
    <w:rsid w:val="00037DE6"/>
    <w:rsid w:val="0004650E"/>
    <w:rsid w:val="000468B4"/>
    <w:rsid w:val="000577DC"/>
    <w:rsid w:val="00061427"/>
    <w:rsid w:val="00065593"/>
    <w:rsid w:val="00065E82"/>
    <w:rsid w:val="000701F6"/>
    <w:rsid w:val="00071F55"/>
    <w:rsid w:val="0007301D"/>
    <w:rsid w:val="000730D2"/>
    <w:rsid w:val="000737A8"/>
    <w:rsid w:val="0007485A"/>
    <w:rsid w:val="0007665E"/>
    <w:rsid w:val="00077224"/>
    <w:rsid w:val="00077A63"/>
    <w:rsid w:val="00082206"/>
    <w:rsid w:val="00082863"/>
    <w:rsid w:val="000854C8"/>
    <w:rsid w:val="000866B1"/>
    <w:rsid w:val="0009149C"/>
    <w:rsid w:val="00091EC2"/>
    <w:rsid w:val="00095730"/>
    <w:rsid w:val="00096278"/>
    <w:rsid w:val="00096CB6"/>
    <w:rsid w:val="000A010B"/>
    <w:rsid w:val="000A2C10"/>
    <w:rsid w:val="000A4418"/>
    <w:rsid w:val="000A56C8"/>
    <w:rsid w:val="000A5D05"/>
    <w:rsid w:val="000A5D20"/>
    <w:rsid w:val="000A6D13"/>
    <w:rsid w:val="000A7E9D"/>
    <w:rsid w:val="000B0850"/>
    <w:rsid w:val="000B2955"/>
    <w:rsid w:val="000B2BD1"/>
    <w:rsid w:val="000B2BE8"/>
    <w:rsid w:val="000B47CC"/>
    <w:rsid w:val="000B4B7E"/>
    <w:rsid w:val="000B4D19"/>
    <w:rsid w:val="000B5D99"/>
    <w:rsid w:val="000B717D"/>
    <w:rsid w:val="000C11D4"/>
    <w:rsid w:val="000C336A"/>
    <w:rsid w:val="000C3F13"/>
    <w:rsid w:val="000C573A"/>
    <w:rsid w:val="000C6218"/>
    <w:rsid w:val="000D1218"/>
    <w:rsid w:val="000D302A"/>
    <w:rsid w:val="000D3264"/>
    <w:rsid w:val="000D33CD"/>
    <w:rsid w:val="000E19D9"/>
    <w:rsid w:val="000E3135"/>
    <w:rsid w:val="000E46BF"/>
    <w:rsid w:val="000E51F6"/>
    <w:rsid w:val="000E7B77"/>
    <w:rsid w:val="000F1C8A"/>
    <w:rsid w:val="000F1FD0"/>
    <w:rsid w:val="000F21CF"/>
    <w:rsid w:val="000F3927"/>
    <w:rsid w:val="000F4AF2"/>
    <w:rsid w:val="000F569C"/>
    <w:rsid w:val="000F7ED9"/>
    <w:rsid w:val="00100598"/>
    <w:rsid w:val="0010207D"/>
    <w:rsid w:val="00102A83"/>
    <w:rsid w:val="00103C75"/>
    <w:rsid w:val="00104103"/>
    <w:rsid w:val="00104772"/>
    <w:rsid w:val="00106258"/>
    <w:rsid w:val="00106AD9"/>
    <w:rsid w:val="001077BB"/>
    <w:rsid w:val="00112A67"/>
    <w:rsid w:val="00114CD0"/>
    <w:rsid w:val="00114EF7"/>
    <w:rsid w:val="001152A6"/>
    <w:rsid w:val="00116A5A"/>
    <w:rsid w:val="00116D4E"/>
    <w:rsid w:val="00117801"/>
    <w:rsid w:val="001204E6"/>
    <w:rsid w:val="001211DE"/>
    <w:rsid w:val="00123CF4"/>
    <w:rsid w:val="001251DD"/>
    <w:rsid w:val="00126CF3"/>
    <w:rsid w:val="00133E99"/>
    <w:rsid w:val="00135252"/>
    <w:rsid w:val="001363EB"/>
    <w:rsid w:val="00136546"/>
    <w:rsid w:val="00137444"/>
    <w:rsid w:val="00137E49"/>
    <w:rsid w:val="00141323"/>
    <w:rsid w:val="001418C9"/>
    <w:rsid w:val="0014251E"/>
    <w:rsid w:val="00142912"/>
    <w:rsid w:val="001453F9"/>
    <w:rsid w:val="0015525D"/>
    <w:rsid w:val="00155A71"/>
    <w:rsid w:val="00161027"/>
    <w:rsid w:val="001622DC"/>
    <w:rsid w:val="00162E5D"/>
    <w:rsid w:val="001645B5"/>
    <w:rsid w:val="00166660"/>
    <w:rsid w:val="001677FF"/>
    <w:rsid w:val="00167C63"/>
    <w:rsid w:val="00170B5D"/>
    <w:rsid w:val="00174511"/>
    <w:rsid w:val="001754B0"/>
    <w:rsid w:val="0017593B"/>
    <w:rsid w:val="00175C61"/>
    <w:rsid w:val="00176EDA"/>
    <w:rsid w:val="00180352"/>
    <w:rsid w:val="0018365B"/>
    <w:rsid w:val="00185C55"/>
    <w:rsid w:val="00187408"/>
    <w:rsid w:val="00190F4A"/>
    <w:rsid w:val="00191329"/>
    <w:rsid w:val="00193496"/>
    <w:rsid w:val="0019440A"/>
    <w:rsid w:val="00195D9F"/>
    <w:rsid w:val="00196643"/>
    <w:rsid w:val="00197133"/>
    <w:rsid w:val="0019748B"/>
    <w:rsid w:val="0019769B"/>
    <w:rsid w:val="001A2466"/>
    <w:rsid w:val="001A3059"/>
    <w:rsid w:val="001A4537"/>
    <w:rsid w:val="001A58BC"/>
    <w:rsid w:val="001A682B"/>
    <w:rsid w:val="001B0314"/>
    <w:rsid w:val="001B0328"/>
    <w:rsid w:val="001B3ABA"/>
    <w:rsid w:val="001B4294"/>
    <w:rsid w:val="001B4E29"/>
    <w:rsid w:val="001B645E"/>
    <w:rsid w:val="001C0C7C"/>
    <w:rsid w:val="001C1FEA"/>
    <w:rsid w:val="001C2840"/>
    <w:rsid w:val="001C2AF2"/>
    <w:rsid w:val="001C5FC4"/>
    <w:rsid w:val="001D04C9"/>
    <w:rsid w:val="001D07BF"/>
    <w:rsid w:val="001D0F18"/>
    <w:rsid w:val="001D46BF"/>
    <w:rsid w:val="001E06F5"/>
    <w:rsid w:val="001E44AF"/>
    <w:rsid w:val="001F00E3"/>
    <w:rsid w:val="001F6507"/>
    <w:rsid w:val="001F6B76"/>
    <w:rsid w:val="00201631"/>
    <w:rsid w:val="002060AB"/>
    <w:rsid w:val="00211A95"/>
    <w:rsid w:val="00225E16"/>
    <w:rsid w:val="00226605"/>
    <w:rsid w:val="00231CE8"/>
    <w:rsid w:val="00235ED3"/>
    <w:rsid w:val="00235FD9"/>
    <w:rsid w:val="002361EF"/>
    <w:rsid w:val="002371CB"/>
    <w:rsid w:val="00237B10"/>
    <w:rsid w:val="00242E24"/>
    <w:rsid w:val="00243D44"/>
    <w:rsid w:val="00243F63"/>
    <w:rsid w:val="00244B40"/>
    <w:rsid w:val="002457F2"/>
    <w:rsid w:val="00251D7B"/>
    <w:rsid w:val="002530EC"/>
    <w:rsid w:val="00253FDA"/>
    <w:rsid w:val="00261072"/>
    <w:rsid w:val="002666DC"/>
    <w:rsid w:val="002704F0"/>
    <w:rsid w:val="00270A86"/>
    <w:rsid w:val="002716CC"/>
    <w:rsid w:val="00276D37"/>
    <w:rsid w:val="00277D44"/>
    <w:rsid w:val="00280169"/>
    <w:rsid w:val="00282BA9"/>
    <w:rsid w:val="0028494C"/>
    <w:rsid w:val="002921A2"/>
    <w:rsid w:val="002951EB"/>
    <w:rsid w:val="0029547F"/>
    <w:rsid w:val="002964FB"/>
    <w:rsid w:val="00296BE5"/>
    <w:rsid w:val="00297219"/>
    <w:rsid w:val="00297D56"/>
    <w:rsid w:val="002A0B64"/>
    <w:rsid w:val="002A3C2E"/>
    <w:rsid w:val="002A4D2C"/>
    <w:rsid w:val="002A5D9C"/>
    <w:rsid w:val="002A60F8"/>
    <w:rsid w:val="002B0586"/>
    <w:rsid w:val="002B0C73"/>
    <w:rsid w:val="002B38A0"/>
    <w:rsid w:val="002B5076"/>
    <w:rsid w:val="002B6003"/>
    <w:rsid w:val="002C0B17"/>
    <w:rsid w:val="002C0B88"/>
    <w:rsid w:val="002C250E"/>
    <w:rsid w:val="002C3ACC"/>
    <w:rsid w:val="002C70F5"/>
    <w:rsid w:val="002D1E12"/>
    <w:rsid w:val="002D4061"/>
    <w:rsid w:val="002D5DD8"/>
    <w:rsid w:val="002D6643"/>
    <w:rsid w:val="002E0CC0"/>
    <w:rsid w:val="002E2555"/>
    <w:rsid w:val="002E2F3F"/>
    <w:rsid w:val="002F0BE1"/>
    <w:rsid w:val="002F0C89"/>
    <w:rsid w:val="002F1BF0"/>
    <w:rsid w:val="002F2882"/>
    <w:rsid w:val="002F4285"/>
    <w:rsid w:val="002F4901"/>
    <w:rsid w:val="002F6039"/>
    <w:rsid w:val="002F6085"/>
    <w:rsid w:val="002F6F32"/>
    <w:rsid w:val="00300D47"/>
    <w:rsid w:val="003023C4"/>
    <w:rsid w:val="00302469"/>
    <w:rsid w:val="00302AEB"/>
    <w:rsid w:val="003033EA"/>
    <w:rsid w:val="003035EA"/>
    <w:rsid w:val="003051C4"/>
    <w:rsid w:val="003106BB"/>
    <w:rsid w:val="00311627"/>
    <w:rsid w:val="00311880"/>
    <w:rsid w:val="00312072"/>
    <w:rsid w:val="0031272E"/>
    <w:rsid w:val="0031517D"/>
    <w:rsid w:val="00316221"/>
    <w:rsid w:val="00322672"/>
    <w:rsid w:val="00322778"/>
    <w:rsid w:val="00325E69"/>
    <w:rsid w:val="00326C77"/>
    <w:rsid w:val="00327050"/>
    <w:rsid w:val="00327A15"/>
    <w:rsid w:val="00330F41"/>
    <w:rsid w:val="00331998"/>
    <w:rsid w:val="00331A5A"/>
    <w:rsid w:val="00332BA5"/>
    <w:rsid w:val="00333433"/>
    <w:rsid w:val="00334746"/>
    <w:rsid w:val="00334A9E"/>
    <w:rsid w:val="00334BD0"/>
    <w:rsid w:val="0033543A"/>
    <w:rsid w:val="00336433"/>
    <w:rsid w:val="00341090"/>
    <w:rsid w:val="00341C84"/>
    <w:rsid w:val="00341CB6"/>
    <w:rsid w:val="003475DF"/>
    <w:rsid w:val="00353747"/>
    <w:rsid w:val="0035427D"/>
    <w:rsid w:val="0035543A"/>
    <w:rsid w:val="00361C60"/>
    <w:rsid w:val="0036212A"/>
    <w:rsid w:val="00362560"/>
    <w:rsid w:val="00362E0C"/>
    <w:rsid w:val="00363FCF"/>
    <w:rsid w:val="00365502"/>
    <w:rsid w:val="003677E8"/>
    <w:rsid w:val="00367C7D"/>
    <w:rsid w:val="003705D1"/>
    <w:rsid w:val="00370BD2"/>
    <w:rsid w:val="00371740"/>
    <w:rsid w:val="00373F53"/>
    <w:rsid w:val="0037456D"/>
    <w:rsid w:val="003749DC"/>
    <w:rsid w:val="00375EF6"/>
    <w:rsid w:val="0038122B"/>
    <w:rsid w:val="00382411"/>
    <w:rsid w:val="00382B1D"/>
    <w:rsid w:val="00383E92"/>
    <w:rsid w:val="00385578"/>
    <w:rsid w:val="0038676B"/>
    <w:rsid w:val="00387D60"/>
    <w:rsid w:val="00387D66"/>
    <w:rsid w:val="00392AFA"/>
    <w:rsid w:val="00392EEC"/>
    <w:rsid w:val="00393993"/>
    <w:rsid w:val="00393DD9"/>
    <w:rsid w:val="00393E09"/>
    <w:rsid w:val="00395457"/>
    <w:rsid w:val="00395660"/>
    <w:rsid w:val="003959DF"/>
    <w:rsid w:val="00396745"/>
    <w:rsid w:val="003A1B4F"/>
    <w:rsid w:val="003A422E"/>
    <w:rsid w:val="003B7BFB"/>
    <w:rsid w:val="003B7E4F"/>
    <w:rsid w:val="003C04BA"/>
    <w:rsid w:val="003C04D0"/>
    <w:rsid w:val="003C1963"/>
    <w:rsid w:val="003C2749"/>
    <w:rsid w:val="003C7545"/>
    <w:rsid w:val="003C7A3D"/>
    <w:rsid w:val="003D130B"/>
    <w:rsid w:val="003D24AB"/>
    <w:rsid w:val="003D3A07"/>
    <w:rsid w:val="003D42DE"/>
    <w:rsid w:val="003D56BA"/>
    <w:rsid w:val="003D590E"/>
    <w:rsid w:val="003D6ADE"/>
    <w:rsid w:val="003D6D09"/>
    <w:rsid w:val="003E237E"/>
    <w:rsid w:val="003E2D60"/>
    <w:rsid w:val="003E3BCA"/>
    <w:rsid w:val="003E5343"/>
    <w:rsid w:val="003F0B2B"/>
    <w:rsid w:val="003F0E6F"/>
    <w:rsid w:val="003F1E17"/>
    <w:rsid w:val="003F2353"/>
    <w:rsid w:val="003F2F5E"/>
    <w:rsid w:val="0040003A"/>
    <w:rsid w:val="00400656"/>
    <w:rsid w:val="00401603"/>
    <w:rsid w:val="00405E2A"/>
    <w:rsid w:val="00410327"/>
    <w:rsid w:val="004137E6"/>
    <w:rsid w:val="00414D1E"/>
    <w:rsid w:val="00414DF8"/>
    <w:rsid w:val="00415280"/>
    <w:rsid w:val="004210C4"/>
    <w:rsid w:val="00424F82"/>
    <w:rsid w:val="00427710"/>
    <w:rsid w:val="004279C2"/>
    <w:rsid w:val="004318C2"/>
    <w:rsid w:val="004319EC"/>
    <w:rsid w:val="00431BAA"/>
    <w:rsid w:val="00432A97"/>
    <w:rsid w:val="00436AE1"/>
    <w:rsid w:val="00436CB0"/>
    <w:rsid w:val="00437CCA"/>
    <w:rsid w:val="00442694"/>
    <w:rsid w:val="00442C74"/>
    <w:rsid w:val="0045080F"/>
    <w:rsid w:val="00450A4D"/>
    <w:rsid w:val="004523B9"/>
    <w:rsid w:val="00453275"/>
    <w:rsid w:val="004541D4"/>
    <w:rsid w:val="00454BDE"/>
    <w:rsid w:val="00456302"/>
    <w:rsid w:val="004657D5"/>
    <w:rsid w:val="00466132"/>
    <w:rsid w:val="0047021A"/>
    <w:rsid w:val="00470A9F"/>
    <w:rsid w:val="00470B98"/>
    <w:rsid w:val="004743EF"/>
    <w:rsid w:val="00474480"/>
    <w:rsid w:val="00474A69"/>
    <w:rsid w:val="00474B29"/>
    <w:rsid w:val="00475368"/>
    <w:rsid w:val="00476FF5"/>
    <w:rsid w:val="00477FC3"/>
    <w:rsid w:val="0048074B"/>
    <w:rsid w:val="0048109C"/>
    <w:rsid w:val="004818D2"/>
    <w:rsid w:val="00481F90"/>
    <w:rsid w:val="00483B8D"/>
    <w:rsid w:val="00484E71"/>
    <w:rsid w:val="00485038"/>
    <w:rsid w:val="004869B2"/>
    <w:rsid w:val="00487284"/>
    <w:rsid w:val="0049058D"/>
    <w:rsid w:val="00491158"/>
    <w:rsid w:val="0049206F"/>
    <w:rsid w:val="00494CF5"/>
    <w:rsid w:val="004971DC"/>
    <w:rsid w:val="00497FF1"/>
    <w:rsid w:val="004A40CD"/>
    <w:rsid w:val="004A769A"/>
    <w:rsid w:val="004B081E"/>
    <w:rsid w:val="004B20EB"/>
    <w:rsid w:val="004B2CCF"/>
    <w:rsid w:val="004B4070"/>
    <w:rsid w:val="004B65B2"/>
    <w:rsid w:val="004B6966"/>
    <w:rsid w:val="004B6F9A"/>
    <w:rsid w:val="004C261D"/>
    <w:rsid w:val="004C3040"/>
    <w:rsid w:val="004C4119"/>
    <w:rsid w:val="004C51BB"/>
    <w:rsid w:val="004C562E"/>
    <w:rsid w:val="004C62AA"/>
    <w:rsid w:val="004C62BD"/>
    <w:rsid w:val="004C671F"/>
    <w:rsid w:val="004D1C07"/>
    <w:rsid w:val="004D1FF4"/>
    <w:rsid w:val="004E02E8"/>
    <w:rsid w:val="004E0D18"/>
    <w:rsid w:val="004E3B2F"/>
    <w:rsid w:val="004E5476"/>
    <w:rsid w:val="004E7177"/>
    <w:rsid w:val="004F60FD"/>
    <w:rsid w:val="004F70F9"/>
    <w:rsid w:val="004F7850"/>
    <w:rsid w:val="004F7BA6"/>
    <w:rsid w:val="005012B9"/>
    <w:rsid w:val="005014A6"/>
    <w:rsid w:val="005034F8"/>
    <w:rsid w:val="00504862"/>
    <w:rsid w:val="00507826"/>
    <w:rsid w:val="0050790C"/>
    <w:rsid w:val="0051200C"/>
    <w:rsid w:val="005137AD"/>
    <w:rsid w:val="00514AD4"/>
    <w:rsid w:val="00520EAE"/>
    <w:rsid w:val="00531CEB"/>
    <w:rsid w:val="00534432"/>
    <w:rsid w:val="005362D9"/>
    <w:rsid w:val="005363B7"/>
    <w:rsid w:val="00536BD3"/>
    <w:rsid w:val="005453F5"/>
    <w:rsid w:val="00545D6C"/>
    <w:rsid w:val="00546013"/>
    <w:rsid w:val="00546CC8"/>
    <w:rsid w:val="00550474"/>
    <w:rsid w:val="005536A4"/>
    <w:rsid w:val="005549D2"/>
    <w:rsid w:val="0055585B"/>
    <w:rsid w:val="0055695C"/>
    <w:rsid w:val="00561D74"/>
    <w:rsid w:val="00562184"/>
    <w:rsid w:val="00564669"/>
    <w:rsid w:val="0056524B"/>
    <w:rsid w:val="005658C7"/>
    <w:rsid w:val="005666B1"/>
    <w:rsid w:val="00567343"/>
    <w:rsid w:val="00571F8D"/>
    <w:rsid w:val="005729AE"/>
    <w:rsid w:val="00575295"/>
    <w:rsid w:val="00581B52"/>
    <w:rsid w:val="00581F6A"/>
    <w:rsid w:val="00586C95"/>
    <w:rsid w:val="00592231"/>
    <w:rsid w:val="00592559"/>
    <w:rsid w:val="00595E48"/>
    <w:rsid w:val="00596210"/>
    <w:rsid w:val="00596982"/>
    <w:rsid w:val="00597B3E"/>
    <w:rsid w:val="005A0DD4"/>
    <w:rsid w:val="005A2285"/>
    <w:rsid w:val="005A2C58"/>
    <w:rsid w:val="005A33D4"/>
    <w:rsid w:val="005A4D08"/>
    <w:rsid w:val="005A5B07"/>
    <w:rsid w:val="005A6D7B"/>
    <w:rsid w:val="005A7AB6"/>
    <w:rsid w:val="005B388F"/>
    <w:rsid w:val="005B45B4"/>
    <w:rsid w:val="005B6149"/>
    <w:rsid w:val="005B6612"/>
    <w:rsid w:val="005C3E68"/>
    <w:rsid w:val="005C694D"/>
    <w:rsid w:val="005D0396"/>
    <w:rsid w:val="005D12FC"/>
    <w:rsid w:val="005D1688"/>
    <w:rsid w:val="005E02FE"/>
    <w:rsid w:val="005E152C"/>
    <w:rsid w:val="005E4DD3"/>
    <w:rsid w:val="005E5395"/>
    <w:rsid w:val="005E57EA"/>
    <w:rsid w:val="005F013E"/>
    <w:rsid w:val="005F0420"/>
    <w:rsid w:val="005F04FD"/>
    <w:rsid w:val="005F08A4"/>
    <w:rsid w:val="005F0A1C"/>
    <w:rsid w:val="005F0E3E"/>
    <w:rsid w:val="005F1D6A"/>
    <w:rsid w:val="005F2E58"/>
    <w:rsid w:val="005F5848"/>
    <w:rsid w:val="00601921"/>
    <w:rsid w:val="0060361A"/>
    <w:rsid w:val="006079AB"/>
    <w:rsid w:val="00610911"/>
    <w:rsid w:val="00612C09"/>
    <w:rsid w:val="0061325D"/>
    <w:rsid w:val="0061796A"/>
    <w:rsid w:val="006216FA"/>
    <w:rsid w:val="00623955"/>
    <w:rsid w:val="00623FD3"/>
    <w:rsid w:val="00626185"/>
    <w:rsid w:val="00633542"/>
    <w:rsid w:val="00633937"/>
    <w:rsid w:val="00636896"/>
    <w:rsid w:val="00636B26"/>
    <w:rsid w:val="00637252"/>
    <w:rsid w:val="0064151F"/>
    <w:rsid w:val="006504A7"/>
    <w:rsid w:val="00655770"/>
    <w:rsid w:val="006569FE"/>
    <w:rsid w:val="006603D4"/>
    <w:rsid w:val="00661BF9"/>
    <w:rsid w:val="00670288"/>
    <w:rsid w:val="00672EC1"/>
    <w:rsid w:val="006759DE"/>
    <w:rsid w:val="00675EF8"/>
    <w:rsid w:val="006762A0"/>
    <w:rsid w:val="00676EC9"/>
    <w:rsid w:val="006772A2"/>
    <w:rsid w:val="00677C5D"/>
    <w:rsid w:val="00681F26"/>
    <w:rsid w:val="00685527"/>
    <w:rsid w:val="00691884"/>
    <w:rsid w:val="006940AF"/>
    <w:rsid w:val="006A43DC"/>
    <w:rsid w:val="006A4DCC"/>
    <w:rsid w:val="006A6D8E"/>
    <w:rsid w:val="006A6DD7"/>
    <w:rsid w:val="006A7852"/>
    <w:rsid w:val="006B00FC"/>
    <w:rsid w:val="006B1AC8"/>
    <w:rsid w:val="006B2EA0"/>
    <w:rsid w:val="006B3CDD"/>
    <w:rsid w:val="006B4737"/>
    <w:rsid w:val="006C0781"/>
    <w:rsid w:val="006C4D03"/>
    <w:rsid w:val="006D6D2A"/>
    <w:rsid w:val="006D758E"/>
    <w:rsid w:val="006D77E5"/>
    <w:rsid w:val="006E3BE7"/>
    <w:rsid w:val="006F1ABC"/>
    <w:rsid w:val="006F1E8D"/>
    <w:rsid w:val="006F24F3"/>
    <w:rsid w:val="006F4AE5"/>
    <w:rsid w:val="006F5155"/>
    <w:rsid w:val="006F766D"/>
    <w:rsid w:val="007006CB"/>
    <w:rsid w:val="007060E6"/>
    <w:rsid w:val="007117E5"/>
    <w:rsid w:val="007139C0"/>
    <w:rsid w:val="0071590F"/>
    <w:rsid w:val="00717937"/>
    <w:rsid w:val="00726A8B"/>
    <w:rsid w:val="00726F6B"/>
    <w:rsid w:val="00730D05"/>
    <w:rsid w:val="00733B4A"/>
    <w:rsid w:val="00737DF4"/>
    <w:rsid w:val="00740025"/>
    <w:rsid w:val="007412D1"/>
    <w:rsid w:val="00741399"/>
    <w:rsid w:val="007416A5"/>
    <w:rsid w:val="00743F82"/>
    <w:rsid w:val="00744B2D"/>
    <w:rsid w:val="00744BFA"/>
    <w:rsid w:val="007459EE"/>
    <w:rsid w:val="00745BF7"/>
    <w:rsid w:val="007472C6"/>
    <w:rsid w:val="00747C8C"/>
    <w:rsid w:val="007518A1"/>
    <w:rsid w:val="00752012"/>
    <w:rsid w:val="007524C7"/>
    <w:rsid w:val="00753C6A"/>
    <w:rsid w:val="00755910"/>
    <w:rsid w:val="00755D5D"/>
    <w:rsid w:val="00756A8D"/>
    <w:rsid w:val="00760F91"/>
    <w:rsid w:val="00761654"/>
    <w:rsid w:val="00761EA8"/>
    <w:rsid w:val="007638E8"/>
    <w:rsid w:val="007640C2"/>
    <w:rsid w:val="00771CBF"/>
    <w:rsid w:val="00774E07"/>
    <w:rsid w:val="00777988"/>
    <w:rsid w:val="007812FB"/>
    <w:rsid w:val="007817A7"/>
    <w:rsid w:val="00781C44"/>
    <w:rsid w:val="0078507D"/>
    <w:rsid w:val="00790065"/>
    <w:rsid w:val="00792999"/>
    <w:rsid w:val="00793756"/>
    <w:rsid w:val="0079697D"/>
    <w:rsid w:val="007A0732"/>
    <w:rsid w:val="007A2C74"/>
    <w:rsid w:val="007A3265"/>
    <w:rsid w:val="007A491B"/>
    <w:rsid w:val="007A5189"/>
    <w:rsid w:val="007A669A"/>
    <w:rsid w:val="007A6C36"/>
    <w:rsid w:val="007A700F"/>
    <w:rsid w:val="007A771E"/>
    <w:rsid w:val="007B012C"/>
    <w:rsid w:val="007B18AD"/>
    <w:rsid w:val="007B39C2"/>
    <w:rsid w:val="007B3B59"/>
    <w:rsid w:val="007C0B10"/>
    <w:rsid w:val="007C136A"/>
    <w:rsid w:val="007C29C6"/>
    <w:rsid w:val="007C29F6"/>
    <w:rsid w:val="007C448F"/>
    <w:rsid w:val="007C59D7"/>
    <w:rsid w:val="007D08AA"/>
    <w:rsid w:val="007D32E4"/>
    <w:rsid w:val="007D37C0"/>
    <w:rsid w:val="007D47D2"/>
    <w:rsid w:val="007D58CA"/>
    <w:rsid w:val="007D6F06"/>
    <w:rsid w:val="007E010C"/>
    <w:rsid w:val="007E295F"/>
    <w:rsid w:val="007E3739"/>
    <w:rsid w:val="007E3D14"/>
    <w:rsid w:val="007E7D17"/>
    <w:rsid w:val="007F3D1B"/>
    <w:rsid w:val="007F62EF"/>
    <w:rsid w:val="00800BDD"/>
    <w:rsid w:val="00801B48"/>
    <w:rsid w:val="008076AE"/>
    <w:rsid w:val="008103B5"/>
    <w:rsid w:val="0081307C"/>
    <w:rsid w:val="008133F8"/>
    <w:rsid w:val="0081701D"/>
    <w:rsid w:val="00820EBA"/>
    <w:rsid w:val="00823CF9"/>
    <w:rsid w:val="00826F71"/>
    <w:rsid w:val="00827AFC"/>
    <w:rsid w:val="00827C2A"/>
    <w:rsid w:val="00830C52"/>
    <w:rsid w:val="0083168D"/>
    <w:rsid w:val="0083313E"/>
    <w:rsid w:val="00836FF1"/>
    <w:rsid w:val="00840D13"/>
    <w:rsid w:val="008424FA"/>
    <w:rsid w:val="00844338"/>
    <w:rsid w:val="008503AE"/>
    <w:rsid w:val="00852548"/>
    <w:rsid w:val="00853B04"/>
    <w:rsid w:val="0085568C"/>
    <w:rsid w:val="00857A72"/>
    <w:rsid w:val="00863847"/>
    <w:rsid w:val="0086468B"/>
    <w:rsid w:val="00864817"/>
    <w:rsid w:val="0086551E"/>
    <w:rsid w:val="00865E4C"/>
    <w:rsid w:val="008667A5"/>
    <w:rsid w:val="00866A9C"/>
    <w:rsid w:val="0087185C"/>
    <w:rsid w:val="00872314"/>
    <w:rsid w:val="008756CD"/>
    <w:rsid w:val="008809EB"/>
    <w:rsid w:val="0088159F"/>
    <w:rsid w:val="00882F2F"/>
    <w:rsid w:val="0088325F"/>
    <w:rsid w:val="00887264"/>
    <w:rsid w:val="00887E2C"/>
    <w:rsid w:val="0089409E"/>
    <w:rsid w:val="0089772A"/>
    <w:rsid w:val="008A05B8"/>
    <w:rsid w:val="008A2425"/>
    <w:rsid w:val="008A2795"/>
    <w:rsid w:val="008A3127"/>
    <w:rsid w:val="008A49DB"/>
    <w:rsid w:val="008C0019"/>
    <w:rsid w:val="008C1C15"/>
    <w:rsid w:val="008C1C39"/>
    <w:rsid w:val="008C53A0"/>
    <w:rsid w:val="008C55DF"/>
    <w:rsid w:val="008C6FED"/>
    <w:rsid w:val="008C70A6"/>
    <w:rsid w:val="008D1B7B"/>
    <w:rsid w:val="008D4797"/>
    <w:rsid w:val="008D4F29"/>
    <w:rsid w:val="008D5313"/>
    <w:rsid w:val="008D5EB1"/>
    <w:rsid w:val="008E069A"/>
    <w:rsid w:val="008E0A25"/>
    <w:rsid w:val="008E27BA"/>
    <w:rsid w:val="008E5A13"/>
    <w:rsid w:val="008E6DC1"/>
    <w:rsid w:val="008E6EFA"/>
    <w:rsid w:val="008E7157"/>
    <w:rsid w:val="008F0608"/>
    <w:rsid w:val="008F24AD"/>
    <w:rsid w:val="008F2F42"/>
    <w:rsid w:val="008F3063"/>
    <w:rsid w:val="008F4E64"/>
    <w:rsid w:val="008F5AE5"/>
    <w:rsid w:val="008F6150"/>
    <w:rsid w:val="008F6841"/>
    <w:rsid w:val="00900074"/>
    <w:rsid w:val="00901CE5"/>
    <w:rsid w:val="0090244B"/>
    <w:rsid w:val="00902F70"/>
    <w:rsid w:val="009046E3"/>
    <w:rsid w:val="0090629B"/>
    <w:rsid w:val="0091028B"/>
    <w:rsid w:val="00912EA0"/>
    <w:rsid w:val="00915024"/>
    <w:rsid w:val="00923738"/>
    <w:rsid w:val="00927F50"/>
    <w:rsid w:val="00930E8C"/>
    <w:rsid w:val="00930F54"/>
    <w:rsid w:val="00931BE2"/>
    <w:rsid w:val="00933684"/>
    <w:rsid w:val="00934713"/>
    <w:rsid w:val="00934AE3"/>
    <w:rsid w:val="00936351"/>
    <w:rsid w:val="0093708A"/>
    <w:rsid w:val="00937F2E"/>
    <w:rsid w:val="0094030C"/>
    <w:rsid w:val="00943958"/>
    <w:rsid w:val="00947E9F"/>
    <w:rsid w:val="00950582"/>
    <w:rsid w:val="009505BD"/>
    <w:rsid w:val="00952063"/>
    <w:rsid w:val="00952904"/>
    <w:rsid w:val="009541DD"/>
    <w:rsid w:val="00954551"/>
    <w:rsid w:val="00954F5B"/>
    <w:rsid w:val="00956E89"/>
    <w:rsid w:val="009574FC"/>
    <w:rsid w:val="0096015A"/>
    <w:rsid w:val="00961D2D"/>
    <w:rsid w:val="00961F8C"/>
    <w:rsid w:val="009644DE"/>
    <w:rsid w:val="00964814"/>
    <w:rsid w:val="00965FEB"/>
    <w:rsid w:val="009676E6"/>
    <w:rsid w:val="009725BB"/>
    <w:rsid w:val="00975207"/>
    <w:rsid w:val="00981606"/>
    <w:rsid w:val="00981B04"/>
    <w:rsid w:val="00985659"/>
    <w:rsid w:val="00987D28"/>
    <w:rsid w:val="00993143"/>
    <w:rsid w:val="00993A49"/>
    <w:rsid w:val="00995502"/>
    <w:rsid w:val="00996411"/>
    <w:rsid w:val="00997B20"/>
    <w:rsid w:val="009A205E"/>
    <w:rsid w:val="009A4796"/>
    <w:rsid w:val="009A6AE6"/>
    <w:rsid w:val="009A6BAB"/>
    <w:rsid w:val="009A6FB8"/>
    <w:rsid w:val="009B0E52"/>
    <w:rsid w:val="009B1BC8"/>
    <w:rsid w:val="009B359F"/>
    <w:rsid w:val="009B4067"/>
    <w:rsid w:val="009C0723"/>
    <w:rsid w:val="009C0816"/>
    <w:rsid w:val="009C293F"/>
    <w:rsid w:val="009C2AC7"/>
    <w:rsid w:val="009C311E"/>
    <w:rsid w:val="009C5266"/>
    <w:rsid w:val="009C59A1"/>
    <w:rsid w:val="009C68A8"/>
    <w:rsid w:val="009D0CC6"/>
    <w:rsid w:val="009D0E2F"/>
    <w:rsid w:val="009D7A77"/>
    <w:rsid w:val="009D7E1E"/>
    <w:rsid w:val="009E4EC1"/>
    <w:rsid w:val="009E583F"/>
    <w:rsid w:val="009E589A"/>
    <w:rsid w:val="009F1186"/>
    <w:rsid w:val="009F1A5F"/>
    <w:rsid w:val="009F36A3"/>
    <w:rsid w:val="009F455F"/>
    <w:rsid w:val="009F5A60"/>
    <w:rsid w:val="009F6EB3"/>
    <w:rsid w:val="009F7104"/>
    <w:rsid w:val="009F7AFF"/>
    <w:rsid w:val="009F7C39"/>
    <w:rsid w:val="00A003C7"/>
    <w:rsid w:val="00A014D1"/>
    <w:rsid w:val="00A02587"/>
    <w:rsid w:val="00A04FBA"/>
    <w:rsid w:val="00A06DED"/>
    <w:rsid w:val="00A103B5"/>
    <w:rsid w:val="00A10905"/>
    <w:rsid w:val="00A16BC2"/>
    <w:rsid w:val="00A16F4B"/>
    <w:rsid w:val="00A17AE9"/>
    <w:rsid w:val="00A213FF"/>
    <w:rsid w:val="00A21BDA"/>
    <w:rsid w:val="00A22A99"/>
    <w:rsid w:val="00A22D51"/>
    <w:rsid w:val="00A22E98"/>
    <w:rsid w:val="00A24726"/>
    <w:rsid w:val="00A25239"/>
    <w:rsid w:val="00A275A8"/>
    <w:rsid w:val="00A30A65"/>
    <w:rsid w:val="00A317C4"/>
    <w:rsid w:val="00A32118"/>
    <w:rsid w:val="00A36B16"/>
    <w:rsid w:val="00A407F0"/>
    <w:rsid w:val="00A429E4"/>
    <w:rsid w:val="00A42A6B"/>
    <w:rsid w:val="00A4320C"/>
    <w:rsid w:val="00A43A8F"/>
    <w:rsid w:val="00A45313"/>
    <w:rsid w:val="00A46148"/>
    <w:rsid w:val="00A46612"/>
    <w:rsid w:val="00A46A98"/>
    <w:rsid w:val="00A551B7"/>
    <w:rsid w:val="00A571E1"/>
    <w:rsid w:val="00A572BD"/>
    <w:rsid w:val="00A60049"/>
    <w:rsid w:val="00A62021"/>
    <w:rsid w:val="00A6337A"/>
    <w:rsid w:val="00A63C0E"/>
    <w:rsid w:val="00A67DB0"/>
    <w:rsid w:val="00A776E6"/>
    <w:rsid w:val="00A77D9A"/>
    <w:rsid w:val="00A81F53"/>
    <w:rsid w:val="00A8485C"/>
    <w:rsid w:val="00A85223"/>
    <w:rsid w:val="00A85779"/>
    <w:rsid w:val="00A860F5"/>
    <w:rsid w:val="00A909F9"/>
    <w:rsid w:val="00A92F10"/>
    <w:rsid w:val="00AA29B9"/>
    <w:rsid w:val="00AA36A3"/>
    <w:rsid w:val="00AA4825"/>
    <w:rsid w:val="00AA55C1"/>
    <w:rsid w:val="00AA66CF"/>
    <w:rsid w:val="00AB5234"/>
    <w:rsid w:val="00AB79F8"/>
    <w:rsid w:val="00AC1319"/>
    <w:rsid w:val="00AC34BD"/>
    <w:rsid w:val="00AC4C26"/>
    <w:rsid w:val="00AD01EF"/>
    <w:rsid w:val="00AD136A"/>
    <w:rsid w:val="00AD17E3"/>
    <w:rsid w:val="00AD449E"/>
    <w:rsid w:val="00AD70B5"/>
    <w:rsid w:val="00AD73B1"/>
    <w:rsid w:val="00AE043A"/>
    <w:rsid w:val="00AE0C54"/>
    <w:rsid w:val="00AE21E1"/>
    <w:rsid w:val="00AE6176"/>
    <w:rsid w:val="00AE7DAD"/>
    <w:rsid w:val="00AF027D"/>
    <w:rsid w:val="00AF1F65"/>
    <w:rsid w:val="00AF2C65"/>
    <w:rsid w:val="00B0087C"/>
    <w:rsid w:val="00B00CDB"/>
    <w:rsid w:val="00B0189B"/>
    <w:rsid w:val="00B053F0"/>
    <w:rsid w:val="00B05882"/>
    <w:rsid w:val="00B06358"/>
    <w:rsid w:val="00B066E2"/>
    <w:rsid w:val="00B06DD0"/>
    <w:rsid w:val="00B0726D"/>
    <w:rsid w:val="00B07E58"/>
    <w:rsid w:val="00B11887"/>
    <w:rsid w:val="00B12C52"/>
    <w:rsid w:val="00B13491"/>
    <w:rsid w:val="00B158E5"/>
    <w:rsid w:val="00B16606"/>
    <w:rsid w:val="00B17FFA"/>
    <w:rsid w:val="00B24EE9"/>
    <w:rsid w:val="00B250ED"/>
    <w:rsid w:val="00B27EAA"/>
    <w:rsid w:val="00B30156"/>
    <w:rsid w:val="00B3042A"/>
    <w:rsid w:val="00B32865"/>
    <w:rsid w:val="00B32F77"/>
    <w:rsid w:val="00B376BB"/>
    <w:rsid w:val="00B42A12"/>
    <w:rsid w:val="00B45672"/>
    <w:rsid w:val="00B502DD"/>
    <w:rsid w:val="00B5157D"/>
    <w:rsid w:val="00B517BB"/>
    <w:rsid w:val="00B5444D"/>
    <w:rsid w:val="00B54FDA"/>
    <w:rsid w:val="00B55699"/>
    <w:rsid w:val="00B56A17"/>
    <w:rsid w:val="00B60D4C"/>
    <w:rsid w:val="00B63651"/>
    <w:rsid w:val="00B6376D"/>
    <w:rsid w:val="00B66C74"/>
    <w:rsid w:val="00B7008F"/>
    <w:rsid w:val="00B72F0B"/>
    <w:rsid w:val="00B73A6C"/>
    <w:rsid w:val="00B7610A"/>
    <w:rsid w:val="00B77579"/>
    <w:rsid w:val="00B810F7"/>
    <w:rsid w:val="00B852C8"/>
    <w:rsid w:val="00B85385"/>
    <w:rsid w:val="00B856B8"/>
    <w:rsid w:val="00B85CC2"/>
    <w:rsid w:val="00B8617B"/>
    <w:rsid w:val="00B87830"/>
    <w:rsid w:val="00B878E4"/>
    <w:rsid w:val="00B87C72"/>
    <w:rsid w:val="00B93A9C"/>
    <w:rsid w:val="00B95766"/>
    <w:rsid w:val="00B97C78"/>
    <w:rsid w:val="00BA04C0"/>
    <w:rsid w:val="00BA0F9A"/>
    <w:rsid w:val="00BA1FDE"/>
    <w:rsid w:val="00BA3880"/>
    <w:rsid w:val="00BA6147"/>
    <w:rsid w:val="00BA6F08"/>
    <w:rsid w:val="00BA75B1"/>
    <w:rsid w:val="00BA7A0C"/>
    <w:rsid w:val="00BB221F"/>
    <w:rsid w:val="00BB31A2"/>
    <w:rsid w:val="00BB4FE3"/>
    <w:rsid w:val="00BB76D7"/>
    <w:rsid w:val="00BC051C"/>
    <w:rsid w:val="00BC3201"/>
    <w:rsid w:val="00BC5D57"/>
    <w:rsid w:val="00BD0556"/>
    <w:rsid w:val="00BD0992"/>
    <w:rsid w:val="00BD09C0"/>
    <w:rsid w:val="00BD0BE2"/>
    <w:rsid w:val="00BD6870"/>
    <w:rsid w:val="00BD6D9E"/>
    <w:rsid w:val="00BD70C8"/>
    <w:rsid w:val="00BE002E"/>
    <w:rsid w:val="00BE1151"/>
    <w:rsid w:val="00BE15CA"/>
    <w:rsid w:val="00BE45F8"/>
    <w:rsid w:val="00BE68D2"/>
    <w:rsid w:val="00BE7112"/>
    <w:rsid w:val="00BF1FD0"/>
    <w:rsid w:val="00BF2D45"/>
    <w:rsid w:val="00BF4D6E"/>
    <w:rsid w:val="00BF66A8"/>
    <w:rsid w:val="00C0683B"/>
    <w:rsid w:val="00C06C50"/>
    <w:rsid w:val="00C07F1F"/>
    <w:rsid w:val="00C07F8C"/>
    <w:rsid w:val="00C103D5"/>
    <w:rsid w:val="00C108C3"/>
    <w:rsid w:val="00C1473A"/>
    <w:rsid w:val="00C20D55"/>
    <w:rsid w:val="00C23A58"/>
    <w:rsid w:val="00C2422C"/>
    <w:rsid w:val="00C2438B"/>
    <w:rsid w:val="00C247D4"/>
    <w:rsid w:val="00C26540"/>
    <w:rsid w:val="00C2775D"/>
    <w:rsid w:val="00C30067"/>
    <w:rsid w:val="00C328FC"/>
    <w:rsid w:val="00C33330"/>
    <w:rsid w:val="00C33ADE"/>
    <w:rsid w:val="00C419F2"/>
    <w:rsid w:val="00C42170"/>
    <w:rsid w:val="00C42F43"/>
    <w:rsid w:val="00C51610"/>
    <w:rsid w:val="00C51BD4"/>
    <w:rsid w:val="00C53088"/>
    <w:rsid w:val="00C5497C"/>
    <w:rsid w:val="00C563E6"/>
    <w:rsid w:val="00C57EB9"/>
    <w:rsid w:val="00C61361"/>
    <w:rsid w:val="00C62ACF"/>
    <w:rsid w:val="00C62E1F"/>
    <w:rsid w:val="00C654CD"/>
    <w:rsid w:val="00C65525"/>
    <w:rsid w:val="00C65A80"/>
    <w:rsid w:val="00C65C41"/>
    <w:rsid w:val="00C67C47"/>
    <w:rsid w:val="00C67F01"/>
    <w:rsid w:val="00C70BC9"/>
    <w:rsid w:val="00C71603"/>
    <w:rsid w:val="00C73EA1"/>
    <w:rsid w:val="00C8358B"/>
    <w:rsid w:val="00C83F99"/>
    <w:rsid w:val="00C84956"/>
    <w:rsid w:val="00C867EC"/>
    <w:rsid w:val="00C86A41"/>
    <w:rsid w:val="00C93F72"/>
    <w:rsid w:val="00C9680D"/>
    <w:rsid w:val="00C96DF2"/>
    <w:rsid w:val="00C97685"/>
    <w:rsid w:val="00C97EA7"/>
    <w:rsid w:val="00CA102D"/>
    <w:rsid w:val="00CA3CF0"/>
    <w:rsid w:val="00CA64C9"/>
    <w:rsid w:val="00CB0A29"/>
    <w:rsid w:val="00CB7387"/>
    <w:rsid w:val="00CB7441"/>
    <w:rsid w:val="00CB7848"/>
    <w:rsid w:val="00CB790B"/>
    <w:rsid w:val="00CC0FD0"/>
    <w:rsid w:val="00CD2AE5"/>
    <w:rsid w:val="00CD518E"/>
    <w:rsid w:val="00CD645C"/>
    <w:rsid w:val="00CD79DA"/>
    <w:rsid w:val="00CD7E11"/>
    <w:rsid w:val="00CE11C4"/>
    <w:rsid w:val="00CE2A7B"/>
    <w:rsid w:val="00CE2B66"/>
    <w:rsid w:val="00CE312E"/>
    <w:rsid w:val="00CE7444"/>
    <w:rsid w:val="00CE7C80"/>
    <w:rsid w:val="00CF056A"/>
    <w:rsid w:val="00CF190A"/>
    <w:rsid w:val="00CF54DA"/>
    <w:rsid w:val="00CF62F8"/>
    <w:rsid w:val="00CF7F50"/>
    <w:rsid w:val="00D010F2"/>
    <w:rsid w:val="00D016F7"/>
    <w:rsid w:val="00D02310"/>
    <w:rsid w:val="00D03BC7"/>
    <w:rsid w:val="00D0549A"/>
    <w:rsid w:val="00D07161"/>
    <w:rsid w:val="00D14137"/>
    <w:rsid w:val="00D14DCA"/>
    <w:rsid w:val="00D1569F"/>
    <w:rsid w:val="00D24D68"/>
    <w:rsid w:val="00D253F6"/>
    <w:rsid w:val="00D26A1A"/>
    <w:rsid w:val="00D27036"/>
    <w:rsid w:val="00D31646"/>
    <w:rsid w:val="00D32CF8"/>
    <w:rsid w:val="00D32F48"/>
    <w:rsid w:val="00D3384A"/>
    <w:rsid w:val="00D351A7"/>
    <w:rsid w:val="00D3567F"/>
    <w:rsid w:val="00D35AF0"/>
    <w:rsid w:val="00D3772B"/>
    <w:rsid w:val="00D3786C"/>
    <w:rsid w:val="00D442F8"/>
    <w:rsid w:val="00D44EEB"/>
    <w:rsid w:val="00D45472"/>
    <w:rsid w:val="00D46364"/>
    <w:rsid w:val="00D46395"/>
    <w:rsid w:val="00D46D2F"/>
    <w:rsid w:val="00D46E3B"/>
    <w:rsid w:val="00D50BFD"/>
    <w:rsid w:val="00D526A8"/>
    <w:rsid w:val="00D5510D"/>
    <w:rsid w:val="00D56EBA"/>
    <w:rsid w:val="00D5708F"/>
    <w:rsid w:val="00D63EA9"/>
    <w:rsid w:val="00D653D8"/>
    <w:rsid w:val="00D67681"/>
    <w:rsid w:val="00D67E33"/>
    <w:rsid w:val="00D713F2"/>
    <w:rsid w:val="00D76F78"/>
    <w:rsid w:val="00D82FBA"/>
    <w:rsid w:val="00D92FC3"/>
    <w:rsid w:val="00D93C2D"/>
    <w:rsid w:val="00D94FFA"/>
    <w:rsid w:val="00D95446"/>
    <w:rsid w:val="00D96974"/>
    <w:rsid w:val="00D96C5E"/>
    <w:rsid w:val="00DA1BA2"/>
    <w:rsid w:val="00DA3CE8"/>
    <w:rsid w:val="00DA6A64"/>
    <w:rsid w:val="00DA78CE"/>
    <w:rsid w:val="00DB026B"/>
    <w:rsid w:val="00DB3405"/>
    <w:rsid w:val="00DB4B85"/>
    <w:rsid w:val="00DB7A68"/>
    <w:rsid w:val="00DC0765"/>
    <w:rsid w:val="00DC11CF"/>
    <w:rsid w:val="00DC202E"/>
    <w:rsid w:val="00DC2553"/>
    <w:rsid w:val="00DC4974"/>
    <w:rsid w:val="00DC6859"/>
    <w:rsid w:val="00DD0330"/>
    <w:rsid w:val="00DD29F8"/>
    <w:rsid w:val="00DD3F8C"/>
    <w:rsid w:val="00DD65FC"/>
    <w:rsid w:val="00DD667A"/>
    <w:rsid w:val="00DD7415"/>
    <w:rsid w:val="00DE0BC8"/>
    <w:rsid w:val="00DE2BBD"/>
    <w:rsid w:val="00DE5A74"/>
    <w:rsid w:val="00DE5BF6"/>
    <w:rsid w:val="00DE683A"/>
    <w:rsid w:val="00DE6B4D"/>
    <w:rsid w:val="00DE6E1B"/>
    <w:rsid w:val="00DE70FF"/>
    <w:rsid w:val="00DF19B3"/>
    <w:rsid w:val="00DF424A"/>
    <w:rsid w:val="00DF440E"/>
    <w:rsid w:val="00DF54DD"/>
    <w:rsid w:val="00DF6263"/>
    <w:rsid w:val="00DF7BAD"/>
    <w:rsid w:val="00DF7C03"/>
    <w:rsid w:val="00E00E58"/>
    <w:rsid w:val="00E02F69"/>
    <w:rsid w:val="00E03471"/>
    <w:rsid w:val="00E0583E"/>
    <w:rsid w:val="00E1133A"/>
    <w:rsid w:val="00E14565"/>
    <w:rsid w:val="00E14EFA"/>
    <w:rsid w:val="00E154BD"/>
    <w:rsid w:val="00E21A23"/>
    <w:rsid w:val="00E21C94"/>
    <w:rsid w:val="00E23ACF"/>
    <w:rsid w:val="00E245D3"/>
    <w:rsid w:val="00E25A94"/>
    <w:rsid w:val="00E26251"/>
    <w:rsid w:val="00E26559"/>
    <w:rsid w:val="00E27CB8"/>
    <w:rsid w:val="00E27EA8"/>
    <w:rsid w:val="00E30989"/>
    <w:rsid w:val="00E30FAF"/>
    <w:rsid w:val="00E34FE2"/>
    <w:rsid w:val="00E35A07"/>
    <w:rsid w:val="00E36D5C"/>
    <w:rsid w:val="00E37C21"/>
    <w:rsid w:val="00E4050D"/>
    <w:rsid w:val="00E4106A"/>
    <w:rsid w:val="00E41DD3"/>
    <w:rsid w:val="00E44B07"/>
    <w:rsid w:val="00E450A9"/>
    <w:rsid w:val="00E47C32"/>
    <w:rsid w:val="00E50471"/>
    <w:rsid w:val="00E5057D"/>
    <w:rsid w:val="00E51D01"/>
    <w:rsid w:val="00E52222"/>
    <w:rsid w:val="00E53A10"/>
    <w:rsid w:val="00E57BAF"/>
    <w:rsid w:val="00E57BFA"/>
    <w:rsid w:val="00E612EC"/>
    <w:rsid w:val="00E61E61"/>
    <w:rsid w:val="00E635AA"/>
    <w:rsid w:val="00E6551D"/>
    <w:rsid w:val="00E6685D"/>
    <w:rsid w:val="00E66EE8"/>
    <w:rsid w:val="00E71AD4"/>
    <w:rsid w:val="00E73165"/>
    <w:rsid w:val="00E73C2F"/>
    <w:rsid w:val="00E74662"/>
    <w:rsid w:val="00E75563"/>
    <w:rsid w:val="00E75C2E"/>
    <w:rsid w:val="00E7717F"/>
    <w:rsid w:val="00E772DF"/>
    <w:rsid w:val="00E80D54"/>
    <w:rsid w:val="00E8196F"/>
    <w:rsid w:val="00E83B43"/>
    <w:rsid w:val="00E84AF7"/>
    <w:rsid w:val="00E860E5"/>
    <w:rsid w:val="00E9052B"/>
    <w:rsid w:val="00E926B2"/>
    <w:rsid w:val="00E92B32"/>
    <w:rsid w:val="00E93062"/>
    <w:rsid w:val="00E933BF"/>
    <w:rsid w:val="00E9482D"/>
    <w:rsid w:val="00E96302"/>
    <w:rsid w:val="00E96F7B"/>
    <w:rsid w:val="00EA0D1D"/>
    <w:rsid w:val="00EA1925"/>
    <w:rsid w:val="00EA3F20"/>
    <w:rsid w:val="00EA49EA"/>
    <w:rsid w:val="00EA62BE"/>
    <w:rsid w:val="00EA7B8F"/>
    <w:rsid w:val="00EB0F4D"/>
    <w:rsid w:val="00EB658A"/>
    <w:rsid w:val="00EC0863"/>
    <w:rsid w:val="00EC1A76"/>
    <w:rsid w:val="00EC2A92"/>
    <w:rsid w:val="00EC3567"/>
    <w:rsid w:val="00EC63FF"/>
    <w:rsid w:val="00EC6F17"/>
    <w:rsid w:val="00ED090C"/>
    <w:rsid w:val="00ED70D8"/>
    <w:rsid w:val="00ED7A5D"/>
    <w:rsid w:val="00EE1FB7"/>
    <w:rsid w:val="00EE4FF3"/>
    <w:rsid w:val="00EE5D55"/>
    <w:rsid w:val="00EE6C47"/>
    <w:rsid w:val="00EE6D05"/>
    <w:rsid w:val="00EF0841"/>
    <w:rsid w:val="00EF248E"/>
    <w:rsid w:val="00EF26D5"/>
    <w:rsid w:val="00EF2DF8"/>
    <w:rsid w:val="00EF3850"/>
    <w:rsid w:val="00EF56D4"/>
    <w:rsid w:val="00EF727F"/>
    <w:rsid w:val="00F002BD"/>
    <w:rsid w:val="00F002E3"/>
    <w:rsid w:val="00F00F3A"/>
    <w:rsid w:val="00F14820"/>
    <w:rsid w:val="00F1792F"/>
    <w:rsid w:val="00F2069B"/>
    <w:rsid w:val="00F21921"/>
    <w:rsid w:val="00F234DA"/>
    <w:rsid w:val="00F24B6A"/>
    <w:rsid w:val="00F26139"/>
    <w:rsid w:val="00F262FA"/>
    <w:rsid w:val="00F346D4"/>
    <w:rsid w:val="00F35470"/>
    <w:rsid w:val="00F3602E"/>
    <w:rsid w:val="00F40066"/>
    <w:rsid w:val="00F40EDF"/>
    <w:rsid w:val="00F41884"/>
    <w:rsid w:val="00F41A90"/>
    <w:rsid w:val="00F44644"/>
    <w:rsid w:val="00F46126"/>
    <w:rsid w:val="00F469F4"/>
    <w:rsid w:val="00F5053D"/>
    <w:rsid w:val="00F5074F"/>
    <w:rsid w:val="00F5190E"/>
    <w:rsid w:val="00F519FB"/>
    <w:rsid w:val="00F52712"/>
    <w:rsid w:val="00F529D4"/>
    <w:rsid w:val="00F52B6D"/>
    <w:rsid w:val="00F53C29"/>
    <w:rsid w:val="00F546A6"/>
    <w:rsid w:val="00F55E78"/>
    <w:rsid w:val="00F561C1"/>
    <w:rsid w:val="00F57B56"/>
    <w:rsid w:val="00F60AE1"/>
    <w:rsid w:val="00F60AFB"/>
    <w:rsid w:val="00F61F15"/>
    <w:rsid w:val="00F634D3"/>
    <w:rsid w:val="00F64AA7"/>
    <w:rsid w:val="00F65DE4"/>
    <w:rsid w:val="00F70DB4"/>
    <w:rsid w:val="00F715D6"/>
    <w:rsid w:val="00F74110"/>
    <w:rsid w:val="00F74D51"/>
    <w:rsid w:val="00F7644D"/>
    <w:rsid w:val="00F83AD7"/>
    <w:rsid w:val="00F92A9E"/>
    <w:rsid w:val="00F92DC6"/>
    <w:rsid w:val="00F95C20"/>
    <w:rsid w:val="00F960DA"/>
    <w:rsid w:val="00FA0A17"/>
    <w:rsid w:val="00FA1F2E"/>
    <w:rsid w:val="00FA267F"/>
    <w:rsid w:val="00FA44FE"/>
    <w:rsid w:val="00FA4C2E"/>
    <w:rsid w:val="00FA4F92"/>
    <w:rsid w:val="00FA65DB"/>
    <w:rsid w:val="00FB1785"/>
    <w:rsid w:val="00FB1D18"/>
    <w:rsid w:val="00FB413C"/>
    <w:rsid w:val="00FB554A"/>
    <w:rsid w:val="00FB5DC9"/>
    <w:rsid w:val="00FC0597"/>
    <w:rsid w:val="00FC172B"/>
    <w:rsid w:val="00FC43C0"/>
    <w:rsid w:val="00FC52E4"/>
    <w:rsid w:val="00FC5D3F"/>
    <w:rsid w:val="00FC6246"/>
    <w:rsid w:val="00FC65AB"/>
    <w:rsid w:val="00FD0449"/>
    <w:rsid w:val="00FD055A"/>
    <w:rsid w:val="00FD10B5"/>
    <w:rsid w:val="00FD14CE"/>
    <w:rsid w:val="00FD4857"/>
    <w:rsid w:val="00FD5FCF"/>
    <w:rsid w:val="00FD6058"/>
    <w:rsid w:val="00FD6437"/>
    <w:rsid w:val="00FE29AB"/>
    <w:rsid w:val="00FE32EF"/>
    <w:rsid w:val="00FE7E41"/>
    <w:rsid w:val="00FE7F84"/>
    <w:rsid w:val="00FF1489"/>
    <w:rsid w:val="00FF150D"/>
    <w:rsid w:val="00FF23FC"/>
    <w:rsid w:val="00FF4EDB"/>
    <w:rsid w:val="00FF58D3"/>
    <w:rsid w:val="00FF5EE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E1A80"/>
  <w15:docId w15:val="{FB5CF427-6C76-4867-87DB-E80C7F58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AE7DAD"/>
    <w:pPr>
      <w:ind w:left="1004"/>
      <w:jc w:val="both"/>
    </w:pPr>
    <w:rPr>
      <w:rFonts w:asciiTheme="minorHAnsi" w:hAnsiTheme="minorHAnsi" w:cstheme="minorHAnsi"/>
      <w:bCs/>
      <w:snapToGrid w:val="0"/>
      <w:sz w:val="18"/>
      <w:szCs w:val="24"/>
      <w:lang w:eastAsia="en-US"/>
    </w:rPr>
  </w:style>
  <w:style w:type="paragraph" w:styleId="Heading1">
    <w:name w:val="heading 1"/>
    <w:basedOn w:val="Normal"/>
    <w:next w:val="Normal"/>
    <w:link w:val="Heading1Char"/>
    <w:autoRedefine/>
    <w:qFormat/>
    <w:rsid w:val="00BA04C0"/>
    <w:pPr>
      <w:keepNext/>
      <w:spacing w:after="60"/>
      <w:ind w:left="0"/>
      <w:jc w:val="center"/>
      <w:outlineLvl w:val="0"/>
    </w:pPr>
    <w:rPr>
      <w:rFonts w:cs="Arial"/>
      <w:b/>
      <w:bCs w:val="0"/>
      <w:kern w:val="32"/>
      <w:sz w:val="22"/>
      <w:szCs w:val="32"/>
    </w:rPr>
  </w:style>
  <w:style w:type="paragraph" w:styleId="Heading2">
    <w:name w:val="heading 2"/>
    <w:basedOn w:val="Normal"/>
    <w:next w:val="Normal"/>
    <w:autoRedefine/>
    <w:qFormat/>
    <w:rsid w:val="005E02FE"/>
    <w:pPr>
      <w:keepNext/>
      <w:spacing w:before="240" w:after="60"/>
      <w:outlineLvl w:val="1"/>
    </w:pPr>
    <w:rPr>
      <w:rFonts w:cs="Arial"/>
      <w:b/>
      <w:bCs w:val="0"/>
      <w:iCs/>
      <w:szCs w:val="20"/>
    </w:rPr>
  </w:style>
  <w:style w:type="paragraph" w:styleId="Heading3">
    <w:name w:val="heading 3"/>
    <w:basedOn w:val="Normal"/>
    <w:next w:val="Normal"/>
    <w:autoRedefine/>
    <w:qFormat/>
    <w:rsid w:val="002530EC"/>
    <w:pPr>
      <w:keepNext/>
      <w:spacing w:before="240" w:after="60"/>
      <w:outlineLvl w:val="2"/>
    </w:pPr>
    <w:rPr>
      <w:rFonts w:cs="Arial"/>
      <w:bCs w:val="0"/>
      <w:szCs w:val="26"/>
      <w:u w:val="single"/>
    </w:rPr>
  </w:style>
  <w:style w:type="paragraph" w:styleId="Heading4">
    <w:name w:val="heading 4"/>
    <w:basedOn w:val="Normal"/>
    <w:next w:val="Normal"/>
    <w:qFormat/>
    <w:rsid w:val="006A6D8E"/>
    <w:pPr>
      <w:keepNext/>
      <w:spacing w:before="240" w:after="60"/>
      <w:outlineLvl w:val="3"/>
    </w:pPr>
    <w:rPr>
      <w:rFonts w:ascii="Times New Roman" w:hAnsi="Times New Roman"/>
      <w:b/>
      <w:bCs w:val="0"/>
      <w:sz w:val="28"/>
      <w:szCs w:val="28"/>
    </w:rPr>
  </w:style>
  <w:style w:type="paragraph" w:styleId="Heading5">
    <w:name w:val="heading 5"/>
    <w:basedOn w:val="Normal"/>
    <w:next w:val="Normal"/>
    <w:qFormat/>
    <w:rsid w:val="006A6D8E"/>
    <w:pPr>
      <w:spacing w:before="240" w:after="60"/>
      <w:outlineLvl w:val="4"/>
    </w:pPr>
    <w:rPr>
      <w:b/>
      <w:bCs w:val="0"/>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2530EC"/>
    <w:pPr>
      <w:ind w:left="200"/>
    </w:pPr>
    <w:rPr>
      <w:bCs w:val="0"/>
      <w:smallCaps/>
      <w:szCs w:val="20"/>
    </w:rPr>
  </w:style>
  <w:style w:type="paragraph" w:styleId="TOC1">
    <w:name w:val="toc 1"/>
    <w:basedOn w:val="Normal"/>
    <w:next w:val="Normal"/>
    <w:autoRedefine/>
    <w:uiPriority w:val="39"/>
    <w:qFormat/>
    <w:rsid w:val="002A3C2E"/>
    <w:pPr>
      <w:spacing w:before="120" w:after="120"/>
    </w:pPr>
    <w:rPr>
      <w:b/>
      <w:caps/>
      <w:szCs w:val="20"/>
    </w:rPr>
  </w:style>
  <w:style w:type="character" w:styleId="Hyperlink">
    <w:name w:val="Hyperlink"/>
    <w:uiPriority w:val="99"/>
    <w:rsid w:val="002530EC"/>
    <w:rPr>
      <w:color w:val="0000FF"/>
      <w:u w:val="single"/>
    </w:rPr>
  </w:style>
  <w:style w:type="paragraph" w:styleId="Header">
    <w:name w:val="header"/>
    <w:basedOn w:val="Normal"/>
    <w:rsid w:val="008503AE"/>
    <w:pPr>
      <w:tabs>
        <w:tab w:val="center" w:pos="4320"/>
        <w:tab w:val="right" w:pos="8640"/>
      </w:tabs>
    </w:pPr>
  </w:style>
  <w:style w:type="paragraph" w:styleId="Footer">
    <w:name w:val="footer"/>
    <w:basedOn w:val="Normal"/>
    <w:link w:val="FooterChar"/>
    <w:uiPriority w:val="99"/>
    <w:rsid w:val="008503AE"/>
    <w:pPr>
      <w:tabs>
        <w:tab w:val="center" w:pos="4320"/>
        <w:tab w:val="right" w:pos="8640"/>
      </w:tabs>
    </w:pPr>
  </w:style>
  <w:style w:type="character" w:styleId="PageNumber">
    <w:name w:val="page number"/>
    <w:basedOn w:val="DefaultParagraphFont"/>
    <w:rsid w:val="00BA7A0C"/>
  </w:style>
  <w:style w:type="paragraph" w:customStyle="1" w:styleId="Char2CharCharCharCharCharCharCharCharCharCharChar">
    <w:name w:val="Char2 Char Char Char Char Char Char Char Char Char Char Char"/>
    <w:basedOn w:val="Normal"/>
    <w:semiHidden/>
    <w:rsid w:val="006A6D8E"/>
    <w:pPr>
      <w:spacing w:after="160" w:line="240" w:lineRule="exact"/>
    </w:pPr>
    <w:rPr>
      <w:rFonts w:ascii="Verdana" w:hAnsi="Verdana"/>
      <w:szCs w:val="20"/>
      <w:lang w:val="en-US"/>
    </w:rPr>
  </w:style>
  <w:style w:type="table" w:styleId="TableGrid">
    <w:name w:val="Table Grid"/>
    <w:basedOn w:val="TableNormal"/>
    <w:uiPriority w:val="59"/>
    <w:rsid w:val="006A6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A6D8E"/>
    <w:rPr>
      <w:rFonts w:ascii="Times New Roman" w:hAnsi="Times New Roman"/>
      <w:color w:val="000000"/>
      <w:szCs w:val="20"/>
    </w:rPr>
  </w:style>
  <w:style w:type="paragraph" w:styleId="BodyText3">
    <w:name w:val="Body Text 3"/>
    <w:basedOn w:val="Normal"/>
    <w:rsid w:val="006A6D8E"/>
    <w:rPr>
      <w:rFonts w:ascii="Times New Roman" w:hAnsi="Times New Roman"/>
      <w:szCs w:val="20"/>
    </w:rPr>
  </w:style>
  <w:style w:type="table" w:styleId="TableProfessional">
    <w:name w:val="Table Professional"/>
    <w:basedOn w:val="TableNormal"/>
    <w:rsid w:val="006A6D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PinkBookFootnote">
    <w:name w:val="Pink Book Footnote"/>
    <w:next w:val="Normal"/>
    <w:rsid w:val="006A6D8E"/>
    <w:pPr>
      <w:tabs>
        <w:tab w:val="num" w:pos="360"/>
      </w:tabs>
      <w:ind w:left="360" w:hanging="360"/>
      <w:jc w:val="both"/>
    </w:pPr>
    <w:rPr>
      <w:rFonts w:ascii="Arial" w:eastAsia="MS Mincho" w:hAnsi="Arial" w:cs="Arial"/>
      <w:i/>
      <w:sz w:val="16"/>
      <w:szCs w:val="22"/>
      <w:lang w:eastAsia="en-GB"/>
    </w:rPr>
  </w:style>
  <w:style w:type="paragraph" w:styleId="ListParagraph">
    <w:name w:val="List Paragraph"/>
    <w:basedOn w:val="Normal"/>
    <w:uiPriority w:val="34"/>
    <w:qFormat/>
    <w:rsid w:val="006D6D2A"/>
    <w:pPr>
      <w:ind w:left="720"/>
    </w:pPr>
  </w:style>
  <w:style w:type="paragraph" w:styleId="TableofFigures">
    <w:name w:val="table of figures"/>
    <w:basedOn w:val="Normal"/>
    <w:next w:val="Normal"/>
    <w:semiHidden/>
    <w:rsid w:val="004C4119"/>
    <w:pPr>
      <w:ind w:left="400" w:hanging="400"/>
    </w:pPr>
  </w:style>
  <w:style w:type="paragraph" w:styleId="BalloonText">
    <w:name w:val="Balloon Text"/>
    <w:basedOn w:val="Normal"/>
    <w:link w:val="BalloonTextChar"/>
    <w:uiPriority w:val="99"/>
    <w:semiHidden/>
    <w:unhideWhenUsed/>
    <w:rsid w:val="00061427"/>
    <w:rPr>
      <w:rFonts w:ascii="Tahoma" w:hAnsi="Tahoma" w:cs="Tahoma"/>
      <w:sz w:val="16"/>
      <w:szCs w:val="16"/>
    </w:rPr>
  </w:style>
  <w:style w:type="character" w:customStyle="1" w:styleId="BalloonTextChar">
    <w:name w:val="Balloon Text Char"/>
    <w:link w:val="BalloonText"/>
    <w:uiPriority w:val="99"/>
    <w:semiHidden/>
    <w:rsid w:val="00061427"/>
    <w:rPr>
      <w:rFonts w:ascii="Tahoma" w:hAnsi="Tahoma" w:cs="Tahoma"/>
      <w:sz w:val="16"/>
      <w:szCs w:val="16"/>
      <w:lang w:eastAsia="en-GB"/>
    </w:rPr>
  </w:style>
  <w:style w:type="paragraph" w:customStyle="1" w:styleId="Char2CharCharCharCharCharCharCharCharCharCharChar0">
    <w:name w:val="Char2 Char Char Char Char Char Char Char Char Char Char Char"/>
    <w:basedOn w:val="Normal"/>
    <w:semiHidden/>
    <w:rsid w:val="00B56A17"/>
    <w:pPr>
      <w:spacing w:after="160" w:line="240" w:lineRule="exact"/>
    </w:pPr>
    <w:rPr>
      <w:rFonts w:ascii="Verdana" w:hAnsi="Verdana"/>
      <w:szCs w:val="20"/>
      <w:lang w:val="en-US"/>
    </w:rPr>
  </w:style>
  <w:style w:type="paragraph" w:customStyle="1" w:styleId="Char2CharCharCharCharCharCharCharCharCharCharChar1">
    <w:name w:val="Char2 Char Char Char Char Char Char Char Char Char Char Char"/>
    <w:basedOn w:val="Normal"/>
    <w:semiHidden/>
    <w:rsid w:val="0071590F"/>
    <w:pPr>
      <w:spacing w:after="160" w:line="240" w:lineRule="exact"/>
    </w:pPr>
    <w:rPr>
      <w:rFonts w:ascii="Verdana" w:hAnsi="Verdana"/>
      <w:szCs w:val="20"/>
      <w:lang w:val="en-US"/>
    </w:rPr>
  </w:style>
  <w:style w:type="paragraph" w:customStyle="1" w:styleId="Char2CharCharCharCharCharCharCharCharCharCharChar2">
    <w:name w:val="Char2 Char Char Char Char Char Char Char Char Char Char Char"/>
    <w:basedOn w:val="Normal"/>
    <w:semiHidden/>
    <w:rsid w:val="00D82FBA"/>
    <w:pPr>
      <w:spacing w:after="160" w:line="240" w:lineRule="exact"/>
    </w:pPr>
    <w:rPr>
      <w:rFonts w:ascii="Verdana" w:hAnsi="Verdana"/>
      <w:szCs w:val="20"/>
      <w:lang w:val="en-US"/>
    </w:rPr>
  </w:style>
  <w:style w:type="paragraph" w:styleId="TOCHeading">
    <w:name w:val="TOC Heading"/>
    <w:basedOn w:val="Heading1"/>
    <w:next w:val="Normal"/>
    <w:uiPriority w:val="39"/>
    <w:semiHidden/>
    <w:unhideWhenUsed/>
    <w:qFormat/>
    <w:rsid w:val="00A22A99"/>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styleId="TOC3">
    <w:name w:val="toc 3"/>
    <w:basedOn w:val="Normal"/>
    <w:next w:val="Normal"/>
    <w:autoRedefine/>
    <w:uiPriority w:val="39"/>
    <w:unhideWhenUsed/>
    <w:qFormat/>
    <w:rsid w:val="00A22A99"/>
    <w:pPr>
      <w:ind w:left="400"/>
    </w:pPr>
    <w:rPr>
      <w:bCs w:val="0"/>
      <w:i/>
      <w:iCs/>
      <w:szCs w:val="20"/>
    </w:rPr>
  </w:style>
  <w:style w:type="paragraph" w:styleId="TOC4">
    <w:name w:val="toc 4"/>
    <w:basedOn w:val="Normal"/>
    <w:next w:val="Normal"/>
    <w:autoRedefine/>
    <w:uiPriority w:val="39"/>
    <w:unhideWhenUsed/>
    <w:rsid w:val="00A22A99"/>
    <w:pPr>
      <w:ind w:left="600"/>
    </w:pPr>
    <w:rPr>
      <w:bCs w:val="0"/>
      <w:szCs w:val="18"/>
    </w:rPr>
  </w:style>
  <w:style w:type="paragraph" w:styleId="TOC5">
    <w:name w:val="toc 5"/>
    <w:basedOn w:val="Normal"/>
    <w:next w:val="Normal"/>
    <w:autoRedefine/>
    <w:uiPriority w:val="39"/>
    <w:unhideWhenUsed/>
    <w:rsid w:val="00A22A99"/>
    <w:pPr>
      <w:ind w:left="800"/>
    </w:pPr>
    <w:rPr>
      <w:bCs w:val="0"/>
      <w:szCs w:val="18"/>
    </w:rPr>
  </w:style>
  <w:style w:type="paragraph" w:styleId="TOC6">
    <w:name w:val="toc 6"/>
    <w:basedOn w:val="Normal"/>
    <w:next w:val="Normal"/>
    <w:autoRedefine/>
    <w:uiPriority w:val="39"/>
    <w:unhideWhenUsed/>
    <w:rsid w:val="00A22A99"/>
    <w:pPr>
      <w:ind w:left="1000"/>
    </w:pPr>
    <w:rPr>
      <w:bCs w:val="0"/>
      <w:szCs w:val="18"/>
    </w:rPr>
  </w:style>
  <w:style w:type="paragraph" w:styleId="TOC7">
    <w:name w:val="toc 7"/>
    <w:basedOn w:val="Normal"/>
    <w:next w:val="Normal"/>
    <w:autoRedefine/>
    <w:uiPriority w:val="39"/>
    <w:unhideWhenUsed/>
    <w:rsid w:val="00A22A99"/>
    <w:pPr>
      <w:ind w:left="1200"/>
    </w:pPr>
    <w:rPr>
      <w:bCs w:val="0"/>
      <w:szCs w:val="18"/>
    </w:rPr>
  </w:style>
  <w:style w:type="paragraph" w:styleId="TOC8">
    <w:name w:val="toc 8"/>
    <w:basedOn w:val="Normal"/>
    <w:next w:val="Normal"/>
    <w:autoRedefine/>
    <w:uiPriority w:val="39"/>
    <w:unhideWhenUsed/>
    <w:rsid w:val="00A22A99"/>
    <w:pPr>
      <w:ind w:left="1400"/>
    </w:pPr>
    <w:rPr>
      <w:bCs w:val="0"/>
      <w:szCs w:val="18"/>
    </w:rPr>
  </w:style>
  <w:style w:type="paragraph" w:styleId="TOC9">
    <w:name w:val="toc 9"/>
    <w:basedOn w:val="Normal"/>
    <w:next w:val="Normal"/>
    <w:autoRedefine/>
    <w:uiPriority w:val="39"/>
    <w:unhideWhenUsed/>
    <w:rsid w:val="00A22A99"/>
    <w:pPr>
      <w:ind w:left="1600"/>
    </w:pPr>
    <w:rPr>
      <w:bCs w:val="0"/>
      <w:szCs w:val="18"/>
    </w:rPr>
  </w:style>
  <w:style w:type="character" w:styleId="FollowedHyperlink">
    <w:name w:val="FollowedHyperlink"/>
    <w:basedOn w:val="DefaultParagraphFont"/>
    <w:uiPriority w:val="99"/>
    <w:semiHidden/>
    <w:unhideWhenUsed/>
    <w:rsid w:val="005A6D7B"/>
    <w:rPr>
      <w:color w:val="800080" w:themeColor="followedHyperlink"/>
      <w:u w:val="single"/>
    </w:rPr>
  </w:style>
  <w:style w:type="character" w:customStyle="1" w:styleId="UnresolvedMention1">
    <w:name w:val="Unresolved Mention1"/>
    <w:basedOn w:val="DefaultParagraphFont"/>
    <w:uiPriority w:val="99"/>
    <w:semiHidden/>
    <w:unhideWhenUsed/>
    <w:rsid w:val="0089409E"/>
    <w:rPr>
      <w:color w:val="605E5C"/>
      <w:shd w:val="clear" w:color="auto" w:fill="E1DFDD"/>
    </w:rPr>
  </w:style>
  <w:style w:type="table" w:styleId="LightGrid-Accent3">
    <w:name w:val="Light Grid Accent 3"/>
    <w:basedOn w:val="TableNormal"/>
    <w:uiPriority w:val="62"/>
    <w:rsid w:val="00133E9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dTable7Colorful-Accent6">
    <w:name w:val="Grid Table 7 Colorful Accent 6"/>
    <w:basedOn w:val="TableNormal"/>
    <w:uiPriority w:val="52"/>
    <w:rsid w:val="008133F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Accent2">
    <w:name w:val="List Table 1 Light Accent 2"/>
    <w:basedOn w:val="TableNormal"/>
    <w:uiPriority w:val="46"/>
    <w:rsid w:val="008133F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Bodytext0">
    <w:name w:val="Bodytext_0"/>
    <w:basedOn w:val="Normal"/>
    <w:next w:val="Normal"/>
    <w:rsid w:val="000D3264"/>
    <w:pPr>
      <w:spacing w:after="100"/>
      <w:ind w:left="0"/>
      <w:jc w:val="left"/>
    </w:pPr>
    <w:rPr>
      <w:rFonts w:ascii="ITC Stone Sans Std Medium" w:eastAsia="Cambria" w:hAnsi="ITC Stone Sans Std Medium" w:cs="Times New Roman"/>
      <w:bCs w:val="0"/>
      <w:snapToGrid/>
      <w:color w:val="000000"/>
      <w:sz w:val="17"/>
      <w:szCs w:val="16"/>
    </w:rPr>
  </w:style>
  <w:style w:type="character" w:customStyle="1" w:styleId="FooterChar">
    <w:name w:val="Footer Char"/>
    <w:basedOn w:val="DefaultParagraphFont"/>
    <w:link w:val="Footer"/>
    <w:uiPriority w:val="99"/>
    <w:rsid w:val="000D3264"/>
    <w:rPr>
      <w:rFonts w:asciiTheme="minorHAnsi" w:hAnsiTheme="minorHAnsi" w:cstheme="minorHAnsi"/>
      <w:bCs/>
      <w:snapToGrid w:val="0"/>
      <w:sz w:val="18"/>
      <w:szCs w:val="24"/>
      <w:lang w:eastAsia="en-US"/>
    </w:rPr>
  </w:style>
  <w:style w:type="character" w:customStyle="1" w:styleId="Heading1Char">
    <w:name w:val="Heading 1 Char"/>
    <w:basedOn w:val="DefaultParagraphFont"/>
    <w:link w:val="Heading1"/>
    <w:rsid w:val="00BA04C0"/>
    <w:rPr>
      <w:rFonts w:asciiTheme="minorHAnsi" w:hAnsiTheme="minorHAnsi" w:cs="Arial"/>
      <w:b/>
      <w:snapToGrid w:val="0"/>
      <w:kern w:val="32"/>
      <w:sz w:val="2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791">
      <w:bodyDiv w:val="1"/>
      <w:marLeft w:val="0"/>
      <w:marRight w:val="0"/>
      <w:marTop w:val="0"/>
      <w:marBottom w:val="0"/>
      <w:divBdr>
        <w:top w:val="none" w:sz="0" w:space="0" w:color="auto"/>
        <w:left w:val="none" w:sz="0" w:space="0" w:color="auto"/>
        <w:bottom w:val="none" w:sz="0" w:space="0" w:color="auto"/>
        <w:right w:val="none" w:sz="0" w:space="0" w:color="auto"/>
      </w:divBdr>
    </w:div>
    <w:div w:id="85466173">
      <w:bodyDiv w:val="1"/>
      <w:marLeft w:val="0"/>
      <w:marRight w:val="0"/>
      <w:marTop w:val="0"/>
      <w:marBottom w:val="0"/>
      <w:divBdr>
        <w:top w:val="none" w:sz="0" w:space="0" w:color="auto"/>
        <w:left w:val="none" w:sz="0" w:space="0" w:color="auto"/>
        <w:bottom w:val="none" w:sz="0" w:space="0" w:color="auto"/>
        <w:right w:val="none" w:sz="0" w:space="0" w:color="auto"/>
      </w:divBdr>
    </w:div>
    <w:div w:id="102843022">
      <w:bodyDiv w:val="1"/>
      <w:marLeft w:val="0"/>
      <w:marRight w:val="0"/>
      <w:marTop w:val="0"/>
      <w:marBottom w:val="0"/>
      <w:divBdr>
        <w:top w:val="none" w:sz="0" w:space="0" w:color="auto"/>
        <w:left w:val="none" w:sz="0" w:space="0" w:color="auto"/>
        <w:bottom w:val="none" w:sz="0" w:space="0" w:color="auto"/>
        <w:right w:val="none" w:sz="0" w:space="0" w:color="auto"/>
      </w:divBdr>
    </w:div>
    <w:div w:id="191500625">
      <w:bodyDiv w:val="1"/>
      <w:marLeft w:val="0"/>
      <w:marRight w:val="0"/>
      <w:marTop w:val="0"/>
      <w:marBottom w:val="0"/>
      <w:divBdr>
        <w:top w:val="none" w:sz="0" w:space="0" w:color="auto"/>
        <w:left w:val="none" w:sz="0" w:space="0" w:color="auto"/>
        <w:bottom w:val="none" w:sz="0" w:space="0" w:color="auto"/>
        <w:right w:val="none" w:sz="0" w:space="0" w:color="auto"/>
      </w:divBdr>
    </w:div>
    <w:div w:id="289360357">
      <w:bodyDiv w:val="1"/>
      <w:marLeft w:val="0"/>
      <w:marRight w:val="0"/>
      <w:marTop w:val="0"/>
      <w:marBottom w:val="0"/>
      <w:divBdr>
        <w:top w:val="none" w:sz="0" w:space="0" w:color="auto"/>
        <w:left w:val="none" w:sz="0" w:space="0" w:color="auto"/>
        <w:bottom w:val="none" w:sz="0" w:space="0" w:color="auto"/>
        <w:right w:val="none" w:sz="0" w:space="0" w:color="auto"/>
      </w:divBdr>
    </w:div>
    <w:div w:id="682172262">
      <w:bodyDiv w:val="1"/>
      <w:marLeft w:val="0"/>
      <w:marRight w:val="0"/>
      <w:marTop w:val="0"/>
      <w:marBottom w:val="0"/>
      <w:divBdr>
        <w:top w:val="none" w:sz="0" w:space="0" w:color="auto"/>
        <w:left w:val="none" w:sz="0" w:space="0" w:color="auto"/>
        <w:bottom w:val="none" w:sz="0" w:space="0" w:color="auto"/>
        <w:right w:val="none" w:sz="0" w:space="0" w:color="auto"/>
      </w:divBdr>
    </w:div>
    <w:div w:id="683553786">
      <w:bodyDiv w:val="1"/>
      <w:marLeft w:val="0"/>
      <w:marRight w:val="0"/>
      <w:marTop w:val="0"/>
      <w:marBottom w:val="0"/>
      <w:divBdr>
        <w:top w:val="none" w:sz="0" w:space="0" w:color="auto"/>
        <w:left w:val="none" w:sz="0" w:space="0" w:color="auto"/>
        <w:bottom w:val="none" w:sz="0" w:space="0" w:color="auto"/>
        <w:right w:val="none" w:sz="0" w:space="0" w:color="auto"/>
      </w:divBdr>
      <w:divsChild>
        <w:div w:id="1277756267">
          <w:marLeft w:val="446"/>
          <w:marRight w:val="0"/>
          <w:marTop w:val="0"/>
          <w:marBottom w:val="0"/>
          <w:divBdr>
            <w:top w:val="none" w:sz="0" w:space="0" w:color="auto"/>
            <w:left w:val="none" w:sz="0" w:space="0" w:color="auto"/>
            <w:bottom w:val="none" w:sz="0" w:space="0" w:color="auto"/>
            <w:right w:val="none" w:sz="0" w:space="0" w:color="auto"/>
          </w:divBdr>
        </w:div>
      </w:divsChild>
    </w:div>
    <w:div w:id="731975053">
      <w:bodyDiv w:val="1"/>
      <w:marLeft w:val="0"/>
      <w:marRight w:val="0"/>
      <w:marTop w:val="0"/>
      <w:marBottom w:val="0"/>
      <w:divBdr>
        <w:top w:val="none" w:sz="0" w:space="0" w:color="auto"/>
        <w:left w:val="none" w:sz="0" w:space="0" w:color="auto"/>
        <w:bottom w:val="none" w:sz="0" w:space="0" w:color="auto"/>
        <w:right w:val="none" w:sz="0" w:space="0" w:color="auto"/>
      </w:divBdr>
    </w:div>
    <w:div w:id="754785587">
      <w:bodyDiv w:val="1"/>
      <w:marLeft w:val="0"/>
      <w:marRight w:val="0"/>
      <w:marTop w:val="0"/>
      <w:marBottom w:val="0"/>
      <w:divBdr>
        <w:top w:val="none" w:sz="0" w:space="0" w:color="auto"/>
        <w:left w:val="none" w:sz="0" w:space="0" w:color="auto"/>
        <w:bottom w:val="none" w:sz="0" w:space="0" w:color="auto"/>
        <w:right w:val="none" w:sz="0" w:space="0" w:color="auto"/>
      </w:divBdr>
    </w:div>
    <w:div w:id="784547367">
      <w:bodyDiv w:val="1"/>
      <w:marLeft w:val="0"/>
      <w:marRight w:val="0"/>
      <w:marTop w:val="0"/>
      <w:marBottom w:val="0"/>
      <w:divBdr>
        <w:top w:val="none" w:sz="0" w:space="0" w:color="auto"/>
        <w:left w:val="none" w:sz="0" w:space="0" w:color="auto"/>
        <w:bottom w:val="none" w:sz="0" w:space="0" w:color="auto"/>
        <w:right w:val="none" w:sz="0" w:space="0" w:color="auto"/>
      </w:divBdr>
    </w:div>
    <w:div w:id="1102650814">
      <w:bodyDiv w:val="1"/>
      <w:marLeft w:val="0"/>
      <w:marRight w:val="0"/>
      <w:marTop w:val="0"/>
      <w:marBottom w:val="0"/>
      <w:divBdr>
        <w:top w:val="none" w:sz="0" w:space="0" w:color="auto"/>
        <w:left w:val="none" w:sz="0" w:space="0" w:color="auto"/>
        <w:bottom w:val="none" w:sz="0" w:space="0" w:color="auto"/>
        <w:right w:val="none" w:sz="0" w:space="0" w:color="auto"/>
      </w:divBdr>
    </w:div>
    <w:div w:id="1190072473">
      <w:bodyDiv w:val="1"/>
      <w:marLeft w:val="0"/>
      <w:marRight w:val="0"/>
      <w:marTop w:val="0"/>
      <w:marBottom w:val="0"/>
      <w:divBdr>
        <w:top w:val="none" w:sz="0" w:space="0" w:color="auto"/>
        <w:left w:val="none" w:sz="0" w:space="0" w:color="auto"/>
        <w:bottom w:val="none" w:sz="0" w:space="0" w:color="auto"/>
        <w:right w:val="none" w:sz="0" w:space="0" w:color="auto"/>
      </w:divBdr>
    </w:div>
    <w:div w:id="1211572508">
      <w:bodyDiv w:val="1"/>
      <w:marLeft w:val="0"/>
      <w:marRight w:val="0"/>
      <w:marTop w:val="0"/>
      <w:marBottom w:val="0"/>
      <w:divBdr>
        <w:top w:val="none" w:sz="0" w:space="0" w:color="auto"/>
        <w:left w:val="none" w:sz="0" w:space="0" w:color="auto"/>
        <w:bottom w:val="none" w:sz="0" w:space="0" w:color="auto"/>
        <w:right w:val="none" w:sz="0" w:space="0" w:color="auto"/>
      </w:divBdr>
    </w:div>
    <w:div w:id="1255211900">
      <w:bodyDiv w:val="1"/>
      <w:marLeft w:val="0"/>
      <w:marRight w:val="0"/>
      <w:marTop w:val="0"/>
      <w:marBottom w:val="0"/>
      <w:divBdr>
        <w:top w:val="none" w:sz="0" w:space="0" w:color="auto"/>
        <w:left w:val="none" w:sz="0" w:space="0" w:color="auto"/>
        <w:bottom w:val="none" w:sz="0" w:space="0" w:color="auto"/>
        <w:right w:val="none" w:sz="0" w:space="0" w:color="auto"/>
      </w:divBdr>
    </w:div>
    <w:div w:id="1311012212">
      <w:bodyDiv w:val="1"/>
      <w:marLeft w:val="0"/>
      <w:marRight w:val="0"/>
      <w:marTop w:val="0"/>
      <w:marBottom w:val="0"/>
      <w:divBdr>
        <w:top w:val="none" w:sz="0" w:space="0" w:color="auto"/>
        <w:left w:val="none" w:sz="0" w:space="0" w:color="auto"/>
        <w:bottom w:val="none" w:sz="0" w:space="0" w:color="auto"/>
        <w:right w:val="none" w:sz="0" w:space="0" w:color="auto"/>
      </w:divBdr>
    </w:div>
    <w:div w:id="1347053560">
      <w:bodyDiv w:val="1"/>
      <w:marLeft w:val="0"/>
      <w:marRight w:val="0"/>
      <w:marTop w:val="0"/>
      <w:marBottom w:val="0"/>
      <w:divBdr>
        <w:top w:val="none" w:sz="0" w:space="0" w:color="auto"/>
        <w:left w:val="none" w:sz="0" w:space="0" w:color="auto"/>
        <w:bottom w:val="none" w:sz="0" w:space="0" w:color="auto"/>
        <w:right w:val="none" w:sz="0" w:space="0" w:color="auto"/>
      </w:divBdr>
    </w:div>
    <w:div w:id="1356544055">
      <w:bodyDiv w:val="1"/>
      <w:marLeft w:val="0"/>
      <w:marRight w:val="0"/>
      <w:marTop w:val="0"/>
      <w:marBottom w:val="0"/>
      <w:divBdr>
        <w:top w:val="none" w:sz="0" w:space="0" w:color="auto"/>
        <w:left w:val="none" w:sz="0" w:space="0" w:color="auto"/>
        <w:bottom w:val="none" w:sz="0" w:space="0" w:color="auto"/>
        <w:right w:val="none" w:sz="0" w:space="0" w:color="auto"/>
      </w:divBdr>
    </w:div>
    <w:div w:id="1688173644">
      <w:bodyDiv w:val="1"/>
      <w:marLeft w:val="0"/>
      <w:marRight w:val="0"/>
      <w:marTop w:val="0"/>
      <w:marBottom w:val="0"/>
      <w:divBdr>
        <w:top w:val="none" w:sz="0" w:space="0" w:color="auto"/>
        <w:left w:val="none" w:sz="0" w:space="0" w:color="auto"/>
        <w:bottom w:val="none" w:sz="0" w:space="0" w:color="auto"/>
        <w:right w:val="none" w:sz="0" w:space="0" w:color="auto"/>
      </w:divBdr>
    </w:div>
    <w:div w:id="1748066689">
      <w:bodyDiv w:val="1"/>
      <w:marLeft w:val="0"/>
      <w:marRight w:val="0"/>
      <w:marTop w:val="0"/>
      <w:marBottom w:val="0"/>
      <w:divBdr>
        <w:top w:val="none" w:sz="0" w:space="0" w:color="auto"/>
        <w:left w:val="none" w:sz="0" w:space="0" w:color="auto"/>
        <w:bottom w:val="none" w:sz="0" w:space="0" w:color="auto"/>
        <w:right w:val="none" w:sz="0" w:space="0" w:color="auto"/>
      </w:divBdr>
    </w:div>
    <w:div w:id="1925020718">
      <w:bodyDiv w:val="1"/>
      <w:marLeft w:val="0"/>
      <w:marRight w:val="0"/>
      <w:marTop w:val="0"/>
      <w:marBottom w:val="0"/>
      <w:divBdr>
        <w:top w:val="none" w:sz="0" w:space="0" w:color="auto"/>
        <w:left w:val="none" w:sz="0" w:space="0" w:color="auto"/>
        <w:bottom w:val="none" w:sz="0" w:space="0" w:color="auto"/>
        <w:right w:val="none" w:sz="0" w:space="0" w:color="auto"/>
      </w:divBdr>
    </w:div>
    <w:div w:id="202952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D19F143F7ABD4FB1E5A1071400FAE7" ma:contentTypeVersion="4" ma:contentTypeDescription="Create a new document." ma:contentTypeScope="" ma:versionID="7a2e6a5802e356f59b9a1b7d5ce91905">
  <xsd:schema xmlns:xsd="http://www.w3.org/2001/XMLSchema" xmlns:xs="http://www.w3.org/2001/XMLSchema" xmlns:p="http://schemas.microsoft.com/office/2006/metadata/properties" xmlns:ns2="141baec2-41cd-4688-adc9-d38008f5c7ad" targetNamespace="http://schemas.microsoft.com/office/2006/metadata/properties" ma:root="true" ma:fieldsID="99228b9693ece6e2bbadac53f5326384" ns2:_="">
    <xsd:import namespace="141baec2-41cd-4688-adc9-d38008f5c7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baec2-41cd-4688-adc9-d38008f5c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A304FE-CC62-400F-98A9-711052460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1baec2-41cd-4688-adc9-d38008f5c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8EBD95-B74E-411C-AF8D-98829FF91FBC}">
  <ds:schemaRefs>
    <ds:schemaRef ds:uri="http://schemas.openxmlformats.org/officeDocument/2006/bibliography"/>
  </ds:schemaRefs>
</ds:datastoreItem>
</file>

<file path=customXml/itemProps3.xml><?xml version="1.0" encoding="utf-8"?>
<ds:datastoreItem xmlns:ds="http://schemas.openxmlformats.org/officeDocument/2006/customXml" ds:itemID="{AE2CB511-CE55-4E19-9822-F741EC5E8616}">
  <ds:schemaRefs>
    <ds:schemaRef ds:uri="http://schemas.microsoft.com/sharepoint/v3/contenttype/forms"/>
  </ds:schemaRefs>
</ds:datastoreItem>
</file>

<file path=customXml/itemProps4.xml><?xml version="1.0" encoding="utf-8"?>
<ds:datastoreItem xmlns:ds="http://schemas.openxmlformats.org/officeDocument/2006/customXml" ds:itemID="{DADB33AD-4749-440C-8C0B-5000BF7458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British American Tobacco</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gulbinao</dc:creator>
  <cp:lastModifiedBy>Andreea Abu Daher</cp:lastModifiedBy>
  <cp:revision>2</cp:revision>
  <cp:lastPrinted>2020-02-19T12:10:00Z</cp:lastPrinted>
  <dcterms:created xsi:type="dcterms:W3CDTF">2022-06-04T12:48:00Z</dcterms:created>
  <dcterms:modified xsi:type="dcterms:W3CDTF">2022-06-04T12:48:00Z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0x010100D7D19F143F7ABD4FB1E5A1071400FAE7</vt:lpwstr>
  </property>
</Properties>
</file>