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7CD70" w14:textId="77777777" w:rsidR="00EB5819" w:rsidRPr="00EB5819" w:rsidRDefault="00EB5819" w:rsidP="00EB5819">
      <w:pPr>
        <w:spacing w:before="100" w:beforeAutospacing="1" w:after="100" w:afterAutospacing="1" w:line="240" w:lineRule="auto"/>
        <w:jc w:val="both"/>
        <w:outlineLvl w:val="0"/>
        <w:rPr>
          <w:rFonts w:ascii="Arabic Typesetting" w:eastAsia="Times New Roman" w:hAnsi="Arabic Typesetting" w:cs="Arabic Typesetting" w:hint="cs"/>
          <w:b/>
          <w:bCs/>
          <w:kern w:val="36"/>
          <w:sz w:val="48"/>
          <w:szCs w:val="48"/>
          <w:lang w:eastAsia="en-GB"/>
          <w14:ligatures w14:val="none"/>
        </w:rPr>
      </w:pPr>
      <w:r w:rsidRPr="00EB5819">
        <w:rPr>
          <w:rFonts w:ascii="Arabic Typesetting" w:eastAsia="Times New Roman" w:hAnsi="Arabic Typesetting" w:cs="Arabic Typesetting" w:hint="cs"/>
          <w:b/>
          <w:bCs/>
          <w:kern w:val="36"/>
          <w:sz w:val="48"/>
          <w:szCs w:val="48"/>
          <w:lang w:eastAsia="en-GB"/>
          <w14:ligatures w14:val="none"/>
        </w:rPr>
        <w:t>Stroke Prediction Model Analysis Report</w:t>
      </w:r>
    </w:p>
    <w:p w14:paraId="00F637FD" w14:textId="77777777" w:rsidR="00B62DBF" w:rsidRDefault="00B62DBF" w:rsidP="00EB5819">
      <w:pPr>
        <w:jc w:val="both"/>
      </w:pPr>
    </w:p>
    <w:p w14:paraId="31EA1993" w14:textId="77777777" w:rsidR="00EB5819" w:rsidRPr="00EB5819" w:rsidRDefault="00EB5819" w:rsidP="00EB5819">
      <w:pPr>
        <w:jc w:val="both"/>
      </w:pPr>
      <w:r w:rsidRPr="00EB5819">
        <w:t xml:space="preserve">Absolutely. Here is your </w:t>
      </w:r>
      <w:r w:rsidRPr="00EB5819">
        <w:rPr>
          <w:b/>
          <w:bCs/>
        </w:rPr>
        <w:t>Comprehensive Stroke Prediction Model Analysis Report</w:t>
      </w:r>
      <w:r w:rsidRPr="00EB5819">
        <w:t xml:space="preserve"> presented in a highly professional, detailed paragraph style, with selective, judicious use of bullet points </w:t>
      </w:r>
      <w:r w:rsidRPr="00EB5819">
        <w:rPr>
          <w:b/>
          <w:bCs/>
        </w:rPr>
        <w:t>only where they add clarity or are expected in an industry report</w:t>
      </w:r>
      <w:r w:rsidRPr="00EB5819">
        <w:t xml:space="preserve"> (e.g., for key findings, recommendations, and actionable items). The rest remains thorough and elaborative, ensuring every process and step is clearly described for maximum transparency and professional standard.</w:t>
      </w:r>
    </w:p>
    <w:p w14:paraId="7CE3F411" w14:textId="77777777" w:rsidR="00EB5819" w:rsidRPr="00EB5819" w:rsidRDefault="004D6139" w:rsidP="00EB5819">
      <w:pPr>
        <w:jc w:val="both"/>
      </w:pPr>
      <w:r w:rsidRPr="004D6139">
        <w:rPr>
          <w:noProof/>
        </w:rPr>
        <w:pict w14:anchorId="541224CC">
          <v:rect id="_x0000_i1026" alt="" style="width:451.3pt;height:.05pt;mso-width-percent:0;mso-height-percent:0;mso-width-percent:0;mso-height-percent:0" o:hralign="center" o:hrstd="t" o:hr="t" fillcolor="#a0a0a0" stroked="f"/>
        </w:pict>
      </w:r>
    </w:p>
    <w:p w14:paraId="50171DF2" w14:textId="77777777" w:rsidR="00EB5819" w:rsidRPr="00EB5819" w:rsidRDefault="00EB5819" w:rsidP="00EB5819">
      <w:pPr>
        <w:jc w:val="both"/>
        <w:rPr>
          <w:b/>
          <w:bCs/>
        </w:rPr>
      </w:pPr>
      <w:r w:rsidRPr="00EB5819">
        <w:rPr>
          <w:b/>
          <w:bCs/>
        </w:rPr>
        <w:t>Comprehensive Stroke Prediction Model Analysis Report</w:t>
      </w:r>
    </w:p>
    <w:p w14:paraId="21E4AACD" w14:textId="77777777" w:rsidR="00EB5819" w:rsidRPr="00EB5819" w:rsidRDefault="00EB5819" w:rsidP="00EB5819">
      <w:pPr>
        <w:jc w:val="both"/>
      </w:pPr>
    </w:p>
    <w:p w14:paraId="5C7944CD" w14:textId="77777777" w:rsidR="00EB5819" w:rsidRPr="00EB5819" w:rsidRDefault="00EB5819" w:rsidP="00EB5819">
      <w:pPr>
        <w:jc w:val="both"/>
      </w:pPr>
      <w:r w:rsidRPr="00EB5819">
        <w:t xml:space="preserve">This report presents an exhaustive and systematic analysis of the construction and deployment of a machine learning-based stroke risk prediction model developed in R. The impetus for this project stems from the World Health Organization’s designation of stroke as the world’s second leading cause of death, responsible for approximately 11% of total global mortality. Accurate and early identification of individuals at high risk of stroke is vital for proactive medical intervention, effective patient </w:t>
      </w:r>
      <w:proofErr w:type="spellStart"/>
      <w:r w:rsidRPr="00EB5819">
        <w:t>counseling</w:t>
      </w:r>
      <w:proofErr w:type="spellEnd"/>
      <w:r w:rsidRPr="00EB5819">
        <w:t xml:space="preserve"> on lifestyle modification, efficient healthcare resource management, and, ultimately, significant cost reductions through prevention rather than treatment.</w:t>
      </w:r>
    </w:p>
    <w:p w14:paraId="33514D82" w14:textId="77777777" w:rsidR="00EB5819" w:rsidRPr="00EB5819" w:rsidRDefault="00EB5819" w:rsidP="00EB5819">
      <w:pPr>
        <w:jc w:val="both"/>
      </w:pPr>
    </w:p>
    <w:p w14:paraId="51173051" w14:textId="77777777" w:rsidR="00EB5819" w:rsidRPr="00EB5819" w:rsidRDefault="00EB5819" w:rsidP="00EB5819">
      <w:pPr>
        <w:jc w:val="both"/>
      </w:pPr>
      <w:r w:rsidRPr="00EB5819">
        <w:t>The core objectives of this project included a deep exploration of stroke risk factors through data analysis, building robust machine learning models, evaluating and selecting the most performant algorithm, deploying the model as a real-time prediction API, and deriving actionable healthcare insights. The dataset, comprising 5,110 patient records and 11 predictor variables, covered a wide array of demographic attributes (gender, age, marital status, residence type), medical history (hypertension, heart disease, average glucose level, BMI), and lifestyle factors (work type, smoking status), with the binary stroke occurrence as the outcome variable.</w:t>
      </w:r>
    </w:p>
    <w:p w14:paraId="01A58732" w14:textId="77777777" w:rsidR="00EB5819" w:rsidRPr="00EB5819" w:rsidRDefault="00EB5819" w:rsidP="00EB5819">
      <w:pPr>
        <w:jc w:val="both"/>
      </w:pPr>
    </w:p>
    <w:p w14:paraId="46402EA1" w14:textId="77777777" w:rsidR="00EB5819" w:rsidRPr="00EB5819" w:rsidRDefault="00EB5819" w:rsidP="00EB5819">
      <w:pPr>
        <w:jc w:val="both"/>
      </w:pPr>
      <w:r w:rsidRPr="00EB5819">
        <w:rPr>
          <w:b/>
          <w:bCs/>
        </w:rPr>
        <w:t>Data quality assessment</w:t>
      </w:r>
      <w:r w:rsidRPr="00EB5819">
        <w:t xml:space="preserve"> identified missing values solely in the BMI field, which were imputed using the median to maintain the dataset’s integrity and prevent statistical bias. The dataset was also characterized by an extreme class imbalance, with only 4.9% of patients having suffered a stroke (a class ratio of 19.5:1), thus necessitating specialized resampling and evaluation strategies to maintain minority class sensitivity.</w:t>
      </w:r>
    </w:p>
    <w:p w14:paraId="2749A970" w14:textId="77777777" w:rsidR="00EB5819" w:rsidRPr="00EB5819" w:rsidRDefault="00EB5819" w:rsidP="00EB5819">
      <w:pPr>
        <w:jc w:val="both"/>
      </w:pPr>
    </w:p>
    <w:p w14:paraId="4FF5EF8C" w14:textId="77777777" w:rsidR="00EB5819" w:rsidRPr="00EB5819" w:rsidRDefault="00EB5819" w:rsidP="00EB5819">
      <w:pPr>
        <w:jc w:val="both"/>
      </w:pPr>
      <w:r w:rsidRPr="00EB5819">
        <w:lastRenderedPageBreak/>
        <w:t>Comprehensive exploratory data analysis provided deep insight into data structure and inter-variable relationships. The age distribution revealed a strong positive correlation with stroke risk—patients with a history of stroke were notably older on average. Hypertension and heart disease were both markedly more prevalent among stroke sufferers, while average glucose levels were also higher in this group. Lifestyle factors such as smoking status showed that former smokers were at a disproportionately higher risk compared to current or never smokers, and work type was similarly associated with varied risk profiles. BMI, while less strongly predictive than age or glucose, nonetheless presented a moderate relationship to stroke risk. Correlation analyses confirmed the dominant role of age, with moderate contributions from hypertension, heart disease, and glucose level, while overall low collinearity among variables validated the diversity and robustness of the predictor set.</w:t>
      </w:r>
    </w:p>
    <w:p w14:paraId="28F3C11A" w14:textId="77777777" w:rsidR="00EB5819" w:rsidRPr="00EB5819" w:rsidRDefault="00EB5819" w:rsidP="00EB5819">
      <w:pPr>
        <w:jc w:val="both"/>
      </w:pPr>
    </w:p>
    <w:p w14:paraId="2A43C3DC" w14:textId="77777777" w:rsidR="00EB5819" w:rsidRPr="00EB5819" w:rsidRDefault="00EB5819" w:rsidP="00EB5819">
      <w:pPr>
        <w:jc w:val="both"/>
      </w:pPr>
      <w:r w:rsidRPr="00EB5819">
        <w:rPr>
          <w:b/>
          <w:bCs/>
        </w:rPr>
        <w:t>Data preprocessing</w:t>
      </w:r>
      <w:r w:rsidRPr="00EB5819">
        <w:t xml:space="preserve"> followed a rigorous, reproducible workflow. Non-informative variables such as patient ID were excluded. The rare “Other” gender category was removed due to its negligible representation. All categorical variables were cast to appropriate factor types, and missing BMI values were replaced with the median. Categorical predictors were transformed into dummy variables for model compatibility, and all continuous features were standardized. To combat class imbalance, the Random Over-Sampling Examples (ROSE) technique was applied exclusively to the training set, producing a more balanced sample for model learning while retaining the original test set for unbiased evaluation.</w:t>
      </w:r>
    </w:p>
    <w:p w14:paraId="04BD985B" w14:textId="77777777" w:rsidR="00EB5819" w:rsidRPr="00EB5819" w:rsidRDefault="00EB5819" w:rsidP="00EB5819">
      <w:pPr>
        <w:jc w:val="both"/>
      </w:pPr>
    </w:p>
    <w:p w14:paraId="788A8ED5" w14:textId="77777777" w:rsidR="00EB5819" w:rsidRPr="00EB5819" w:rsidRDefault="00EB5819" w:rsidP="00EB5819">
      <w:pPr>
        <w:jc w:val="both"/>
      </w:pPr>
      <w:r w:rsidRPr="00EB5819">
        <w:rPr>
          <w:b/>
          <w:bCs/>
        </w:rPr>
        <w:t>Model development</w:t>
      </w:r>
      <w:r w:rsidRPr="00EB5819">
        <w:t xml:space="preserve"> involved stratified partitioning of the data into a 70% training set and a 30% test set, ensuring representative class distributions throughout. Five-fold cross-validation was performed to support robust, generalizable training and mitigate overfitting risks. The Area Under the Receiver Operating Characteristic Curve (ROC AUC) was adopted as the primary metric for evaluation, supported by comprehensive reporting of sensitivity (recall), specificity, precision, F1-score, and accuracy.</w:t>
      </w:r>
    </w:p>
    <w:p w14:paraId="76966EEC" w14:textId="77777777" w:rsidR="00EB5819" w:rsidRPr="00EB5819" w:rsidRDefault="00EB5819" w:rsidP="00EB5819">
      <w:pPr>
        <w:jc w:val="both"/>
      </w:pPr>
    </w:p>
    <w:p w14:paraId="042A4302" w14:textId="77777777" w:rsidR="00EB5819" w:rsidRPr="00EB5819" w:rsidRDefault="00EB5819" w:rsidP="00EB5819">
      <w:pPr>
        <w:jc w:val="both"/>
      </w:pPr>
      <w:r w:rsidRPr="00EB5819">
        <w:t>The following four algorithms were selected for thorough evaluation and comparison:</w:t>
      </w:r>
    </w:p>
    <w:p w14:paraId="64594D29" w14:textId="77777777" w:rsidR="00EB5819" w:rsidRPr="00EB5819" w:rsidRDefault="00EB5819" w:rsidP="00EB5819">
      <w:pPr>
        <w:numPr>
          <w:ilvl w:val="0"/>
          <w:numId w:val="1"/>
        </w:numPr>
        <w:jc w:val="both"/>
      </w:pPr>
      <w:r w:rsidRPr="00EB5819">
        <w:rPr>
          <w:b/>
          <w:bCs/>
        </w:rPr>
        <w:t>Logistic Regression:</w:t>
      </w:r>
      <w:r w:rsidRPr="00EB5819">
        <w:t xml:space="preserve"> Served as a baseline, offering interpretability and transparency in coefficient assessment.</w:t>
      </w:r>
    </w:p>
    <w:p w14:paraId="50F208E4" w14:textId="77777777" w:rsidR="00EB5819" w:rsidRPr="00EB5819" w:rsidRDefault="00EB5819" w:rsidP="00EB5819">
      <w:pPr>
        <w:numPr>
          <w:ilvl w:val="0"/>
          <w:numId w:val="1"/>
        </w:numPr>
        <w:jc w:val="both"/>
      </w:pPr>
      <w:r w:rsidRPr="00EB5819">
        <w:rPr>
          <w:b/>
          <w:bCs/>
        </w:rPr>
        <w:t>Random Forest:</w:t>
      </w:r>
      <w:r w:rsidRPr="00EB5819">
        <w:t xml:space="preserve"> Provided ensemble power and feature importance evaluation.</w:t>
      </w:r>
    </w:p>
    <w:p w14:paraId="704BFB5A" w14:textId="77777777" w:rsidR="00EB5819" w:rsidRPr="00EB5819" w:rsidRDefault="00EB5819" w:rsidP="00EB5819">
      <w:pPr>
        <w:numPr>
          <w:ilvl w:val="0"/>
          <w:numId w:val="1"/>
        </w:numPr>
        <w:jc w:val="both"/>
      </w:pPr>
      <w:proofErr w:type="spellStart"/>
      <w:r w:rsidRPr="00EB5819">
        <w:rPr>
          <w:b/>
          <w:bCs/>
        </w:rPr>
        <w:t>XGBoost</w:t>
      </w:r>
      <w:proofErr w:type="spellEnd"/>
      <w:r w:rsidRPr="00EB5819">
        <w:rPr>
          <w:b/>
          <w:bCs/>
        </w:rPr>
        <w:t>:</w:t>
      </w:r>
      <w:r w:rsidRPr="00EB5819">
        <w:t xml:space="preserve"> Delivered state-of-the-art gradient boosting with superior structured data performance and built-in feature selection.</w:t>
      </w:r>
    </w:p>
    <w:p w14:paraId="2DF69472" w14:textId="77777777" w:rsidR="00EB5819" w:rsidRPr="00EB5819" w:rsidRDefault="00EB5819" w:rsidP="00EB5819">
      <w:pPr>
        <w:numPr>
          <w:ilvl w:val="0"/>
          <w:numId w:val="1"/>
        </w:numPr>
        <w:jc w:val="both"/>
      </w:pPr>
      <w:r w:rsidRPr="00EB5819">
        <w:rPr>
          <w:b/>
          <w:bCs/>
        </w:rPr>
        <w:lastRenderedPageBreak/>
        <w:t>Elastic Net:</w:t>
      </w:r>
      <w:r w:rsidRPr="00EB5819">
        <w:t xml:space="preserve"> Combined L1 and L2 regularization for feature selection and multicollinearity handling.</w:t>
      </w:r>
    </w:p>
    <w:p w14:paraId="67A9B0B4" w14:textId="77777777" w:rsidR="00EB5819" w:rsidRPr="00EB5819" w:rsidRDefault="00EB5819" w:rsidP="00EB5819">
      <w:pPr>
        <w:jc w:val="both"/>
      </w:pPr>
    </w:p>
    <w:p w14:paraId="73ECDAAE" w14:textId="77777777" w:rsidR="00EB5819" w:rsidRPr="00EB5819" w:rsidRDefault="00EB5819" w:rsidP="00EB5819">
      <w:pPr>
        <w:jc w:val="both"/>
      </w:pPr>
      <w:r w:rsidRPr="00EB5819">
        <w:t>Each algorithm underwent meticulous cross-validation, with results benchmarked against the withheld test set. ROC AUC was the key determinant, supplemented by clinical criteria such as balanced sensitivity and specificity to minimize both false negatives (missed stroke cases) and false positives. Visualization of ROC curves and metric comparison charts facilitated data-driven model selection.</w:t>
      </w:r>
    </w:p>
    <w:p w14:paraId="608E37A0" w14:textId="77777777" w:rsidR="00EB5819" w:rsidRPr="00EB5819" w:rsidRDefault="00EB5819" w:rsidP="00EB5819">
      <w:pPr>
        <w:jc w:val="both"/>
      </w:pPr>
    </w:p>
    <w:p w14:paraId="4AF8DD0D" w14:textId="77777777" w:rsidR="00EB5819" w:rsidRPr="00EB5819" w:rsidRDefault="00EB5819" w:rsidP="00EB5819">
      <w:pPr>
        <w:jc w:val="both"/>
      </w:pPr>
      <w:r w:rsidRPr="00EB5819">
        <w:t xml:space="preserve">The </w:t>
      </w:r>
      <w:r w:rsidRPr="00EB5819">
        <w:rPr>
          <w:b/>
          <w:bCs/>
        </w:rPr>
        <w:t>best-performing model</w:t>
      </w:r>
      <w:r w:rsidRPr="00EB5819">
        <w:t xml:space="preserve"> was chosen based on the following integrated criteria:</w:t>
      </w:r>
    </w:p>
    <w:p w14:paraId="48451317" w14:textId="77777777" w:rsidR="00EB5819" w:rsidRPr="00EB5819" w:rsidRDefault="00EB5819" w:rsidP="00EB5819">
      <w:pPr>
        <w:numPr>
          <w:ilvl w:val="0"/>
          <w:numId w:val="2"/>
        </w:numPr>
        <w:jc w:val="both"/>
      </w:pPr>
      <w:r w:rsidRPr="00EB5819">
        <w:rPr>
          <w:b/>
          <w:bCs/>
        </w:rPr>
        <w:t>Highest ROC AUC</w:t>
      </w:r>
      <w:r w:rsidRPr="00EB5819">
        <w:t xml:space="preserve"> for discriminative ability</w:t>
      </w:r>
    </w:p>
    <w:p w14:paraId="1CFA2B41" w14:textId="77777777" w:rsidR="00EB5819" w:rsidRPr="00EB5819" w:rsidRDefault="00EB5819" w:rsidP="00EB5819">
      <w:pPr>
        <w:numPr>
          <w:ilvl w:val="0"/>
          <w:numId w:val="2"/>
        </w:numPr>
        <w:jc w:val="both"/>
      </w:pPr>
      <w:r w:rsidRPr="00EB5819">
        <w:rPr>
          <w:b/>
          <w:bCs/>
        </w:rPr>
        <w:t>Balanced sensitivity and specificity</w:t>
      </w:r>
      <w:r w:rsidRPr="00EB5819">
        <w:t xml:space="preserve"> to ensure clinical safety and practicality</w:t>
      </w:r>
    </w:p>
    <w:p w14:paraId="445A248B" w14:textId="77777777" w:rsidR="00EB5819" w:rsidRPr="00EB5819" w:rsidRDefault="00EB5819" w:rsidP="00EB5819">
      <w:pPr>
        <w:numPr>
          <w:ilvl w:val="0"/>
          <w:numId w:val="2"/>
        </w:numPr>
        <w:jc w:val="both"/>
      </w:pPr>
      <w:r w:rsidRPr="00EB5819">
        <w:rPr>
          <w:b/>
          <w:bCs/>
        </w:rPr>
        <w:t>Consistent cross-validation performance</w:t>
      </w:r>
      <w:r w:rsidRPr="00EB5819">
        <w:t xml:space="preserve"> to verify robustness</w:t>
      </w:r>
    </w:p>
    <w:p w14:paraId="5138D0B8" w14:textId="77777777" w:rsidR="00EB5819" w:rsidRPr="00EB5819" w:rsidRDefault="00EB5819" w:rsidP="00EB5819">
      <w:pPr>
        <w:numPr>
          <w:ilvl w:val="0"/>
          <w:numId w:val="2"/>
        </w:numPr>
        <w:jc w:val="both"/>
      </w:pPr>
      <w:r w:rsidRPr="00EB5819">
        <w:rPr>
          <w:b/>
          <w:bCs/>
        </w:rPr>
        <w:t>Feature importance interpretability</w:t>
      </w:r>
      <w:r w:rsidRPr="00EB5819">
        <w:t xml:space="preserve"> for transparency in healthcare settings</w:t>
      </w:r>
    </w:p>
    <w:p w14:paraId="0BAC1616" w14:textId="77777777" w:rsidR="00EB5819" w:rsidRPr="00EB5819" w:rsidRDefault="00EB5819" w:rsidP="00EB5819">
      <w:pPr>
        <w:jc w:val="both"/>
      </w:pPr>
    </w:p>
    <w:p w14:paraId="63D80B67" w14:textId="77777777" w:rsidR="00EB5819" w:rsidRPr="00EB5819" w:rsidRDefault="00EB5819" w:rsidP="00EB5819">
      <w:pPr>
        <w:jc w:val="both"/>
      </w:pPr>
      <w:r w:rsidRPr="00EB5819">
        <w:t>Following selection, the model was deployed as a RESTful API using the Plumber R package. The API architecture featured two principal endpoints:</w:t>
      </w:r>
    </w:p>
    <w:p w14:paraId="723A5E35" w14:textId="77777777" w:rsidR="00EB5819" w:rsidRPr="00EB5819" w:rsidRDefault="00EB5819" w:rsidP="00EB5819">
      <w:pPr>
        <w:numPr>
          <w:ilvl w:val="0"/>
          <w:numId w:val="3"/>
        </w:numPr>
        <w:jc w:val="both"/>
      </w:pPr>
      <w:r w:rsidRPr="00EB5819">
        <w:t>/</w:t>
      </w:r>
      <w:proofErr w:type="gramStart"/>
      <w:r w:rsidRPr="00EB5819">
        <w:t>predict</w:t>
      </w:r>
      <w:proofErr w:type="gramEnd"/>
      <w:r w:rsidRPr="00EB5819">
        <w:t xml:space="preserve"> for real-time, on-demand stroke risk estimation</w:t>
      </w:r>
    </w:p>
    <w:p w14:paraId="443D17C2" w14:textId="77777777" w:rsidR="00EB5819" w:rsidRPr="00EB5819" w:rsidRDefault="00EB5819" w:rsidP="00EB5819">
      <w:pPr>
        <w:numPr>
          <w:ilvl w:val="0"/>
          <w:numId w:val="3"/>
        </w:numPr>
        <w:jc w:val="both"/>
      </w:pPr>
      <w:r w:rsidRPr="00EB5819">
        <w:t>/</w:t>
      </w:r>
      <w:proofErr w:type="gramStart"/>
      <w:r w:rsidRPr="00EB5819">
        <w:t>info</w:t>
      </w:r>
      <w:proofErr w:type="gramEnd"/>
      <w:r w:rsidRPr="00EB5819">
        <w:t xml:space="preserve"> for accessing model metadata and performance summaries</w:t>
      </w:r>
    </w:p>
    <w:p w14:paraId="76C534BB" w14:textId="77777777" w:rsidR="00EB5819" w:rsidRPr="00EB5819" w:rsidRDefault="00EB5819" w:rsidP="00EB5819">
      <w:pPr>
        <w:jc w:val="both"/>
      </w:pPr>
    </w:p>
    <w:p w14:paraId="0684E02D" w14:textId="77777777" w:rsidR="00EB5819" w:rsidRPr="00EB5819" w:rsidRDefault="00EB5819" w:rsidP="00EB5819">
      <w:pPr>
        <w:jc w:val="both"/>
      </w:pPr>
      <w:r w:rsidRPr="00EB5819">
        <w:t>API input required standardized parameters for all predictor variables. The output comprised stroke probability (on a 0-1 scale), categorical risk classification (High Risk/Low Risk), and, where relevant, confidence intervals.</w:t>
      </w:r>
    </w:p>
    <w:p w14:paraId="3298C397" w14:textId="77777777" w:rsidR="00EB5819" w:rsidRPr="00EB5819" w:rsidRDefault="00EB5819" w:rsidP="00EB5819">
      <w:pPr>
        <w:jc w:val="both"/>
      </w:pPr>
    </w:p>
    <w:p w14:paraId="299435E6" w14:textId="77777777" w:rsidR="00EB5819" w:rsidRPr="00EB5819" w:rsidRDefault="00EB5819" w:rsidP="00EB5819">
      <w:pPr>
        <w:jc w:val="both"/>
      </w:pPr>
      <w:r w:rsidRPr="00EB5819">
        <w:t xml:space="preserve">The </w:t>
      </w:r>
      <w:r w:rsidRPr="00EB5819">
        <w:rPr>
          <w:b/>
          <w:bCs/>
        </w:rPr>
        <w:t>production deployment</w:t>
      </w:r>
      <w:r w:rsidRPr="00EB5819">
        <w:t xml:space="preserve"> prioritized:</w:t>
      </w:r>
    </w:p>
    <w:p w14:paraId="35E47B51" w14:textId="77777777" w:rsidR="00EB5819" w:rsidRPr="00EB5819" w:rsidRDefault="00EB5819" w:rsidP="00EB5819">
      <w:pPr>
        <w:numPr>
          <w:ilvl w:val="0"/>
          <w:numId w:val="4"/>
        </w:numPr>
        <w:jc w:val="both"/>
      </w:pPr>
      <w:r w:rsidRPr="00EB5819">
        <w:rPr>
          <w:b/>
          <w:bCs/>
        </w:rPr>
        <w:t>Robust input validation and error handling</w:t>
      </w:r>
      <w:r w:rsidRPr="00EB5819">
        <w:t xml:space="preserve"> to prevent mispredictions or misuse</w:t>
      </w:r>
    </w:p>
    <w:p w14:paraId="195BA633" w14:textId="77777777" w:rsidR="00EB5819" w:rsidRPr="00EB5819" w:rsidRDefault="00EB5819" w:rsidP="00EB5819">
      <w:pPr>
        <w:numPr>
          <w:ilvl w:val="0"/>
          <w:numId w:val="4"/>
        </w:numPr>
        <w:jc w:val="both"/>
      </w:pPr>
      <w:r w:rsidRPr="00EB5819">
        <w:rPr>
          <w:b/>
          <w:bCs/>
        </w:rPr>
        <w:t>Exact replication of preprocessing</w:t>
      </w:r>
      <w:r w:rsidRPr="00EB5819">
        <w:t xml:space="preserve"> (e.g., dummy encoding, scaling, factor handling) to maintain fidelity between training and production</w:t>
      </w:r>
    </w:p>
    <w:p w14:paraId="6C03A8D9" w14:textId="77777777" w:rsidR="00EB5819" w:rsidRPr="00EB5819" w:rsidRDefault="00EB5819" w:rsidP="00EB5819">
      <w:pPr>
        <w:numPr>
          <w:ilvl w:val="0"/>
          <w:numId w:val="4"/>
        </w:numPr>
        <w:jc w:val="both"/>
      </w:pPr>
      <w:r w:rsidRPr="00EB5819">
        <w:rPr>
          <w:b/>
          <w:bCs/>
        </w:rPr>
        <w:t>Modular code design</w:t>
      </w:r>
      <w:r w:rsidRPr="00EB5819">
        <w:t xml:space="preserve"> for maintainability and scalability</w:t>
      </w:r>
    </w:p>
    <w:p w14:paraId="6371811E" w14:textId="77777777" w:rsidR="00EB5819" w:rsidRPr="00EB5819" w:rsidRDefault="00EB5819" w:rsidP="00EB5819">
      <w:pPr>
        <w:numPr>
          <w:ilvl w:val="0"/>
          <w:numId w:val="4"/>
        </w:numPr>
        <w:jc w:val="both"/>
      </w:pPr>
      <w:r w:rsidRPr="00EB5819">
        <w:rPr>
          <w:b/>
          <w:bCs/>
        </w:rPr>
        <w:t>Clear documentation</w:t>
      </w:r>
      <w:r w:rsidRPr="00EB5819">
        <w:t xml:space="preserve"> for seamless integration and end-user transparency</w:t>
      </w:r>
    </w:p>
    <w:p w14:paraId="14735882" w14:textId="77777777" w:rsidR="00EB5819" w:rsidRPr="00EB5819" w:rsidRDefault="00EB5819" w:rsidP="00EB5819">
      <w:pPr>
        <w:jc w:val="both"/>
      </w:pPr>
    </w:p>
    <w:p w14:paraId="28172954" w14:textId="77777777" w:rsidR="00EB5819" w:rsidRPr="00EB5819" w:rsidRDefault="00EB5819" w:rsidP="00EB5819">
      <w:pPr>
        <w:jc w:val="both"/>
      </w:pPr>
      <w:r w:rsidRPr="00EB5819">
        <w:rPr>
          <w:b/>
          <w:bCs/>
        </w:rPr>
        <w:lastRenderedPageBreak/>
        <w:t>Results</w:t>
      </w:r>
      <w:r w:rsidRPr="00EB5819">
        <w:t xml:space="preserve"> from the deployed model indicated excellent discriminative power (high ROC AUC) and robust, balanced sensitivity and specificity, making the model suitable for screening and early intervention scenarios. Feature importance analysis reaffirmed age as the most dominant risk predictor, with risk increasing steeply with advancing years, followed by average glucose level, hypertension, heart disease, and BMI. These results highlight the clinical imperative for age-based risk stratification, routine glucose monitoring, and aggressive hypertension management.</w:t>
      </w:r>
    </w:p>
    <w:p w14:paraId="1B99348A" w14:textId="77777777" w:rsidR="00EB5819" w:rsidRPr="00EB5819" w:rsidRDefault="00EB5819" w:rsidP="00EB5819">
      <w:pPr>
        <w:jc w:val="both"/>
      </w:pPr>
    </w:p>
    <w:p w14:paraId="5F814E60" w14:textId="77777777" w:rsidR="00EB5819" w:rsidRPr="00EB5819" w:rsidRDefault="00EB5819" w:rsidP="00EB5819">
      <w:pPr>
        <w:jc w:val="both"/>
      </w:pPr>
      <w:r w:rsidRPr="00EB5819">
        <w:rPr>
          <w:b/>
          <w:bCs/>
        </w:rPr>
        <w:t>Key feature importance and clinical implications include:</w:t>
      </w:r>
    </w:p>
    <w:p w14:paraId="7EA89436" w14:textId="77777777" w:rsidR="00EB5819" w:rsidRPr="00EB5819" w:rsidRDefault="00EB5819" w:rsidP="00EB5819">
      <w:pPr>
        <w:numPr>
          <w:ilvl w:val="0"/>
          <w:numId w:val="5"/>
        </w:numPr>
        <w:jc w:val="both"/>
      </w:pPr>
      <w:r w:rsidRPr="00EB5819">
        <w:rPr>
          <w:b/>
          <w:bCs/>
        </w:rPr>
        <w:t>Age:</w:t>
      </w:r>
      <w:r w:rsidRPr="00EB5819">
        <w:t xml:space="preserve"> Strongest risk driver, necessitating focused screening for older populations</w:t>
      </w:r>
    </w:p>
    <w:p w14:paraId="244AC591" w14:textId="77777777" w:rsidR="00EB5819" w:rsidRPr="00EB5819" w:rsidRDefault="00EB5819" w:rsidP="00EB5819">
      <w:pPr>
        <w:numPr>
          <w:ilvl w:val="0"/>
          <w:numId w:val="5"/>
        </w:numPr>
        <w:jc w:val="both"/>
      </w:pPr>
      <w:r w:rsidRPr="00EB5819">
        <w:rPr>
          <w:b/>
          <w:bCs/>
        </w:rPr>
        <w:t>Average Glucose Level:</w:t>
      </w:r>
      <w:r w:rsidRPr="00EB5819">
        <w:t xml:space="preserve"> High relevance for diabetic and pre-diabetic management protocols</w:t>
      </w:r>
    </w:p>
    <w:p w14:paraId="638A1F5E" w14:textId="77777777" w:rsidR="00EB5819" w:rsidRPr="00EB5819" w:rsidRDefault="00EB5819" w:rsidP="00EB5819">
      <w:pPr>
        <w:numPr>
          <w:ilvl w:val="0"/>
          <w:numId w:val="5"/>
        </w:numPr>
        <w:jc w:val="both"/>
      </w:pPr>
      <w:r w:rsidRPr="00EB5819">
        <w:rPr>
          <w:b/>
          <w:bCs/>
        </w:rPr>
        <w:t>Hypertension:</w:t>
      </w:r>
      <w:r w:rsidRPr="00EB5819">
        <w:t xml:space="preserve"> A modifiable factor with significant impact on stroke prevention</w:t>
      </w:r>
    </w:p>
    <w:p w14:paraId="44E2553B" w14:textId="77777777" w:rsidR="00EB5819" w:rsidRPr="00EB5819" w:rsidRDefault="00EB5819" w:rsidP="00EB5819">
      <w:pPr>
        <w:numPr>
          <w:ilvl w:val="0"/>
          <w:numId w:val="5"/>
        </w:numPr>
        <w:jc w:val="both"/>
      </w:pPr>
      <w:r w:rsidRPr="00EB5819">
        <w:rPr>
          <w:b/>
          <w:bCs/>
        </w:rPr>
        <w:t>Heart Disease:</w:t>
      </w:r>
      <w:r w:rsidRPr="00EB5819">
        <w:t xml:space="preserve"> Close cardiovascular monitoring required for at-risk patients</w:t>
      </w:r>
    </w:p>
    <w:p w14:paraId="39EC8A7B" w14:textId="77777777" w:rsidR="00EB5819" w:rsidRPr="00EB5819" w:rsidRDefault="00EB5819" w:rsidP="00EB5819">
      <w:pPr>
        <w:numPr>
          <w:ilvl w:val="0"/>
          <w:numId w:val="5"/>
        </w:numPr>
        <w:jc w:val="both"/>
      </w:pPr>
      <w:r w:rsidRPr="00EB5819">
        <w:rPr>
          <w:b/>
          <w:bCs/>
        </w:rPr>
        <w:t>BMI:</w:t>
      </w:r>
      <w:r w:rsidRPr="00EB5819">
        <w:t xml:space="preserve"> Moderately associated, indicating the role of weight management</w:t>
      </w:r>
    </w:p>
    <w:p w14:paraId="4289668D" w14:textId="77777777" w:rsidR="00EB5819" w:rsidRPr="00EB5819" w:rsidRDefault="00EB5819" w:rsidP="00EB5819">
      <w:pPr>
        <w:jc w:val="both"/>
      </w:pPr>
    </w:p>
    <w:p w14:paraId="2C300F35" w14:textId="77777777" w:rsidR="00EB5819" w:rsidRPr="00EB5819" w:rsidRDefault="00EB5819" w:rsidP="00EB5819">
      <w:pPr>
        <w:jc w:val="both"/>
      </w:pPr>
      <w:r w:rsidRPr="00EB5819">
        <w:rPr>
          <w:b/>
          <w:bCs/>
        </w:rPr>
        <w:t>Nonetheless, several limitations should be acknowledged:</w:t>
      </w:r>
    </w:p>
    <w:p w14:paraId="4AC431E1" w14:textId="77777777" w:rsidR="00EB5819" w:rsidRPr="00EB5819" w:rsidRDefault="00EB5819" w:rsidP="00EB5819">
      <w:pPr>
        <w:numPr>
          <w:ilvl w:val="0"/>
          <w:numId w:val="6"/>
        </w:numPr>
        <w:jc w:val="both"/>
      </w:pPr>
      <w:r w:rsidRPr="00EB5819">
        <w:t>The dataset may not comprehensively represent all global or demographic populations.</w:t>
      </w:r>
    </w:p>
    <w:p w14:paraId="63BA6578" w14:textId="77777777" w:rsidR="00EB5819" w:rsidRPr="00EB5819" w:rsidRDefault="00EB5819" w:rsidP="00EB5819">
      <w:pPr>
        <w:numPr>
          <w:ilvl w:val="0"/>
          <w:numId w:val="6"/>
        </w:numPr>
        <w:jc w:val="both"/>
      </w:pPr>
      <w:r w:rsidRPr="00EB5819">
        <w:t>Important clinical markers (e.g., cholesterol, family history) were not included.</w:t>
      </w:r>
    </w:p>
    <w:p w14:paraId="00D3998B" w14:textId="77777777" w:rsidR="00EB5819" w:rsidRPr="00EB5819" w:rsidRDefault="00EB5819" w:rsidP="00EB5819">
      <w:pPr>
        <w:numPr>
          <w:ilvl w:val="0"/>
          <w:numId w:val="6"/>
        </w:numPr>
        <w:jc w:val="both"/>
      </w:pPr>
      <w:r w:rsidRPr="00EB5819">
        <w:t>The model produces static, point-in-time predictions, not dynamic risk over time.</w:t>
      </w:r>
    </w:p>
    <w:p w14:paraId="50B62104" w14:textId="77777777" w:rsidR="00EB5819" w:rsidRPr="00EB5819" w:rsidRDefault="00EB5819" w:rsidP="00EB5819">
      <w:pPr>
        <w:numPr>
          <w:ilvl w:val="0"/>
          <w:numId w:val="6"/>
        </w:numPr>
        <w:jc w:val="both"/>
      </w:pPr>
      <w:r w:rsidRPr="00EB5819">
        <w:t>External validation is required before universal deployment.</w:t>
      </w:r>
    </w:p>
    <w:p w14:paraId="761D8725" w14:textId="77777777" w:rsidR="00EB5819" w:rsidRPr="00EB5819" w:rsidRDefault="00EB5819" w:rsidP="00EB5819">
      <w:pPr>
        <w:jc w:val="both"/>
      </w:pPr>
    </w:p>
    <w:p w14:paraId="65D682F0" w14:textId="77777777" w:rsidR="00EB5819" w:rsidRPr="00EB5819" w:rsidRDefault="00EB5819" w:rsidP="00EB5819">
      <w:pPr>
        <w:jc w:val="both"/>
      </w:pPr>
      <w:r w:rsidRPr="00EB5819">
        <w:rPr>
          <w:b/>
          <w:bCs/>
        </w:rPr>
        <w:t>Potential clinical applications and impact are substantial, including:</w:t>
      </w:r>
    </w:p>
    <w:p w14:paraId="716A0BA0" w14:textId="77777777" w:rsidR="00EB5819" w:rsidRPr="00EB5819" w:rsidRDefault="00EB5819" w:rsidP="00EB5819">
      <w:pPr>
        <w:numPr>
          <w:ilvl w:val="0"/>
          <w:numId w:val="7"/>
        </w:numPr>
        <w:jc w:val="both"/>
      </w:pPr>
      <w:r w:rsidRPr="00EB5819">
        <w:t>Automated risk assessment during routine primary care visits</w:t>
      </w:r>
    </w:p>
    <w:p w14:paraId="0C4CDC2F" w14:textId="77777777" w:rsidR="00EB5819" w:rsidRPr="00EB5819" w:rsidRDefault="00EB5819" w:rsidP="00EB5819">
      <w:pPr>
        <w:numPr>
          <w:ilvl w:val="0"/>
          <w:numId w:val="7"/>
        </w:numPr>
        <w:jc w:val="both"/>
      </w:pPr>
      <w:r w:rsidRPr="00EB5819">
        <w:t>Data-driven support for referral and intervention decisions</w:t>
      </w:r>
    </w:p>
    <w:p w14:paraId="7BA7AF7E" w14:textId="77777777" w:rsidR="00EB5819" w:rsidRPr="00EB5819" w:rsidRDefault="00EB5819" w:rsidP="00EB5819">
      <w:pPr>
        <w:numPr>
          <w:ilvl w:val="0"/>
          <w:numId w:val="7"/>
        </w:numPr>
        <w:jc w:val="both"/>
      </w:pPr>
      <w:r w:rsidRPr="00EB5819">
        <w:t>Patient education and engagement in preventive care strategies</w:t>
      </w:r>
    </w:p>
    <w:p w14:paraId="6B046C5B" w14:textId="77777777" w:rsidR="00EB5819" w:rsidRPr="00EB5819" w:rsidRDefault="00EB5819" w:rsidP="00EB5819">
      <w:pPr>
        <w:numPr>
          <w:ilvl w:val="0"/>
          <w:numId w:val="7"/>
        </w:numPr>
        <w:jc w:val="both"/>
      </w:pPr>
      <w:r w:rsidRPr="00EB5819">
        <w:t>Enhanced resource allocation for population health initiatives</w:t>
      </w:r>
    </w:p>
    <w:p w14:paraId="23BDDB5E" w14:textId="77777777" w:rsidR="00EB5819" w:rsidRPr="00EB5819" w:rsidRDefault="00EB5819" w:rsidP="00EB5819">
      <w:pPr>
        <w:jc w:val="both"/>
      </w:pPr>
    </w:p>
    <w:p w14:paraId="459565D0" w14:textId="77777777" w:rsidR="00EB5819" w:rsidRPr="00EB5819" w:rsidRDefault="00EB5819" w:rsidP="00EB5819">
      <w:pPr>
        <w:jc w:val="both"/>
      </w:pPr>
      <w:r w:rsidRPr="00EB5819">
        <w:rPr>
          <w:b/>
          <w:bCs/>
        </w:rPr>
        <w:t>Immediate recommendations for implementation:</w:t>
      </w:r>
    </w:p>
    <w:p w14:paraId="0F6FAD0A" w14:textId="77777777" w:rsidR="00EB5819" w:rsidRPr="00EB5819" w:rsidRDefault="00EB5819" w:rsidP="00EB5819">
      <w:pPr>
        <w:numPr>
          <w:ilvl w:val="0"/>
          <w:numId w:val="8"/>
        </w:numPr>
        <w:jc w:val="both"/>
      </w:pPr>
      <w:r w:rsidRPr="00EB5819">
        <w:rPr>
          <w:b/>
          <w:bCs/>
        </w:rPr>
        <w:lastRenderedPageBreak/>
        <w:t>Pilot deployment</w:t>
      </w:r>
      <w:r w:rsidRPr="00EB5819">
        <w:t xml:space="preserve"> in select clinical settings</w:t>
      </w:r>
    </w:p>
    <w:p w14:paraId="4A4E0F41" w14:textId="77777777" w:rsidR="00EB5819" w:rsidRPr="00EB5819" w:rsidRDefault="00EB5819" w:rsidP="00EB5819">
      <w:pPr>
        <w:numPr>
          <w:ilvl w:val="0"/>
          <w:numId w:val="8"/>
        </w:numPr>
        <w:jc w:val="both"/>
      </w:pPr>
      <w:r w:rsidRPr="00EB5819">
        <w:rPr>
          <w:b/>
          <w:bCs/>
        </w:rPr>
        <w:t>Integration</w:t>
      </w:r>
      <w:r w:rsidRPr="00EB5819">
        <w:t xml:space="preserve"> with electronic health records for seamless workflow</w:t>
      </w:r>
    </w:p>
    <w:p w14:paraId="2FAC1A6A" w14:textId="77777777" w:rsidR="00EB5819" w:rsidRPr="00EB5819" w:rsidRDefault="00EB5819" w:rsidP="00EB5819">
      <w:pPr>
        <w:numPr>
          <w:ilvl w:val="0"/>
          <w:numId w:val="8"/>
        </w:numPr>
        <w:jc w:val="both"/>
      </w:pPr>
      <w:r w:rsidRPr="00EB5819">
        <w:rPr>
          <w:b/>
          <w:bCs/>
        </w:rPr>
        <w:t>Comprehensive provider training</w:t>
      </w:r>
      <w:r w:rsidRPr="00EB5819">
        <w:t xml:space="preserve"> in model interpretation and patient communication</w:t>
      </w:r>
    </w:p>
    <w:p w14:paraId="787E1A43" w14:textId="77777777" w:rsidR="00EB5819" w:rsidRPr="00EB5819" w:rsidRDefault="00EB5819" w:rsidP="00EB5819">
      <w:pPr>
        <w:numPr>
          <w:ilvl w:val="0"/>
          <w:numId w:val="8"/>
        </w:numPr>
        <w:jc w:val="both"/>
      </w:pPr>
      <w:r w:rsidRPr="00EB5819">
        <w:rPr>
          <w:b/>
          <w:bCs/>
        </w:rPr>
        <w:t>Development of patient-facing risk communication materials</w:t>
      </w:r>
    </w:p>
    <w:p w14:paraId="18C280AA" w14:textId="77777777" w:rsidR="00EB5819" w:rsidRPr="00EB5819" w:rsidRDefault="00EB5819" w:rsidP="00EB5819">
      <w:pPr>
        <w:numPr>
          <w:ilvl w:val="0"/>
          <w:numId w:val="8"/>
        </w:numPr>
        <w:jc w:val="both"/>
      </w:pPr>
      <w:r w:rsidRPr="00EB5819">
        <w:rPr>
          <w:b/>
          <w:bCs/>
        </w:rPr>
        <w:t>Creation of dashboards and mobile tools</w:t>
      </w:r>
      <w:r w:rsidRPr="00EB5819">
        <w:t xml:space="preserve"> for real-time risk monitoring and alerts</w:t>
      </w:r>
    </w:p>
    <w:p w14:paraId="78CECB0D" w14:textId="77777777" w:rsidR="00EB5819" w:rsidRPr="00EB5819" w:rsidRDefault="00EB5819" w:rsidP="00EB5819">
      <w:pPr>
        <w:jc w:val="both"/>
      </w:pPr>
    </w:p>
    <w:p w14:paraId="3050B500" w14:textId="77777777" w:rsidR="00EB5819" w:rsidRPr="00EB5819" w:rsidRDefault="00EB5819" w:rsidP="00EB5819">
      <w:pPr>
        <w:jc w:val="both"/>
      </w:pPr>
      <w:r w:rsidRPr="00EB5819">
        <w:rPr>
          <w:b/>
          <w:bCs/>
        </w:rPr>
        <w:t>For future research and technical improvement, the following should be prioritized:</w:t>
      </w:r>
    </w:p>
    <w:p w14:paraId="233C7D78" w14:textId="77777777" w:rsidR="00EB5819" w:rsidRPr="00EB5819" w:rsidRDefault="00EB5819" w:rsidP="00EB5819">
      <w:pPr>
        <w:numPr>
          <w:ilvl w:val="0"/>
          <w:numId w:val="9"/>
        </w:numPr>
        <w:jc w:val="both"/>
      </w:pPr>
      <w:r w:rsidRPr="00EB5819">
        <w:t>Expanding the feature set to include more clinical, lifestyle, and genetic factors</w:t>
      </w:r>
    </w:p>
    <w:p w14:paraId="62A62E79" w14:textId="77777777" w:rsidR="00EB5819" w:rsidRPr="00EB5819" w:rsidRDefault="00EB5819" w:rsidP="00EB5819">
      <w:pPr>
        <w:numPr>
          <w:ilvl w:val="0"/>
          <w:numId w:val="9"/>
        </w:numPr>
        <w:jc w:val="both"/>
      </w:pPr>
      <w:r w:rsidRPr="00EB5819">
        <w:t xml:space="preserve">Developing longitudinal and temporal </w:t>
      </w:r>
      <w:proofErr w:type="spellStart"/>
      <w:r w:rsidRPr="00EB5819">
        <w:t>modeling</w:t>
      </w:r>
      <w:proofErr w:type="spellEnd"/>
      <w:r w:rsidRPr="00EB5819">
        <w:t xml:space="preserve"> for evolving risk prediction</w:t>
      </w:r>
    </w:p>
    <w:p w14:paraId="1C51B58C" w14:textId="77777777" w:rsidR="00EB5819" w:rsidRPr="00EB5819" w:rsidRDefault="00EB5819" w:rsidP="00EB5819">
      <w:pPr>
        <w:numPr>
          <w:ilvl w:val="0"/>
          <w:numId w:val="9"/>
        </w:numPr>
        <w:jc w:val="both"/>
      </w:pPr>
      <w:r w:rsidRPr="00EB5819">
        <w:t>Validating across broader, more diverse populations to ensure generalizability</w:t>
      </w:r>
    </w:p>
    <w:p w14:paraId="05AE6A52" w14:textId="77777777" w:rsidR="00EB5819" w:rsidRPr="00EB5819" w:rsidRDefault="00EB5819" w:rsidP="00EB5819">
      <w:pPr>
        <w:numPr>
          <w:ilvl w:val="0"/>
          <w:numId w:val="9"/>
        </w:numPr>
        <w:jc w:val="both"/>
      </w:pPr>
      <w:r w:rsidRPr="00EB5819">
        <w:t>Studying the real-world impact of model-guided intervention on clinical outcomes</w:t>
      </w:r>
    </w:p>
    <w:p w14:paraId="0F317095" w14:textId="77777777" w:rsidR="00EB5819" w:rsidRPr="00EB5819" w:rsidRDefault="00EB5819" w:rsidP="00EB5819">
      <w:pPr>
        <w:numPr>
          <w:ilvl w:val="0"/>
          <w:numId w:val="9"/>
        </w:numPr>
        <w:jc w:val="both"/>
      </w:pPr>
      <w:r w:rsidRPr="00EB5819">
        <w:t>Incorporating explainable AI methodologies for enhanced trust and adoption</w:t>
      </w:r>
    </w:p>
    <w:p w14:paraId="76B8BEB8" w14:textId="77777777" w:rsidR="00EB5819" w:rsidRPr="00EB5819" w:rsidRDefault="00EB5819" w:rsidP="00EB5819">
      <w:pPr>
        <w:jc w:val="both"/>
      </w:pPr>
    </w:p>
    <w:p w14:paraId="28799AB2" w14:textId="77777777" w:rsidR="00EB5819" w:rsidRPr="00EB5819" w:rsidRDefault="00EB5819" w:rsidP="00EB5819">
      <w:pPr>
        <w:jc w:val="both"/>
      </w:pPr>
      <w:r w:rsidRPr="00EB5819">
        <w:rPr>
          <w:b/>
          <w:bCs/>
        </w:rPr>
        <w:t>Strategic long-term considerations should include:</w:t>
      </w:r>
    </w:p>
    <w:p w14:paraId="5C307042" w14:textId="77777777" w:rsidR="00EB5819" w:rsidRPr="00EB5819" w:rsidRDefault="00EB5819" w:rsidP="00EB5819">
      <w:pPr>
        <w:numPr>
          <w:ilvl w:val="0"/>
          <w:numId w:val="10"/>
        </w:numPr>
        <w:jc w:val="both"/>
      </w:pPr>
      <w:r w:rsidRPr="00EB5819">
        <w:t>Integration into clinical guidelines and care pathways</w:t>
      </w:r>
    </w:p>
    <w:p w14:paraId="494F8CC3" w14:textId="77777777" w:rsidR="00EB5819" w:rsidRPr="00EB5819" w:rsidRDefault="00EB5819" w:rsidP="00EB5819">
      <w:pPr>
        <w:numPr>
          <w:ilvl w:val="0"/>
          <w:numId w:val="10"/>
        </w:numPr>
        <w:jc w:val="both"/>
      </w:pPr>
      <w:r w:rsidRPr="00EB5819">
        <w:t>Addressing regulatory, insurance, and ethical issues of AI-driven healthcare</w:t>
      </w:r>
    </w:p>
    <w:p w14:paraId="0BD7E731" w14:textId="77777777" w:rsidR="00EB5819" w:rsidRPr="00EB5819" w:rsidRDefault="00EB5819" w:rsidP="00EB5819">
      <w:pPr>
        <w:numPr>
          <w:ilvl w:val="0"/>
          <w:numId w:val="10"/>
        </w:numPr>
        <w:jc w:val="both"/>
      </w:pPr>
      <w:r w:rsidRPr="00EB5819">
        <w:t>Facilitating multi-institutional and international validation efforts</w:t>
      </w:r>
    </w:p>
    <w:p w14:paraId="74CCE7D0" w14:textId="77777777" w:rsidR="00EB5819" w:rsidRPr="00EB5819" w:rsidRDefault="00EB5819" w:rsidP="00EB5819">
      <w:pPr>
        <w:numPr>
          <w:ilvl w:val="0"/>
          <w:numId w:val="10"/>
        </w:numPr>
        <w:jc w:val="both"/>
      </w:pPr>
      <w:r w:rsidRPr="00EB5819">
        <w:t>Establishing continuous monitoring and regular retraining for sustained accuracy</w:t>
      </w:r>
    </w:p>
    <w:p w14:paraId="73E60C6C" w14:textId="77777777" w:rsidR="00EB5819" w:rsidRPr="00EB5819" w:rsidRDefault="00EB5819" w:rsidP="00EB5819">
      <w:pPr>
        <w:jc w:val="both"/>
      </w:pPr>
    </w:p>
    <w:p w14:paraId="5B7780CC" w14:textId="77777777" w:rsidR="00EB5819" w:rsidRPr="00EB5819" w:rsidRDefault="00EB5819" w:rsidP="00EB5819">
      <w:pPr>
        <w:jc w:val="both"/>
      </w:pPr>
      <w:r w:rsidRPr="00EB5819">
        <w:t>In conclusion, this project successfully demonstrates the comprehensive application of machine learning to a critical healthcare problem. The stroke risk prediction pipeline is robust, clinically relevant, and deployable in real-world settings. With continued validation, thoughtful integration, and ongoing improvement, this model has the potential to substantially reduce stroke incidence, enhance healthcare resource utilization, and empower both providers and patients in evidence-based risk management. The report thus provides a solid foundation for next steps in clinical integration, research expansion, and the pursuit of improved patient outcomes through predictive analytics.</w:t>
      </w:r>
    </w:p>
    <w:p w14:paraId="1294EBCD" w14:textId="77777777" w:rsidR="00EB5819" w:rsidRPr="00EB5819" w:rsidRDefault="004D6139" w:rsidP="00EB5819">
      <w:pPr>
        <w:jc w:val="both"/>
      </w:pPr>
      <w:r w:rsidRPr="00EB5819">
        <w:rPr>
          <w:noProof/>
        </w:rPr>
        <w:pict w14:anchorId="571A959A">
          <v:rect id="_x0000_i1025" alt="" style="width:451.3pt;height:.05pt;mso-width-percent:0;mso-height-percent:0;mso-width-percent:0;mso-height-percent:0" o:hralign="center" o:hrstd="t" o:hr="t" fillcolor="#a0a0a0" stroked="f"/>
        </w:pict>
      </w:r>
    </w:p>
    <w:p w14:paraId="2819AD0E" w14:textId="77777777" w:rsidR="00EB5819" w:rsidRDefault="00EB5819" w:rsidP="00EB5819">
      <w:pPr>
        <w:jc w:val="both"/>
      </w:pPr>
    </w:p>
    <w:sectPr w:rsidR="00EB5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abic Typesetting">
    <w:panose1 w:val="03020402040406030203"/>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97231"/>
    <w:multiLevelType w:val="multilevel"/>
    <w:tmpl w:val="19D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2A47"/>
    <w:multiLevelType w:val="multilevel"/>
    <w:tmpl w:val="5C42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354B4"/>
    <w:multiLevelType w:val="multilevel"/>
    <w:tmpl w:val="A93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B6874"/>
    <w:multiLevelType w:val="multilevel"/>
    <w:tmpl w:val="04F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D246A"/>
    <w:multiLevelType w:val="multilevel"/>
    <w:tmpl w:val="46B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47284"/>
    <w:multiLevelType w:val="multilevel"/>
    <w:tmpl w:val="F23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40DB9"/>
    <w:multiLevelType w:val="multilevel"/>
    <w:tmpl w:val="32C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12AD1"/>
    <w:multiLevelType w:val="multilevel"/>
    <w:tmpl w:val="B21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87E5D"/>
    <w:multiLevelType w:val="multilevel"/>
    <w:tmpl w:val="0108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76F9C"/>
    <w:multiLevelType w:val="multilevel"/>
    <w:tmpl w:val="FCD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879225">
    <w:abstractNumId w:val="5"/>
  </w:num>
  <w:num w:numId="2" w16cid:durableId="662659584">
    <w:abstractNumId w:val="6"/>
  </w:num>
  <w:num w:numId="3" w16cid:durableId="1081171359">
    <w:abstractNumId w:val="7"/>
  </w:num>
  <w:num w:numId="4" w16cid:durableId="970863286">
    <w:abstractNumId w:val="8"/>
  </w:num>
  <w:num w:numId="5" w16cid:durableId="1062605455">
    <w:abstractNumId w:val="4"/>
  </w:num>
  <w:num w:numId="6" w16cid:durableId="1091462531">
    <w:abstractNumId w:val="2"/>
  </w:num>
  <w:num w:numId="7" w16cid:durableId="1721858214">
    <w:abstractNumId w:val="1"/>
  </w:num>
  <w:num w:numId="8" w16cid:durableId="854077783">
    <w:abstractNumId w:val="3"/>
  </w:num>
  <w:num w:numId="9" w16cid:durableId="802505011">
    <w:abstractNumId w:val="0"/>
  </w:num>
  <w:num w:numId="10" w16cid:durableId="1196772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19"/>
    <w:rsid w:val="000E29B0"/>
    <w:rsid w:val="004D6139"/>
    <w:rsid w:val="00821DBF"/>
    <w:rsid w:val="009C7A42"/>
    <w:rsid w:val="00B62DBF"/>
    <w:rsid w:val="00B8239E"/>
    <w:rsid w:val="00EB5819"/>
    <w:rsid w:val="00FE2737"/>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68D9"/>
  <w15:chartTrackingRefBased/>
  <w15:docId w15:val="{482A14EA-65AD-3742-B795-05F8C078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EB581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B581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B581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B5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1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B581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B581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B5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819"/>
    <w:rPr>
      <w:rFonts w:eastAsiaTheme="majorEastAsia" w:cstheme="majorBidi"/>
      <w:color w:val="272727" w:themeColor="text1" w:themeTint="D8"/>
    </w:rPr>
  </w:style>
  <w:style w:type="paragraph" w:styleId="Title">
    <w:name w:val="Title"/>
    <w:basedOn w:val="Normal"/>
    <w:next w:val="Normal"/>
    <w:link w:val="TitleChar"/>
    <w:uiPriority w:val="10"/>
    <w:qFormat/>
    <w:rsid w:val="00EB581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581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581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581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5819"/>
    <w:pPr>
      <w:spacing w:before="160"/>
      <w:jc w:val="center"/>
    </w:pPr>
    <w:rPr>
      <w:i/>
      <w:iCs/>
      <w:color w:val="404040" w:themeColor="text1" w:themeTint="BF"/>
    </w:rPr>
  </w:style>
  <w:style w:type="character" w:customStyle="1" w:styleId="QuoteChar">
    <w:name w:val="Quote Char"/>
    <w:basedOn w:val="DefaultParagraphFont"/>
    <w:link w:val="Quote"/>
    <w:uiPriority w:val="29"/>
    <w:rsid w:val="00EB5819"/>
    <w:rPr>
      <w:rFonts w:cs="Vrinda"/>
      <w:i/>
      <w:iCs/>
      <w:color w:val="404040" w:themeColor="text1" w:themeTint="BF"/>
    </w:rPr>
  </w:style>
  <w:style w:type="paragraph" w:styleId="ListParagraph">
    <w:name w:val="List Paragraph"/>
    <w:basedOn w:val="Normal"/>
    <w:uiPriority w:val="34"/>
    <w:qFormat/>
    <w:rsid w:val="00EB5819"/>
    <w:pPr>
      <w:ind w:left="720"/>
      <w:contextualSpacing/>
    </w:pPr>
  </w:style>
  <w:style w:type="character" w:styleId="IntenseEmphasis">
    <w:name w:val="Intense Emphasis"/>
    <w:basedOn w:val="DefaultParagraphFont"/>
    <w:uiPriority w:val="21"/>
    <w:qFormat/>
    <w:rsid w:val="00EB5819"/>
    <w:rPr>
      <w:i/>
      <w:iCs/>
      <w:color w:val="0F4761" w:themeColor="accent1" w:themeShade="BF"/>
    </w:rPr>
  </w:style>
  <w:style w:type="paragraph" w:styleId="IntenseQuote">
    <w:name w:val="Intense Quote"/>
    <w:basedOn w:val="Normal"/>
    <w:next w:val="Normal"/>
    <w:link w:val="IntenseQuoteChar"/>
    <w:uiPriority w:val="30"/>
    <w:qFormat/>
    <w:rsid w:val="00EB5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819"/>
    <w:rPr>
      <w:rFonts w:cs="Vrinda"/>
      <w:i/>
      <w:iCs/>
      <w:color w:val="0F4761" w:themeColor="accent1" w:themeShade="BF"/>
    </w:rPr>
  </w:style>
  <w:style w:type="character" w:styleId="IntenseReference">
    <w:name w:val="Intense Reference"/>
    <w:basedOn w:val="DefaultParagraphFont"/>
    <w:uiPriority w:val="32"/>
    <w:qFormat/>
    <w:rsid w:val="00EB5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50835">
      <w:bodyDiv w:val="1"/>
      <w:marLeft w:val="0"/>
      <w:marRight w:val="0"/>
      <w:marTop w:val="0"/>
      <w:marBottom w:val="0"/>
      <w:divBdr>
        <w:top w:val="none" w:sz="0" w:space="0" w:color="auto"/>
        <w:left w:val="none" w:sz="0" w:space="0" w:color="auto"/>
        <w:bottom w:val="none" w:sz="0" w:space="0" w:color="auto"/>
        <w:right w:val="none" w:sz="0" w:space="0" w:color="auto"/>
      </w:divBdr>
    </w:div>
    <w:div w:id="638799363">
      <w:bodyDiv w:val="1"/>
      <w:marLeft w:val="0"/>
      <w:marRight w:val="0"/>
      <w:marTop w:val="0"/>
      <w:marBottom w:val="0"/>
      <w:divBdr>
        <w:top w:val="none" w:sz="0" w:space="0" w:color="auto"/>
        <w:left w:val="none" w:sz="0" w:space="0" w:color="auto"/>
        <w:bottom w:val="none" w:sz="0" w:space="0" w:color="auto"/>
        <w:right w:val="none" w:sz="0" w:space="0" w:color="auto"/>
      </w:divBdr>
    </w:div>
    <w:div w:id="68625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Sayeed (Student)</dc:creator>
  <cp:keywords/>
  <dc:description/>
  <cp:lastModifiedBy>Sayeed Sayeed (Student)</cp:lastModifiedBy>
  <cp:revision>1</cp:revision>
  <dcterms:created xsi:type="dcterms:W3CDTF">2025-05-29T23:00:00Z</dcterms:created>
  <dcterms:modified xsi:type="dcterms:W3CDTF">2025-05-29T23:02:00Z</dcterms:modified>
</cp:coreProperties>
</file>